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adjustRightInd w:val="0"/>
        <w:snapToGrid w:val="0"/>
        <w:spacing w:line="560" w:lineRule="exact"/>
        <w:ind w:left="0" w:leftChars="0" w:right="0"/>
        <w:textAlignment w:val="auto"/>
        <w:outlineLvl w:val="9"/>
        <w:rPr>
          <w:rFonts w:hint="eastAsia" w:ascii="仿宋_GB2312" w:eastAsia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color w:val="auto"/>
          <w:sz w:val="32"/>
          <w:szCs w:val="32"/>
        </w:rPr>
        <w:t>附件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3</w:t>
      </w: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color w:val="auto"/>
          <w:sz w:val="44"/>
          <w:szCs w:val="44"/>
        </w:rPr>
      </w:pP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color w:val="auto"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color w:val="auto"/>
          <w:sz w:val="44"/>
          <w:szCs w:val="44"/>
          <w:lang w:val="en-US" w:eastAsia="zh-CN"/>
        </w:rPr>
        <w:t>获鹿镇人民政府</w:t>
      </w: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color w:val="auto"/>
          <w:sz w:val="44"/>
          <w:szCs w:val="44"/>
        </w:rPr>
      </w:pPr>
      <w:r>
        <w:rPr>
          <w:rFonts w:hint="eastAsia" w:ascii="宋体" w:hAnsi="宋体" w:cs="宋体"/>
          <w:b/>
          <w:bCs/>
          <w:color w:val="auto"/>
          <w:sz w:val="44"/>
          <w:szCs w:val="44"/>
          <w:lang w:val="en-US" w:eastAsia="zh-CN"/>
        </w:rPr>
        <w:t>2022年度整体支出绩效</w:t>
      </w:r>
      <w:r>
        <w:rPr>
          <w:rFonts w:hint="eastAsia" w:ascii="宋体" w:hAnsi="宋体" w:cs="宋体"/>
          <w:b/>
          <w:bCs/>
          <w:color w:val="auto"/>
          <w:sz w:val="44"/>
          <w:szCs w:val="44"/>
        </w:rPr>
        <w:t>自评报告</w:t>
      </w: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ascii="华文楷体" w:eastAsia="华文楷体"/>
          <w:color w:val="auto"/>
          <w:sz w:val="32"/>
          <w:szCs w:val="32"/>
        </w:rPr>
      </w:pP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为</w:t>
      </w:r>
      <w:r>
        <w:rPr>
          <w:rFonts w:hint="eastAsia" w:ascii="仿宋" w:hAnsi="仿宋" w:eastAsia="仿宋"/>
          <w:color w:val="auto"/>
          <w:sz w:val="32"/>
          <w:szCs w:val="32"/>
        </w:rPr>
        <w:t>贯彻落实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石家庄市鹿泉区人民政府《关于全面实施预算绩效管理的实施意见》（鹿发﹝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2019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﹞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8号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）</w:t>
      </w:r>
      <w:r>
        <w:rPr>
          <w:rFonts w:hint="eastAsia" w:ascii="仿宋" w:hAnsi="仿宋" w:eastAsia="仿宋"/>
          <w:color w:val="auto"/>
          <w:sz w:val="32"/>
          <w:szCs w:val="32"/>
        </w:rPr>
        <w:t>文件精神，遵循“科学性、规范性、客观性和公正性”的原则，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获鹿镇人民政府对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2022年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整体支出情况</w:t>
      </w:r>
      <w:r>
        <w:rPr>
          <w:rFonts w:hint="eastAsia" w:ascii="仿宋" w:hAnsi="仿宋" w:eastAsia="仿宋"/>
          <w:color w:val="auto"/>
          <w:sz w:val="32"/>
          <w:szCs w:val="32"/>
        </w:rPr>
        <w:t>实施了财政支出绩效自评价，形成本评价报告。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/>
        <w:textAlignment w:val="auto"/>
        <w:outlineLvl w:val="9"/>
        <w:rPr>
          <w:rFonts w:ascii="黑体" w:hAnsi="黑体" w:eastAsia="黑体"/>
          <w:b/>
          <w:bCs/>
          <w:color w:val="auto"/>
          <w:sz w:val="32"/>
          <w:szCs w:val="36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 xml:space="preserve">    </w:t>
      </w:r>
      <w:r>
        <w:rPr>
          <w:rFonts w:hint="eastAsia" w:ascii="黑体" w:hAnsi="黑体" w:eastAsia="黑体"/>
          <w:color w:val="auto"/>
          <w:sz w:val="32"/>
          <w:szCs w:val="32"/>
        </w:rPr>
        <w:t>一、</w:t>
      </w:r>
      <w:r>
        <w:rPr>
          <w:rFonts w:hint="eastAsia" w:ascii="黑体" w:hAnsi="黑体" w:eastAsia="黑体"/>
          <w:color w:val="auto"/>
          <w:sz w:val="32"/>
          <w:szCs w:val="32"/>
          <w:lang w:eastAsia="zh-CN"/>
        </w:rPr>
        <w:t>部门</w:t>
      </w:r>
      <w:r>
        <w:rPr>
          <w:rFonts w:hint="eastAsia" w:ascii="黑体" w:hAnsi="黑体" w:eastAsia="黑体"/>
          <w:color w:val="auto"/>
          <w:sz w:val="32"/>
          <w:szCs w:val="36"/>
        </w:rPr>
        <w:t>基本情况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楷体_GB2312"/>
          <w:b/>
          <w:bCs/>
          <w:color w:val="auto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color w:val="auto"/>
          <w:sz w:val="32"/>
          <w:szCs w:val="32"/>
        </w:rPr>
        <w:t>（一）</w:t>
      </w:r>
      <w:r>
        <w:rPr>
          <w:rFonts w:hint="eastAsia" w:ascii="仿宋" w:hAnsi="仿宋" w:eastAsia="仿宋" w:cs="楷体_GB2312"/>
          <w:b/>
          <w:bCs/>
          <w:color w:val="auto"/>
          <w:sz w:val="32"/>
          <w:szCs w:val="32"/>
          <w:lang w:eastAsia="zh-CN"/>
        </w:rPr>
        <w:t>部门</w:t>
      </w:r>
      <w:r>
        <w:rPr>
          <w:rFonts w:hint="eastAsia" w:ascii="仿宋" w:hAnsi="仿宋" w:eastAsia="仿宋" w:cs="楷体_GB2312"/>
          <w:b/>
          <w:bCs/>
          <w:color w:val="auto"/>
          <w:sz w:val="32"/>
          <w:szCs w:val="32"/>
        </w:rPr>
        <w:t>概况</w:t>
      </w:r>
    </w:p>
    <w:p>
      <w:pPr>
        <w:pStyle w:val="2"/>
        <w:spacing w:before="0" w:after="0" w:line="580" w:lineRule="exact"/>
        <w:ind w:firstLine="640" w:firstLineChars="200"/>
        <w:jc w:val="left"/>
        <w:rPr>
          <w:rFonts w:hint="eastAsia" w:ascii="宋体" w:hAnsi="宋体" w:eastAsia="宋体" w:cs="宋体"/>
          <w:b w:val="0"/>
          <w:bCs w:val="0"/>
          <w:color w:val="auto"/>
          <w:kern w:val="0"/>
          <w:sz w:val="32"/>
          <w:szCs w:val="32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32"/>
          <w:szCs w:val="32"/>
          <w:lang w:eastAsia="zh-CN"/>
        </w:rPr>
        <w:t>获鹿镇人民政府是一级预算单位，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32"/>
          <w:szCs w:val="32"/>
        </w:rPr>
        <w:t>部门职责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32"/>
          <w:szCs w:val="32"/>
          <w:lang w:eastAsia="zh-CN"/>
        </w:rPr>
        <w:t>如下：</w:t>
      </w:r>
    </w:p>
    <w:p>
      <w:pPr>
        <w:widowControl/>
        <w:numPr>
          <w:ilvl w:val="0"/>
          <w:numId w:val="0"/>
        </w:numPr>
        <w:spacing w:line="400" w:lineRule="exact"/>
        <w:ind w:firstLine="640" w:firstLineChars="200"/>
        <w:rPr>
          <w:rFonts w:hint="eastAsia" w:ascii="仿宋_GB2312" w:eastAsia="仿宋_GB2312" w:cs="Arial Black"/>
          <w:color w:val="auto"/>
          <w:kern w:val="0"/>
          <w:sz w:val="32"/>
          <w:szCs w:val="32"/>
        </w:rPr>
      </w:pPr>
      <w:r>
        <w:rPr>
          <w:rFonts w:hint="eastAsia" w:ascii="仿宋_GB2312" w:eastAsia="仿宋_GB2312" w:cs="Arial Black"/>
          <w:color w:val="auto"/>
          <w:kern w:val="0"/>
          <w:sz w:val="32"/>
          <w:szCs w:val="32"/>
        </w:rPr>
        <w:t>（一）</w:t>
      </w:r>
      <w:r>
        <w:rPr>
          <w:rFonts w:hint="eastAsia" w:ascii="仿宋_GB2312" w:eastAsia="仿宋_GB2312" w:cs="DengXian-Regular"/>
          <w:color w:val="auto"/>
          <w:sz w:val="32"/>
          <w:szCs w:val="32"/>
        </w:rPr>
        <w:t>机关事务管理。负责乡镇党委、政府各项工作的督导催办，处理机关日常事务，搞好文秘、档案管理、政务公开和机关后勤保障工作；负责相关党群单位的工作；抓好农村基层组织建设和民主政治建设。负责制定乡镇财政计划和经济发展规划；为招商引资、发展民营企业和第三产业提供服务；做好乡镇统计、审计工作；负责社会治安综合治理和司法工作；做好宗教工作，打击邪教；调处矛盾纠纷；做好群众来信来访、社会稳定等工作。负责精神文明和新农村建设，以及与各部门社会事务工作的指导服务和协调</w:t>
      </w:r>
      <w:r>
        <w:rPr>
          <w:rFonts w:hint="eastAsia" w:ascii="仿宋_GB2312" w:eastAsia="仿宋_GB2312" w:cs="Arial Black"/>
          <w:color w:val="auto"/>
          <w:kern w:val="0"/>
          <w:sz w:val="32"/>
          <w:szCs w:val="32"/>
        </w:rPr>
        <w:t>。</w:t>
      </w:r>
    </w:p>
    <w:p>
      <w:pPr>
        <w:widowControl/>
        <w:spacing w:line="400" w:lineRule="exact"/>
        <w:ind w:firstLine="480"/>
        <w:rPr>
          <w:rFonts w:hint="eastAsia" w:ascii="仿宋_GB2312" w:eastAsia="仿宋_GB2312" w:cs="DengXian-Regular"/>
          <w:color w:val="auto"/>
          <w:sz w:val="32"/>
          <w:szCs w:val="32"/>
          <w:lang w:eastAsia="zh-CN"/>
        </w:rPr>
      </w:pPr>
      <w:r>
        <w:rPr>
          <w:rFonts w:hint="eastAsia" w:ascii="仿宋_GB2312" w:eastAsia="仿宋_GB2312" w:cs="Arial Black"/>
          <w:color w:val="auto"/>
          <w:kern w:val="0"/>
          <w:sz w:val="32"/>
          <w:szCs w:val="32"/>
        </w:rPr>
        <w:t>（二）</w:t>
      </w:r>
      <w:r>
        <w:rPr>
          <w:rFonts w:hint="eastAsia" w:ascii="仿宋_GB2312" w:eastAsia="仿宋_GB2312" w:cs="DengXian-Regular"/>
          <w:color w:val="auto"/>
          <w:sz w:val="32"/>
          <w:szCs w:val="32"/>
        </w:rPr>
        <w:t>农业综合服务。负责配合农口部门（农、林、牧、水）做好农业技术服务和技术推广工作，动物防疫工作；加强农田水利基本建设，增强农业抗御自然灾害的能力。做好农村一事一议项目管理。</w:t>
      </w:r>
    </w:p>
    <w:p>
      <w:pPr>
        <w:widowControl/>
        <w:numPr>
          <w:ilvl w:val="0"/>
          <w:numId w:val="0"/>
        </w:numPr>
        <w:spacing w:line="400" w:lineRule="exact"/>
        <w:ind w:firstLine="640" w:firstLineChars="200"/>
        <w:rPr>
          <w:rFonts w:hint="eastAsia" w:ascii="仿宋_GB2312" w:eastAsia="仿宋_GB2312" w:cs="DengXian-Regular"/>
          <w:color w:val="auto"/>
          <w:sz w:val="32"/>
          <w:szCs w:val="32"/>
        </w:rPr>
      </w:pPr>
      <w:r>
        <w:rPr>
          <w:rFonts w:hint="eastAsia" w:ascii="仿宋_GB2312" w:eastAsia="仿宋_GB2312" w:cs="Arial Black"/>
          <w:color w:val="auto"/>
          <w:kern w:val="0"/>
          <w:sz w:val="32"/>
          <w:szCs w:val="32"/>
        </w:rPr>
        <w:t>（三）</w:t>
      </w:r>
      <w:r>
        <w:rPr>
          <w:rFonts w:hint="eastAsia" w:ascii="仿宋_GB2312" w:eastAsia="仿宋_GB2312" w:cs="DengXian-Regular"/>
          <w:color w:val="auto"/>
          <w:sz w:val="32"/>
          <w:szCs w:val="32"/>
        </w:rPr>
        <w:t>卫生计生服务。配合食品药品监督管理的协调、督导，做好新型农村合作医疗等卫生方面工作，负责计划生育技术服务及人口生育管理，负责育龄妇女普查、妇女病防治、四术及协会等项工作。</w:t>
      </w:r>
    </w:p>
    <w:p>
      <w:pPr>
        <w:widowControl/>
        <w:numPr>
          <w:ilvl w:val="0"/>
          <w:numId w:val="0"/>
        </w:numPr>
        <w:spacing w:line="400" w:lineRule="exact"/>
        <w:ind w:firstLine="640" w:firstLineChars="200"/>
        <w:rPr>
          <w:rFonts w:hint="eastAsia" w:ascii="仿宋_GB2312" w:eastAsia="仿宋_GB2312" w:cs="DengXian-Regular"/>
          <w:color w:val="auto"/>
          <w:sz w:val="32"/>
          <w:szCs w:val="32"/>
        </w:rPr>
      </w:pPr>
      <w:r>
        <w:rPr>
          <w:rFonts w:hint="eastAsia" w:ascii="仿宋_GB2312" w:eastAsia="仿宋_GB2312" w:cs="DengXian-Regular"/>
          <w:color w:val="auto"/>
          <w:sz w:val="32"/>
          <w:szCs w:val="32"/>
        </w:rPr>
        <w:t>（四）文化综治服务。负责群众文化娱乐、体育活动、广播电视村村通等工作。</w:t>
      </w:r>
    </w:p>
    <w:p>
      <w:pPr>
        <w:widowControl/>
        <w:numPr>
          <w:ilvl w:val="0"/>
          <w:numId w:val="0"/>
        </w:numPr>
        <w:spacing w:line="400" w:lineRule="exact"/>
        <w:ind w:firstLine="640" w:firstLineChars="200"/>
        <w:rPr>
          <w:rFonts w:hint="eastAsia" w:ascii="仿宋_GB2312" w:eastAsia="仿宋_GB2312" w:cs="DengXian-Regular"/>
          <w:color w:val="auto"/>
          <w:sz w:val="32"/>
          <w:szCs w:val="32"/>
        </w:rPr>
      </w:pPr>
      <w:r>
        <w:rPr>
          <w:rFonts w:hint="eastAsia" w:ascii="仿宋_GB2312" w:eastAsia="仿宋_GB2312" w:cs="DengXian-Regular"/>
          <w:color w:val="auto"/>
          <w:sz w:val="32"/>
          <w:szCs w:val="32"/>
        </w:rPr>
        <w:t>（</w:t>
      </w:r>
      <w:r>
        <w:rPr>
          <w:rFonts w:hint="eastAsia" w:ascii="仿宋_GB2312" w:eastAsia="仿宋_GB2312" w:cs="DengXian-Regular"/>
          <w:color w:val="auto"/>
          <w:sz w:val="32"/>
          <w:szCs w:val="32"/>
          <w:lang w:eastAsia="zh-CN"/>
        </w:rPr>
        <w:t>五</w:t>
      </w:r>
      <w:r>
        <w:rPr>
          <w:rFonts w:hint="eastAsia" w:ascii="仿宋_GB2312" w:eastAsia="仿宋_GB2312" w:cs="DengXian-Regular"/>
          <w:color w:val="auto"/>
          <w:sz w:val="32"/>
          <w:szCs w:val="32"/>
        </w:rPr>
        <w:t>）社会保障服务。配合劳动保障部门做好劳动法的宣传贯彻、劳动就业、社会保障等工作。配合安全生产监督管理部门做好安全生产监督管理等工作。</w:t>
      </w:r>
    </w:p>
    <w:p>
      <w:pPr>
        <w:widowControl/>
        <w:numPr>
          <w:ilvl w:val="0"/>
          <w:numId w:val="0"/>
        </w:numPr>
        <w:spacing w:line="400" w:lineRule="exact"/>
        <w:ind w:firstLine="640" w:firstLineChars="200"/>
        <w:rPr>
          <w:rFonts w:hint="default" w:ascii="仿宋_GB2312" w:eastAsia="仿宋_GB2312" w:cs="DengXian-Regular"/>
          <w:color w:val="auto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32"/>
          <w:szCs w:val="32"/>
        </w:rPr>
        <w:t>机构设置</w:t>
      </w:r>
      <w:r>
        <w:rPr>
          <w:rFonts w:hint="eastAsia" w:ascii="宋体" w:hAnsi="宋体" w:eastAsia="宋体" w:cs="宋体"/>
          <w:color w:val="auto"/>
          <w:sz w:val="32"/>
          <w:szCs w:val="32"/>
          <w:lang w:eastAsia="zh-CN"/>
        </w:rPr>
        <w:t>人员情况</w:t>
      </w: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：</w:t>
      </w:r>
      <w:r>
        <w:rPr>
          <w:rFonts w:hint="eastAsia" w:ascii="仿宋_GB2312" w:eastAsia="仿宋_GB2312" w:cs="DengXian-Regular"/>
          <w:color w:val="auto"/>
          <w:sz w:val="32"/>
          <w:szCs w:val="32"/>
        </w:rPr>
        <w:t>从决算编报单位构成看，纳入2022年度本部门决算汇编范围的独立核算单位</w:t>
      </w:r>
      <w:r>
        <w:rPr>
          <w:rFonts w:hint="eastAsia" w:ascii="仿宋_GB2312" w:eastAsia="仿宋_GB2312" w:cs="DengXian-Regular"/>
          <w:color w:val="auto"/>
          <w:sz w:val="32"/>
          <w:szCs w:val="32"/>
          <w:lang w:val="en-US" w:eastAsia="zh-CN"/>
        </w:rPr>
        <w:t>1</w:t>
      </w:r>
      <w:r>
        <w:rPr>
          <w:rFonts w:hint="eastAsia" w:ascii="仿宋_GB2312" w:eastAsia="仿宋_GB2312" w:cs="DengXian-Regular"/>
          <w:color w:val="auto"/>
          <w:sz w:val="32"/>
          <w:szCs w:val="32"/>
        </w:rPr>
        <w:t>个，</w:t>
      </w:r>
      <w:r>
        <w:rPr>
          <w:rFonts w:hint="eastAsia" w:ascii="仿宋_GB2312" w:eastAsia="仿宋_GB2312" w:cs="DengXian-Regular"/>
          <w:color w:val="auto"/>
          <w:sz w:val="32"/>
          <w:szCs w:val="32"/>
          <w:lang w:eastAsia="zh-CN"/>
        </w:rPr>
        <w:t>获鹿镇政府本级。年末在编在职人员</w:t>
      </w:r>
      <w:r>
        <w:rPr>
          <w:rFonts w:hint="eastAsia" w:ascii="仿宋_GB2312" w:eastAsia="仿宋_GB2312" w:cs="DengXian-Regular"/>
          <w:color w:val="auto"/>
          <w:sz w:val="32"/>
          <w:szCs w:val="32"/>
          <w:lang w:val="en-US" w:eastAsia="zh-CN"/>
        </w:rPr>
        <w:t>90人，退休人员36人。</w:t>
      </w:r>
    </w:p>
    <w:p>
      <w:pPr>
        <w:widowControl/>
        <w:numPr>
          <w:ilvl w:val="0"/>
          <w:numId w:val="0"/>
        </w:numPr>
        <w:spacing w:line="400" w:lineRule="exact"/>
        <w:ind w:firstLine="640" w:firstLineChars="200"/>
        <w:rPr>
          <w:rFonts w:hint="eastAsia" w:ascii="仿宋" w:hAnsi="仿宋" w:eastAsia="仿宋"/>
          <w:color w:val="auto"/>
          <w:sz w:val="32"/>
          <w:szCs w:val="32"/>
          <w:lang w:eastAsia="zh-CN"/>
        </w:rPr>
      </w:pPr>
      <w:r>
        <w:rPr>
          <w:rFonts w:hint="eastAsia" w:ascii="宋体" w:hAnsi="宋体" w:eastAsia="宋体" w:cs="宋体"/>
          <w:color w:val="auto"/>
          <w:sz w:val="32"/>
          <w:szCs w:val="32"/>
        </w:rPr>
        <w:t>国有资产占用情况</w:t>
      </w:r>
      <w:r>
        <w:rPr>
          <w:rFonts w:hint="eastAsia" w:ascii="仿宋_GB2312" w:eastAsia="仿宋_GB2312" w:cs="DengXian-Regular"/>
          <w:color w:val="auto"/>
          <w:sz w:val="32"/>
          <w:szCs w:val="32"/>
          <w:lang w:eastAsia="zh-CN"/>
        </w:rPr>
        <w:t>：</w:t>
      </w:r>
      <w:r>
        <w:rPr>
          <w:rFonts w:hint="eastAsia" w:ascii="仿宋_GB2312" w:eastAsia="仿宋_GB2312" w:cs="DengXian-Regular"/>
          <w:color w:val="auto"/>
          <w:sz w:val="32"/>
          <w:szCs w:val="32"/>
        </w:rPr>
        <w:t>截至2022年12月31日，</w:t>
      </w:r>
      <w:r>
        <w:rPr>
          <w:rFonts w:hint="eastAsia" w:ascii="仿宋_GB2312" w:eastAsia="仿宋_GB2312" w:cs="DengXian-Regular"/>
          <w:color w:val="auto"/>
          <w:sz w:val="32"/>
          <w:szCs w:val="32"/>
          <w:lang w:eastAsia="zh-CN"/>
        </w:rPr>
        <w:t>本单位固定资产总值</w:t>
      </w:r>
      <w:r>
        <w:rPr>
          <w:rFonts w:hint="eastAsia" w:ascii="仿宋_GB2312" w:eastAsia="仿宋_GB2312" w:cs="DengXian-Regular"/>
          <w:color w:val="auto"/>
          <w:sz w:val="32"/>
          <w:szCs w:val="32"/>
          <w:lang w:val="en-US" w:eastAsia="zh-CN"/>
        </w:rPr>
        <w:t>734.73万元。</w:t>
      </w:r>
      <w:r>
        <w:rPr>
          <w:rFonts w:hint="eastAsia" w:ascii="仿宋_GB2312" w:eastAsia="仿宋_GB2312" w:cs="DengXian-Regular"/>
          <w:color w:val="auto"/>
          <w:sz w:val="32"/>
          <w:szCs w:val="32"/>
        </w:rPr>
        <w:t>共有</w:t>
      </w:r>
      <w:r>
        <w:rPr>
          <w:rFonts w:hint="eastAsia" w:ascii="仿宋_GB2312" w:eastAsia="仿宋_GB2312" w:cs="DengXian-Regular"/>
          <w:color w:val="auto"/>
          <w:sz w:val="32"/>
          <w:szCs w:val="32"/>
          <w:lang w:eastAsia="zh-CN"/>
        </w:rPr>
        <w:t>公</w:t>
      </w:r>
      <w:r>
        <w:rPr>
          <w:rFonts w:hint="eastAsia" w:ascii="仿宋_GB2312" w:eastAsia="仿宋_GB2312" w:cs="DengXian-Regular"/>
          <w:color w:val="auto"/>
          <w:sz w:val="32"/>
          <w:szCs w:val="32"/>
        </w:rPr>
        <w:t>车辆</w:t>
      </w:r>
      <w:r>
        <w:rPr>
          <w:rFonts w:hint="eastAsia" w:ascii="仿宋_GB2312" w:eastAsia="仿宋_GB2312" w:cs="DengXian-Regular"/>
          <w:color w:val="auto"/>
          <w:sz w:val="32"/>
          <w:szCs w:val="32"/>
          <w:lang w:val="en-US" w:eastAsia="zh-CN"/>
        </w:rPr>
        <w:t>3</w:t>
      </w:r>
      <w:r>
        <w:rPr>
          <w:rFonts w:hint="eastAsia" w:ascii="仿宋_GB2312" w:eastAsia="仿宋_GB2312" w:cs="DengXian-Regular"/>
          <w:color w:val="auto"/>
          <w:sz w:val="32"/>
          <w:szCs w:val="32"/>
        </w:rPr>
        <w:t>辆，比上年增加（减少）</w:t>
      </w:r>
      <w:r>
        <w:rPr>
          <w:rFonts w:hint="eastAsia" w:ascii="仿宋_GB2312" w:eastAsia="仿宋_GB2312" w:cs="DengXian-Regular"/>
          <w:color w:val="auto"/>
          <w:sz w:val="32"/>
          <w:szCs w:val="32"/>
          <w:lang w:val="en-US" w:eastAsia="zh-CN"/>
        </w:rPr>
        <w:t>0</w:t>
      </w:r>
      <w:r>
        <w:rPr>
          <w:rFonts w:hint="eastAsia" w:ascii="仿宋_GB2312" w:eastAsia="仿宋_GB2312" w:cs="DengXian-Regular"/>
          <w:color w:val="auto"/>
          <w:sz w:val="32"/>
          <w:szCs w:val="32"/>
        </w:rPr>
        <w:t>辆，</w:t>
      </w:r>
      <w:r>
        <w:rPr>
          <w:rFonts w:hint="eastAsia" w:ascii="仿宋_GB2312" w:eastAsia="仿宋_GB2312" w:cs="DengXian-Regular"/>
          <w:color w:val="auto"/>
          <w:sz w:val="32"/>
          <w:szCs w:val="32"/>
          <w:lang w:eastAsia="zh-CN"/>
        </w:rPr>
        <w:t>与</w:t>
      </w:r>
      <w:r>
        <w:rPr>
          <w:rFonts w:hint="eastAsia" w:ascii="仿宋_GB2312" w:eastAsia="仿宋_GB2312" w:cs="DengXian-Regular"/>
          <w:color w:val="auto"/>
          <w:sz w:val="32"/>
          <w:szCs w:val="32"/>
          <w:lang w:val="en-US" w:eastAsia="zh-CN"/>
        </w:rPr>
        <w:t>上年持平，</w:t>
      </w:r>
      <w:r>
        <w:rPr>
          <w:rFonts w:hint="eastAsia" w:ascii="仿宋_GB2312" w:eastAsia="仿宋_GB2312" w:cs="DengXian-Regular"/>
          <w:color w:val="auto"/>
          <w:sz w:val="32"/>
          <w:szCs w:val="32"/>
        </w:rPr>
        <w:t>主要应急保障用车辆</w:t>
      </w:r>
      <w:r>
        <w:rPr>
          <w:rFonts w:hint="eastAsia" w:ascii="仿宋_GB2312" w:eastAsia="仿宋_GB2312" w:cs="DengXian-Regular"/>
          <w:color w:val="auto"/>
          <w:sz w:val="32"/>
          <w:szCs w:val="32"/>
          <w:lang w:eastAsia="zh-CN"/>
        </w:rPr>
        <w:t>。</w:t>
      </w:r>
      <w:r>
        <w:rPr>
          <w:rFonts w:hint="eastAsia" w:ascii="仿宋_GB2312" w:eastAsia="仿宋_GB2312" w:cs="DengXian-Regular"/>
          <w:color w:val="auto"/>
          <w:sz w:val="32"/>
          <w:szCs w:val="32"/>
          <w:lang w:val="en-US" w:eastAsia="zh-CN"/>
        </w:rPr>
        <w:t>本单位没有</w:t>
      </w:r>
      <w:r>
        <w:rPr>
          <w:rFonts w:hint="eastAsia" w:ascii="仿宋_GB2312" w:eastAsia="仿宋_GB2312" w:cs="DengXian-Regular"/>
          <w:color w:val="auto"/>
          <w:sz w:val="32"/>
          <w:szCs w:val="32"/>
        </w:rPr>
        <w:t>单位价值50万元以上通用设备</w:t>
      </w:r>
      <w:r>
        <w:rPr>
          <w:rFonts w:hint="eastAsia" w:ascii="仿宋_GB2312" w:eastAsia="仿宋_GB2312" w:cs="DengXian-Regular"/>
          <w:color w:val="auto"/>
          <w:sz w:val="32"/>
          <w:szCs w:val="32"/>
          <w:lang w:val="en-US" w:eastAsia="zh-CN"/>
        </w:rPr>
        <w:t>及</w:t>
      </w:r>
      <w:r>
        <w:rPr>
          <w:rFonts w:hint="eastAsia" w:ascii="仿宋_GB2312" w:eastAsia="仿宋_GB2312" w:cs="DengXian-Regular"/>
          <w:color w:val="auto"/>
          <w:sz w:val="32"/>
          <w:szCs w:val="32"/>
        </w:rPr>
        <w:t>单位价值100万元以上专用设备</w:t>
      </w:r>
      <w:r>
        <w:rPr>
          <w:rFonts w:hint="eastAsia" w:ascii="仿宋_GB2312" w:eastAsia="仿宋_GB2312" w:cs="DengXian-Regular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eastAsia="仿宋_GB2312" w:cs="DengXian-Regular"/>
          <w:color w:val="auto"/>
          <w:sz w:val="32"/>
          <w:szCs w:val="32"/>
          <w:lang w:val="en-US" w:eastAsia="zh-CN"/>
        </w:rPr>
        <w:t>与上年持平</w:t>
      </w:r>
      <w:r>
        <w:rPr>
          <w:rFonts w:hint="eastAsia" w:ascii="仿宋_GB2312" w:eastAsia="仿宋_GB2312" w:cs="DengXian-Regular"/>
          <w:color w:val="auto"/>
          <w:sz w:val="32"/>
          <w:szCs w:val="32"/>
        </w:rPr>
        <w:t>。</w:t>
      </w:r>
    </w:p>
    <w:p>
      <w:pPr>
        <w:widowControl w:val="0"/>
        <w:numPr>
          <w:ilvl w:val="0"/>
          <w:numId w:val="1"/>
        </w:numPr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color w:val="auto"/>
          <w:sz w:val="32"/>
          <w:szCs w:val="32"/>
          <w:lang w:eastAsia="zh-CN"/>
        </w:rPr>
        <w:t>部门收支预决算情况</w:t>
      </w:r>
    </w:p>
    <w:p>
      <w:pPr>
        <w:widowControl/>
        <w:numPr>
          <w:ilvl w:val="0"/>
          <w:numId w:val="0"/>
        </w:numPr>
        <w:spacing w:line="400" w:lineRule="exact"/>
        <w:ind w:firstLine="640" w:firstLineChars="200"/>
        <w:rPr>
          <w:rFonts w:hint="eastAsia" w:ascii="仿宋" w:hAnsi="仿宋" w:eastAsia="仿宋" w:cs="楷体_GB2312"/>
          <w:b/>
          <w:bCs/>
          <w:color w:val="auto"/>
          <w:sz w:val="32"/>
          <w:szCs w:val="32"/>
          <w:lang w:eastAsia="zh-CN"/>
        </w:rPr>
      </w:pPr>
      <w:r>
        <w:rPr>
          <w:rFonts w:hint="eastAsia" w:ascii="仿宋_GB2312" w:eastAsia="仿宋_GB2312" w:cs="DengXian-Regular"/>
          <w:color w:val="auto"/>
          <w:sz w:val="32"/>
          <w:szCs w:val="32"/>
          <w:lang w:eastAsia="zh-CN"/>
        </w:rPr>
        <w:t>本部门2022年度财政拨款本年收入</w:t>
      </w:r>
      <w:r>
        <w:rPr>
          <w:rFonts w:hint="eastAsia" w:ascii="仿宋_GB2312" w:eastAsia="仿宋_GB2312" w:cs="DengXian-Regular"/>
          <w:color w:val="auto"/>
          <w:sz w:val="32"/>
          <w:szCs w:val="32"/>
          <w:lang w:val="en-US" w:eastAsia="zh-CN"/>
        </w:rPr>
        <w:t>5966.35</w:t>
      </w:r>
      <w:r>
        <w:rPr>
          <w:rFonts w:hint="eastAsia" w:ascii="仿宋_GB2312" w:eastAsia="仿宋_GB2312" w:cs="DengXian-Regular"/>
          <w:color w:val="auto"/>
          <w:sz w:val="32"/>
          <w:szCs w:val="32"/>
          <w:lang w:eastAsia="zh-CN"/>
        </w:rPr>
        <w:t>万元，完成年初预算</w:t>
      </w:r>
      <w:r>
        <w:rPr>
          <w:rFonts w:hint="eastAsia" w:ascii="仿宋_GB2312" w:eastAsia="仿宋_GB2312" w:cs="DengXian-Regular"/>
          <w:color w:val="auto"/>
          <w:sz w:val="32"/>
          <w:szCs w:val="32"/>
          <w:lang w:val="en-US" w:eastAsia="zh-CN"/>
        </w:rPr>
        <w:t>4035.51</w:t>
      </w:r>
      <w:r>
        <w:rPr>
          <w:rFonts w:hint="eastAsia" w:ascii="仿宋_GB2312" w:eastAsia="仿宋_GB2312" w:cs="DengXian-Regular"/>
          <w:color w:val="auto"/>
          <w:sz w:val="32"/>
          <w:szCs w:val="32"/>
          <w:lang w:eastAsia="zh-CN"/>
        </w:rPr>
        <w:t>的</w:t>
      </w:r>
      <w:r>
        <w:rPr>
          <w:rFonts w:hint="eastAsia" w:ascii="仿宋_GB2312" w:eastAsia="仿宋_GB2312" w:cs="DengXian-Regular"/>
          <w:color w:val="auto"/>
          <w:sz w:val="32"/>
          <w:szCs w:val="32"/>
          <w:lang w:val="en-US" w:eastAsia="zh-CN"/>
        </w:rPr>
        <w:t>147.85</w:t>
      </w:r>
      <w:r>
        <w:rPr>
          <w:rFonts w:hint="eastAsia" w:ascii="仿宋_GB2312" w:eastAsia="仿宋_GB2312" w:cs="DengXian-Regular"/>
          <w:color w:val="auto"/>
          <w:sz w:val="32"/>
          <w:szCs w:val="32"/>
          <w:lang w:eastAsia="zh-CN"/>
        </w:rPr>
        <w:t>%,比年初预算增加</w:t>
      </w:r>
      <w:r>
        <w:rPr>
          <w:rFonts w:hint="eastAsia" w:ascii="仿宋_GB2312" w:eastAsia="仿宋_GB2312" w:cs="DengXian-Regular"/>
          <w:color w:val="auto"/>
          <w:sz w:val="32"/>
          <w:szCs w:val="32"/>
          <w:lang w:val="en-US" w:eastAsia="zh-CN"/>
        </w:rPr>
        <w:t>1930.84</w:t>
      </w:r>
      <w:r>
        <w:rPr>
          <w:rFonts w:hint="eastAsia" w:ascii="仿宋_GB2312" w:eastAsia="仿宋_GB2312" w:cs="DengXian-Regular"/>
          <w:color w:val="auto"/>
          <w:sz w:val="32"/>
          <w:szCs w:val="32"/>
          <w:lang w:eastAsia="zh-CN"/>
        </w:rPr>
        <w:t>万元，决算数大于预算数主要原因是垃</w:t>
      </w:r>
      <w:r>
        <w:rPr>
          <w:rFonts w:hint="eastAsia" w:ascii="仿宋_GB2312" w:eastAsia="仿宋_GB2312" w:cs="DengXian-Regular"/>
          <w:color w:val="auto"/>
          <w:sz w:val="32"/>
          <w:szCs w:val="32"/>
          <w:lang w:val="en-US" w:eastAsia="zh-CN"/>
        </w:rPr>
        <w:t>圾分类项目增加300万元、占地税补助1518万元、拆违基金补助178.8万元</w:t>
      </w:r>
      <w:r>
        <w:rPr>
          <w:rFonts w:hint="eastAsia" w:ascii="仿宋_GB2312" w:eastAsia="仿宋_GB2312" w:cs="DengXian-Regular"/>
          <w:color w:val="auto"/>
          <w:sz w:val="32"/>
          <w:szCs w:val="32"/>
          <w:lang w:eastAsia="zh-CN"/>
        </w:rPr>
        <w:t>；本年支出</w:t>
      </w:r>
      <w:r>
        <w:rPr>
          <w:rFonts w:hint="eastAsia" w:ascii="仿宋_GB2312" w:eastAsia="仿宋_GB2312" w:cs="DengXian-Regular"/>
          <w:color w:val="auto"/>
          <w:sz w:val="32"/>
          <w:szCs w:val="32"/>
          <w:lang w:val="en-US" w:eastAsia="zh-CN"/>
        </w:rPr>
        <w:t>5966.35</w:t>
      </w:r>
      <w:r>
        <w:rPr>
          <w:rFonts w:hint="eastAsia" w:ascii="仿宋_GB2312" w:eastAsia="仿宋_GB2312" w:cs="DengXian-Regular"/>
          <w:color w:val="auto"/>
          <w:sz w:val="32"/>
          <w:szCs w:val="32"/>
          <w:lang w:eastAsia="zh-CN"/>
        </w:rPr>
        <w:t>万元，完成年初预算的</w:t>
      </w:r>
      <w:r>
        <w:rPr>
          <w:rFonts w:hint="eastAsia" w:ascii="仿宋_GB2312" w:eastAsia="仿宋_GB2312" w:cs="DengXian-Regular"/>
          <w:color w:val="auto"/>
          <w:sz w:val="32"/>
          <w:szCs w:val="32"/>
          <w:lang w:val="en-US" w:eastAsia="zh-CN"/>
        </w:rPr>
        <w:t>147.85</w:t>
      </w:r>
      <w:r>
        <w:rPr>
          <w:rFonts w:hint="eastAsia" w:ascii="仿宋_GB2312" w:eastAsia="仿宋_GB2312" w:cs="DengXian-Regular"/>
          <w:color w:val="auto"/>
          <w:sz w:val="32"/>
          <w:szCs w:val="32"/>
          <w:lang w:eastAsia="zh-CN"/>
        </w:rPr>
        <w:t>%,,比年初预算增加</w:t>
      </w:r>
      <w:r>
        <w:rPr>
          <w:rFonts w:hint="eastAsia" w:ascii="仿宋_GB2312" w:eastAsia="仿宋_GB2312" w:cs="DengXian-Regular"/>
          <w:color w:val="auto"/>
          <w:sz w:val="32"/>
          <w:szCs w:val="32"/>
          <w:lang w:val="en-US" w:eastAsia="zh-CN"/>
        </w:rPr>
        <w:t>1930.84</w:t>
      </w:r>
      <w:r>
        <w:rPr>
          <w:rFonts w:hint="eastAsia" w:ascii="仿宋_GB2312" w:eastAsia="仿宋_GB2312" w:cs="DengXian-Regular"/>
          <w:color w:val="auto"/>
          <w:sz w:val="32"/>
          <w:szCs w:val="32"/>
          <w:lang w:eastAsia="zh-CN"/>
        </w:rPr>
        <w:t>万元，决算数大于预算数主要原因是</w:t>
      </w:r>
      <w:r>
        <w:rPr>
          <w:rFonts w:hint="eastAsia" w:ascii="仿宋_GB2312" w:eastAsia="仿宋_GB2312" w:cs="DengXian-Regular"/>
          <w:color w:val="auto"/>
          <w:sz w:val="32"/>
          <w:szCs w:val="32"/>
          <w:lang w:val="en-US" w:eastAsia="zh-CN"/>
        </w:rPr>
        <w:t>圾分类项目增加300万元、占地税补助1518万元、拆违基金补助178.8万元</w:t>
      </w:r>
      <w:r>
        <w:rPr>
          <w:rFonts w:hint="eastAsia" w:ascii="仿宋_GB2312" w:eastAsia="仿宋_GB2312" w:cs="DengXian-Regular"/>
          <w:color w:val="auto"/>
          <w:sz w:val="32"/>
          <w:szCs w:val="32"/>
          <w:lang w:eastAsia="zh-CN"/>
        </w:rPr>
        <w:t>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color w:val="auto"/>
          <w:sz w:val="32"/>
          <w:szCs w:val="32"/>
          <w:lang w:eastAsia="zh-CN"/>
        </w:rPr>
        <w:t>（三）部门整体支出绩效目标、指标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" w:hAnsi="仿宋" w:eastAsia="仿宋"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参见部门预算绩效文本</w:t>
      </w:r>
      <w:r>
        <w:rPr>
          <w:rFonts w:hint="eastAsia" w:ascii="仿宋" w:hAnsi="仿宋" w:eastAsia="仿宋"/>
          <w:color w:val="auto"/>
          <w:sz w:val="32"/>
          <w:szCs w:val="32"/>
        </w:rPr>
        <w:t>绩效目标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、指标，本单位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2022年支出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绩效目标、指标均达到考核要求。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从评价情况来看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区级项目资金及时到位，绩效评估为优，镇级项目绩效评估较差，主要原因是今年预算资金不足，项目进展缓慢。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/>
          <w:color w:val="auto"/>
          <w:sz w:val="32"/>
          <w:szCs w:val="32"/>
        </w:rPr>
      </w:pPr>
      <w:r>
        <w:rPr>
          <w:rFonts w:hint="eastAsia" w:ascii="黑体" w:hAnsi="黑体" w:eastAsia="黑体"/>
          <w:color w:val="auto"/>
          <w:sz w:val="32"/>
          <w:szCs w:val="32"/>
        </w:rPr>
        <w:t>二、自评工作</w:t>
      </w:r>
      <w:r>
        <w:rPr>
          <w:rFonts w:hint="eastAsia" w:ascii="黑体" w:hAnsi="黑体" w:eastAsia="黑体"/>
          <w:color w:val="auto"/>
          <w:sz w:val="32"/>
          <w:szCs w:val="32"/>
          <w:lang w:eastAsia="zh-CN"/>
        </w:rPr>
        <w:t>开展</w:t>
      </w:r>
      <w:r>
        <w:rPr>
          <w:rFonts w:hint="eastAsia" w:ascii="黑体" w:hAnsi="黑体" w:eastAsia="黑体"/>
          <w:color w:val="auto"/>
          <w:sz w:val="32"/>
          <w:szCs w:val="32"/>
        </w:rPr>
        <w:t>情况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ascii="仿宋" w:hAnsi="仿宋" w:eastAsia="仿宋" w:cs="楷体_GB2312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 xml:space="preserve">    </w:t>
      </w:r>
      <w:r>
        <w:rPr>
          <w:rFonts w:hint="eastAsia" w:ascii="仿宋" w:hAnsi="仿宋" w:eastAsia="仿宋" w:cs="楷体_GB2312"/>
          <w:b/>
          <w:bCs/>
          <w:color w:val="auto"/>
          <w:sz w:val="32"/>
          <w:szCs w:val="32"/>
        </w:rPr>
        <w:t>（一）自评的组织工作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根据预算绩效管理要求，本部门组织对</w:t>
      </w:r>
      <w:r>
        <w:rPr>
          <w:rFonts w:ascii="仿宋_GB2312" w:hAnsi="仿宋_GB2312" w:eastAsia="仿宋_GB2312" w:cs="仿宋_GB2312"/>
          <w:color w:val="auto"/>
          <w:sz w:val="32"/>
          <w:szCs w:val="32"/>
        </w:rPr>
        <w:t>2022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年度一般公共预算项目支出全面开展绩效自评，其中，一级项目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个，二级项目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14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个，共涉及资金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3876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万元，占一般公共预算项目支出总额的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100</w:t>
      </w:r>
      <w:r>
        <w:rPr>
          <w:rFonts w:ascii="仿宋_GB2312" w:hAnsi="仿宋_GB2312" w:eastAsia="仿宋_GB2312" w:cs="仿宋_GB2312"/>
          <w:color w:val="auto"/>
          <w:sz w:val="32"/>
          <w:szCs w:val="32"/>
        </w:rPr>
        <w:t>%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。组织对</w:t>
      </w:r>
      <w:r>
        <w:rPr>
          <w:rFonts w:ascii="仿宋_GB2312" w:hAnsi="仿宋_GB2312" w:eastAsia="仿宋_GB2312" w:cs="仿宋_GB2312"/>
          <w:color w:val="auto"/>
          <w:sz w:val="32"/>
          <w:szCs w:val="32"/>
        </w:rPr>
        <w:t>2022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拆违补助项目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个政府性基金预算项目支出开展绩效自评，共涉及资金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178.8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万元，占政府性基金预算项目支出总额的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100</w:t>
      </w:r>
      <w:r>
        <w:rPr>
          <w:rFonts w:ascii="仿宋_GB2312" w:hAnsi="仿宋_GB2312" w:eastAsia="仿宋_GB2312" w:cs="仿宋_GB2312"/>
          <w:color w:val="auto"/>
          <w:sz w:val="32"/>
          <w:szCs w:val="32"/>
        </w:rPr>
        <w:t>%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本单位</w:t>
      </w:r>
      <w:r>
        <w:rPr>
          <w:rFonts w:ascii="仿宋_GB2312" w:hAnsi="仿宋_GB2312" w:eastAsia="仿宋_GB2312" w:cs="仿宋_GB2312"/>
          <w:color w:val="auto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无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国有资本经营预算项目支出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。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组织对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区级“啤酒厂占地补偿、获鹿北侧监测点周边绿化”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个一级项目开展了重点评价，涉及一般公共预算支出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236.11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政府性基金预算支出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一级项目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1个，涉及资金178.8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万元。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</w:t>
      </w:r>
    </w:p>
    <w:p>
      <w:pPr>
        <w:widowControl w:val="0"/>
        <w:numPr>
          <w:ilvl w:val="0"/>
          <w:numId w:val="2"/>
        </w:numPr>
        <w:wordWrap/>
        <w:spacing w:line="560" w:lineRule="exact"/>
        <w:ind w:left="642" w:leftChars="0" w:right="0" w:firstLine="0" w:firstLineChars="0"/>
        <w:textAlignment w:val="auto"/>
        <w:outlineLvl w:val="9"/>
        <w:rPr>
          <w:rFonts w:hint="eastAsia" w:ascii="仿宋" w:hAnsi="仿宋" w:eastAsia="仿宋" w:cs="楷体_GB2312"/>
          <w:b/>
          <w:bCs/>
          <w:color w:val="auto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color w:val="auto"/>
          <w:sz w:val="32"/>
          <w:szCs w:val="32"/>
        </w:rPr>
        <w:t>自评的方法和过程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我单位组织各部门人员，参照预算绩效文本中总体绩效目标，解析整体绩效目标实现情况。参照预算绩效文本中分项绩效目标、指标，从完成数量、质量、时效、成本效益</w:t>
      </w:r>
      <w:r>
        <w:rPr>
          <w:rFonts w:hint="eastAsia" w:ascii="仿宋" w:hAnsi="仿宋" w:eastAsia="仿宋"/>
          <w:color w:val="auto"/>
          <w:sz w:val="32"/>
          <w:szCs w:val="32"/>
        </w:rPr>
        <w:t>等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方面</w:t>
      </w:r>
      <w:r>
        <w:rPr>
          <w:rFonts w:hint="eastAsia" w:ascii="仿宋" w:hAnsi="仿宋" w:eastAsia="仿宋"/>
          <w:color w:val="auto"/>
          <w:sz w:val="32"/>
          <w:szCs w:val="32"/>
        </w:rPr>
        <w:t>，对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分项目标指标完成情况进行评价。考查指标要细化、量化，得分依据等。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eastAsia" w:ascii="黑体" w:hAnsi="黑体" w:eastAsia="黑体"/>
          <w:b/>
          <w:bCs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color w:val="auto"/>
          <w:sz w:val="32"/>
          <w:szCs w:val="32"/>
        </w:rPr>
        <w:t xml:space="preserve">    </w:t>
      </w:r>
      <w:r>
        <w:rPr>
          <w:rFonts w:hint="eastAsia" w:ascii="仿宋" w:hAnsi="仿宋" w:eastAsia="仿宋"/>
          <w:b/>
          <w:bCs/>
          <w:color w:val="auto"/>
          <w:sz w:val="32"/>
          <w:szCs w:val="32"/>
        </w:rPr>
        <w:t xml:space="preserve"> </w:t>
      </w:r>
      <w:r>
        <w:rPr>
          <w:rFonts w:hint="eastAsia" w:ascii="黑体" w:hAnsi="黑体" w:eastAsia="黑体"/>
          <w:color w:val="auto"/>
          <w:sz w:val="32"/>
          <w:szCs w:val="32"/>
        </w:rPr>
        <w:t>三、</w:t>
      </w:r>
      <w:r>
        <w:rPr>
          <w:rFonts w:hint="eastAsia" w:ascii="黑体" w:hAnsi="黑体" w:eastAsia="黑体"/>
          <w:color w:val="auto"/>
          <w:sz w:val="32"/>
          <w:szCs w:val="32"/>
          <w:lang w:eastAsia="zh-CN"/>
        </w:rPr>
        <w:t>部门整体支出</w:t>
      </w:r>
      <w:r>
        <w:rPr>
          <w:rFonts w:hint="eastAsia" w:ascii="黑体" w:hAnsi="黑体" w:eastAsia="黑体"/>
          <w:color w:val="auto"/>
          <w:sz w:val="32"/>
          <w:szCs w:val="32"/>
        </w:rPr>
        <w:t>绩效</w:t>
      </w:r>
      <w:r>
        <w:rPr>
          <w:rFonts w:hint="eastAsia" w:ascii="黑体" w:hAnsi="黑体" w:eastAsia="黑体"/>
          <w:color w:val="auto"/>
          <w:sz w:val="32"/>
          <w:szCs w:val="32"/>
          <w:lang w:eastAsia="zh-CN"/>
        </w:rPr>
        <w:t>目标实现情况及指标分析</w:t>
      </w:r>
    </w:p>
    <w:p>
      <w:pPr>
        <w:widowControl w:val="0"/>
        <w:numPr>
          <w:ilvl w:val="0"/>
          <w:numId w:val="3"/>
        </w:numPr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楷体_GB2312"/>
          <w:b/>
          <w:bCs/>
          <w:color w:val="auto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color w:val="auto"/>
          <w:sz w:val="32"/>
          <w:szCs w:val="32"/>
          <w:lang w:eastAsia="zh-CN"/>
        </w:rPr>
        <w:t>总体绩效目标实现情况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参照预算绩效文本中总体绩效目标，本单位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2022年度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整体绩效目标均已实现。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/>
          <w:b/>
          <w:bCs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/>
          <w:b/>
          <w:bCs/>
          <w:color w:val="auto"/>
          <w:sz w:val="32"/>
          <w:szCs w:val="32"/>
        </w:rPr>
        <w:t xml:space="preserve">   </w:t>
      </w:r>
      <w:r>
        <w:rPr>
          <w:rFonts w:hint="eastAsia" w:ascii="仿宋" w:hAnsi="仿宋" w:eastAsia="仿宋" w:cs="楷体_GB2312"/>
          <w:b/>
          <w:bCs/>
          <w:color w:val="auto"/>
          <w:sz w:val="32"/>
          <w:szCs w:val="32"/>
        </w:rPr>
        <w:t xml:space="preserve"> （二）</w:t>
      </w:r>
      <w:r>
        <w:rPr>
          <w:rFonts w:hint="eastAsia" w:ascii="仿宋" w:hAnsi="仿宋" w:eastAsia="仿宋" w:cs="楷体_GB2312"/>
          <w:b/>
          <w:bCs/>
          <w:color w:val="auto"/>
          <w:sz w:val="32"/>
          <w:szCs w:val="32"/>
          <w:lang w:eastAsia="zh-CN"/>
        </w:rPr>
        <w:t>分项绩效目标实现情况及指标分析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Times New Roman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本部门在今年部门决算公开中反映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啤酒厂占地补偿、获中侧北监测点周边绿化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”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等区级资金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项目及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镇级“公共安全保卫维稳、节能环保管理”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个项目绩效自评结果。</w:t>
      </w:r>
    </w:p>
    <w:p>
      <w:pPr>
        <w:numPr>
          <w:ilvl w:val="0"/>
          <w:numId w:val="4"/>
        </w:numPr>
        <w:adjustRightInd w:val="0"/>
        <w:snapToGrid w:val="0"/>
        <w:spacing w:line="600" w:lineRule="exact"/>
        <w:ind w:left="-10" w:leftChars="0" w:firstLine="640" w:firstLineChars="0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军人退役人员公益岗位工资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项目自评综述：根据年初设定的绩效目标，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该项目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项目绩效自评得分为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100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分。全年预算数为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149.8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万元，执行数为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149.8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万元，完成预算的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100%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。项目绩效目标完成情况：一是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按时完成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；二是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高质量完成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该项目有效安置退役军人岗位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27个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27名退役军人得到相应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补偿。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下一步改进措施：一是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健全考核机制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；二是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加强事后监督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。</w:t>
      </w:r>
    </w:p>
    <w:p>
      <w:pPr>
        <w:numPr>
          <w:ilvl w:val="0"/>
          <w:numId w:val="4"/>
        </w:numPr>
        <w:adjustRightInd w:val="0"/>
        <w:snapToGrid w:val="0"/>
        <w:spacing w:line="600" w:lineRule="exact"/>
        <w:ind w:left="-10" w:leftChars="0" w:firstLine="640" w:firstLineChars="0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啤酒厂占地补偿、武装部占地补偿、排水泵站管护运行费、获中北侧监测点周边绿化租地、智慧广场花海租地等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5个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项目绩效自评综述：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5个项目都是区级资金支持项目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预算资金共计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86.31万元，执行数86.31万元，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预算数和执行数一致，预算完成率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100%。项目目标都能按时高质量完成，补偿及时到位有效保障了人民的生活水平。</w:t>
      </w:r>
    </w:p>
    <w:p>
      <w:pPr>
        <w:numPr>
          <w:ilvl w:val="0"/>
          <w:numId w:val="4"/>
        </w:numPr>
        <w:adjustRightInd w:val="0"/>
        <w:snapToGrid w:val="0"/>
        <w:spacing w:line="600" w:lineRule="exact"/>
        <w:ind w:left="-10" w:leftChars="0" w:firstLine="640" w:firstLineChars="0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公共安全保卫维稳事务、节能环保管理事务、农村公益事业补助项目、城乡建设占地补偿项目、医疗卫生与计划生育事务、文化体育宣传事务等这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6个项目都是保障我镇正常运行的自有资金项目。预算资金412万元，执行数为412万元，预算执行率100%。上述项目目标都能较好完成，保障了我镇各项工作正常运行。</w:t>
      </w:r>
    </w:p>
    <w:p>
      <w:pPr>
        <w:numPr>
          <w:ilvl w:val="0"/>
          <w:numId w:val="4"/>
        </w:numPr>
        <w:adjustRightInd w:val="0"/>
        <w:snapToGrid w:val="0"/>
        <w:spacing w:line="600" w:lineRule="exact"/>
        <w:ind w:left="-10" w:leftChars="0" w:firstLine="640" w:firstLineChars="0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人居环境打造项目、学校代课老师劳务费项目、机关社区辅助人员劳务费项目、社区管理服务提升等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4个项目，是我镇的民生投入项目，预算数1494万元，执行数1494万元，预算执行率100%。由于我镇上年财力不足，上述4个项目2022年度预算资金不足，资金支付需列入下年预算。</w:t>
      </w:r>
    </w:p>
    <w:p>
      <w:pPr>
        <w:numPr>
          <w:ilvl w:val="0"/>
          <w:numId w:val="4"/>
        </w:numPr>
        <w:adjustRightInd w:val="0"/>
        <w:snapToGrid w:val="0"/>
        <w:spacing w:line="600" w:lineRule="exact"/>
        <w:ind w:left="-10" w:leftChars="0" w:firstLine="640" w:firstLineChars="0"/>
        <w:rPr>
          <w:rFonts w:hint="eastAsia" w:ascii="仿宋" w:hAnsi="仿宋" w:eastAsia="仿宋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占地税补缴项目、垃圾分类项目、人道主义救助项目、拆违补助、大气治理、疫情防控等6个项目，追加预算数2148.8万元，执行预算数2148.8万元，6个都是本年预算追加项目，均按时保质保量完成了预算目标。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/>
          <w:color w:val="auto"/>
          <w:sz w:val="32"/>
          <w:szCs w:val="32"/>
        </w:rPr>
      </w:pPr>
      <w:r>
        <w:rPr>
          <w:rFonts w:hint="eastAsia" w:ascii="黑体" w:hAnsi="黑体" w:eastAsia="黑体"/>
          <w:color w:val="auto"/>
          <w:sz w:val="32"/>
          <w:szCs w:val="32"/>
        </w:rPr>
        <w:t>四、评价结论和评价等级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根据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部门职责定位和各项工作履职情况进行综合评价</w:t>
      </w:r>
      <w:r>
        <w:rPr>
          <w:rFonts w:hint="eastAsia" w:ascii="仿宋" w:hAnsi="仿宋" w:eastAsia="仿宋"/>
          <w:color w:val="auto"/>
          <w:sz w:val="32"/>
          <w:szCs w:val="32"/>
        </w:rPr>
        <w:t>，给出总得分，满分100分，得出综合绩效评价等级。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部门整体支出</w:t>
      </w:r>
      <w:r>
        <w:rPr>
          <w:rFonts w:hint="eastAsia" w:ascii="仿宋" w:hAnsi="仿宋" w:eastAsia="仿宋"/>
          <w:color w:val="auto"/>
          <w:sz w:val="32"/>
          <w:szCs w:val="32"/>
        </w:rPr>
        <w:t>综合绩效评价分为4个等级：得分</w:t>
      </w:r>
      <w:r>
        <w:rPr>
          <w:rFonts w:ascii="仿宋" w:hAnsi="仿宋" w:eastAsia="仿宋" w:cs="Arial"/>
          <w:color w:val="auto"/>
          <w:sz w:val="32"/>
          <w:szCs w:val="32"/>
        </w:rPr>
        <w:t>≥</w:t>
      </w:r>
      <w:r>
        <w:rPr>
          <w:rFonts w:hint="eastAsia" w:ascii="仿宋" w:hAnsi="仿宋" w:eastAsia="仿宋"/>
          <w:color w:val="auto"/>
          <w:sz w:val="32"/>
          <w:szCs w:val="32"/>
        </w:rPr>
        <w:t>85分为优秀；75</w:t>
      </w:r>
      <w:r>
        <w:rPr>
          <w:rFonts w:ascii="仿宋" w:hAnsi="仿宋" w:eastAsia="仿宋" w:cs="Arial"/>
          <w:color w:val="auto"/>
          <w:sz w:val="32"/>
          <w:szCs w:val="32"/>
        </w:rPr>
        <w:t>≤</w:t>
      </w:r>
      <w:r>
        <w:rPr>
          <w:rFonts w:hint="eastAsia" w:ascii="仿宋" w:hAnsi="仿宋" w:eastAsia="仿宋"/>
          <w:color w:val="auto"/>
          <w:sz w:val="32"/>
          <w:szCs w:val="32"/>
        </w:rPr>
        <w:t>得分＜85分为良好；60</w:t>
      </w:r>
      <w:r>
        <w:rPr>
          <w:rFonts w:ascii="仿宋" w:hAnsi="仿宋" w:eastAsia="仿宋" w:cs="Arial"/>
          <w:color w:val="auto"/>
          <w:sz w:val="32"/>
          <w:szCs w:val="32"/>
        </w:rPr>
        <w:t>≤</w:t>
      </w:r>
      <w:r>
        <w:rPr>
          <w:rFonts w:hint="eastAsia" w:ascii="仿宋" w:hAnsi="仿宋" w:eastAsia="仿宋"/>
          <w:color w:val="auto"/>
          <w:sz w:val="32"/>
          <w:szCs w:val="32"/>
        </w:rPr>
        <w:t>得分＜75分为一般；得分＜60分为较差。</w:t>
      </w:r>
    </w:p>
    <w:p>
      <w:pPr>
        <w:pageBreakBefore w:val="0"/>
        <w:widowControl w:val="0"/>
        <w:kinsoku/>
        <w:wordWrap/>
        <w:overflowPunct/>
        <w:topLinePunct w:val="0"/>
        <w:bidi w:val="0"/>
        <w:adjustRightInd/>
        <w:snapToGrid w:val="0"/>
        <w:spacing w:before="0" w:after="0" w:line="62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宋体" w:eastAsia="仿宋_GB2312"/>
          <w:color w:val="auto"/>
          <w:sz w:val="32"/>
          <w:szCs w:val="32"/>
        </w:rPr>
      </w:pPr>
      <w:r>
        <w:rPr>
          <w:rFonts w:hint="eastAsia" w:ascii="仿宋_GB2312" w:hAnsi="宋体" w:eastAsia="仿宋_GB2312"/>
          <w:color w:val="auto"/>
          <w:sz w:val="32"/>
          <w:szCs w:val="32"/>
        </w:rPr>
        <w:t>202</w:t>
      </w:r>
      <w:r>
        <w:rPr>
          <w:rFonts w:hint="eastAsia" w:ascii="仿宋_GB2312" w:hAnsi="宋体" w:eastAsia="仿宋_GB2312"/>
          <w:color w:val="auto"/>
          <w:sz w:val="32"/>
          <w:szCs w:val="32"/>
          <w:lang w:val="en-US" w:eastAsia="zh-CN"/>
        </w:rPr>
        <w:t>2</w:t>
      </w:r>
      <w:r>
        <w:rPr>
          <w:rFonts w:hint="eastAsia" w:ascii="仿宋_GB2312" w:hAnsi="宋体" w:eastAsia="仿宋_GB2312"/>
          <w:color w:val="auto"/>
          <w:sz w:val="32"/>
          <w:szCs w:val="32"/>
        </w:rPr>
        <w:t>年</w:t>
      </w:r>
      <w:r>
        <w:rPr>
          <w:rFonts w:hint="eastAsia" w:ascii="仿宋_GB2312" w:hAnsi="宋体" w:eastAsia="仿宋_GB2312"/>
          <w:color w:val="auto"/>
          <w:sz w:val="32"/>
          <w:szCs w:val="32"/>
          <w:lang w:eastAsia="zh-CN"/>
        </w:rPr>
        <w:t>本单位</w:t>
      </w:r>
      <w:r>
        <w:rPr>
          <w:rFonts w:hint="eastAsia" w:ascii="仿宋_GB2312" w:hAnsi="宋体" w:eastAsia="仿宋_GB2312"/>
          <w:color w:val="auto"/>
          <w:sz w:val="32"/>
          <w:szCs w:val="32"/>
        </w:rPr>
        <w:t>绩效自评项目共</w:t>
      </w:r>
      <w:r>
        <w:rPr>
          <w:rFonts w:hint="eastAsia" w:ascii="仿宋_GB2312" w:hAnsi="宋体" w:eastAsia="仿宋_GB2312"/>
          <w:color w:val="auto"/>
          <w:sz w:val="32"/>
          <w:szCs w:val="32"/>
          <w:lang w:val="en-US" w:eastAsia="zh-CN"/>
        </w:rPr>
        <w:t>22</w:t>
      </w:r>
      <w:r>
        <w:rPr>
          <w:rFonts w:hint="eastAsia" w:ascii="仿宋_GB2312" w:hAnsi="宋体" w:eastAsia="仿宋_GB2312"/>
          <w:color w:val="auto"/>
          <w:sz w:val="32"/>
          <w:szCs w:val="32"/>
        </w:rPr>
        <w:t>个，其中</w:t>
      </w:r>
      <w:r>
        <w:rPr>
          <w:rFonts w:hint="eastAsia" w:ascii="仿宋_GB2312" w:hAnsi="仿宋" w:eastAsia="仿宋_GB2312"/>
          <w:color w:val="auto"/>
          <w:sz w:val="32"/>
          <w:szCs w:val="32"/>
        </w:rPr>
        <w:t>评价等级为“优”项目</w:t>
      </w:r>
      <w:r>
        <w:rPr>
          <w:rFonts w:hint="eastAsia" w:ascii="仿宋_GB2312" w:hAnsi="仿宋" w:eastAsia="仿宋_GB2312"/>
          <w:color w:val="auto"/>
          <w:sz w:val="32"/>
          <w:szCs w:val="32"/>
          <w:lang w:val="en-US" w:eastAsia="zh-CN"/>
        </w:rPr>
        <w:t>18</w:t>
      </w:r>
      <w:r>
        <w:rPr>
          <w:rFonts w:hint="eastAsia" w:ascii="仿宋_GB2312" w:hAnsi="仿宋" w:eastAsia="仿宋_GB2312"/>
          <w:color w:val="auto"/>
          <w:sz w:val="32"/>
          <w:szCs w:val="32"/>
        </w:rPr>
        <w:t>个，评优率为</w:t>
      </w:r>
      <w:r>
        <w:rPr>
          <w:rFonts w:hint="eastAsia" w:ascii="仿宋_GB2312" w:hAnsi="仿宋" w:eastAsia="仿宋_GB2312"/>
          <w:color w:val="auto"/>
          <w:sz w:val="32"/>
          <w:szCs w:val="32"/>
          <w:lang w:val="en-US" w:eastAsia="zh-CN"/>
        </w:rPr>
        <w:t>81.82</w:t>
      </w:r>
      <w:r>
        <w:rPr>
          <w:rFonts w:hint="eastAsia" w:ascii="仿宋_GB2312" w:hAnsi="仿宋" w:eastAsia="仿宋_GB2312"/>
          <w:color w:val="auto"/>
          <w:sz w:val="32"/>
          <w:szCs w:val="32"/>
        </w:rPr>
        <w:t>%；评价等级为“良”的项目</w:t>
      </w:r>
      <w:r>
        <w:rPr>
          <w:rFonts w:hint="eastAsia" w:ascii="仿宋_GB2312" w:hAnsi="仿宋" w:eastAsia="仿宋_GB2312"/>
          <w:color w:val="auto"/>
          <w:sz w:val="32"/>
          <w:szCs w:val="32"/>
          <w:lang w:val="en-US" w:eastAsia="zh-CN"/>
        </w:rPr>
        <w:t>4</w:t>
      </w:r>
      <w:r>
        <w:rPr>
          <w:rFonts w:hint="eastAsia" w:ascii="仿宋_GB2312" w:hAnsi="仿宋" w:eastAsia="仿宋_GB2312"/>
          <w:color w:val="auto"/>
          <w:sz w:val="32"/>
          <w:szCs w:val="32"/>
        </w:rPr>
        <w:t>个，评良率为</w:t>
      </w:r>
      <w:r>
        <w:rPr>
          <w:rFonts w:hint="eastAsia" w:ascii="仿宋_GB2312" w:hAnsi="仿宋" w:eastAsia="仿宋_GB2312"/>
          <w:color w:val="auto"/>
          <w:sz w:val="32"/>
          <w:szCs w:val="32"/>
          <w:lang w:val="en-US" w:eastAsia="zh-CN"/>
        </w:rPr>
        <w:t>18.18</w:t>
      </w:r>
      <w:r>
        <w:rPr>
          <w:rFonts w:hint="eastAsia" w:ascii="仿宋_GB2312" w:hAnsi="仿宋" w:eastAsia="仿宋_GB2312"/>
          <w:color w:val="auto"/>
          <w:sz w:val="32"/>
          <w:szCs w:val="32"/>
        </w:rPr>
        <w:t>%。</w:t>
      </w:r>
      <w:r>
        <w:rPr>
          <w:rFonts w:hint="eastAsia" w:ascii="仿宋_GB2312" w:hAnsi="宋体" w:eastAsia="仿宋_GB2312"/>
          <w:color w:val="auto"/>
          <w:sz w:val="32"/>
          <w:szCs w:val="32"/>
        </w:rPr>
        <w:t>详见</w:t>
      </w:r>
      <w:r>
        <w:rPr>
          <w:rFonts w:hint="eastAsia" w:ascii="仿宋_GB2312" w:hAnsi="宋体" w:eastAsia="仿宋_GB2312"/>
          <w:color w:val="auto"/>
          <w:sz w:val="32"/>
          <w:szCs w:val="32"/>
          <w:lang w:val="en-US" w:eastAsia="zh-CN"/>
        </w:rPr>
        <w:t>下</w:t>
      </w:r>
      <w:r>
        <w:rPr>
          <w:rFonts w:hint="eastAsia" w:ascii="仿宋_GB2312" w:hAnsi="宋体" w:eastAsia="仿宋_GB2312"/>
          <w:color w:val="auto"/>
          <w:sz w:val="32"/>
          <w:szCs w:val="32"/>
        </w:rPr>
        <w:t>表。</w:t>
      </w:r>
    </w:p>
    <w:p>
      <w:pPr>
        <w:wordWrap/>
        <w:adjustRightInd/>
        <w:snapToGrid w:val="0"/>
        <w:spacing w:before="0" w:after="0" w:line="360" w:lineRule="auto"/>
        <w:ind w:left="-105" w:leftChars="-50" w:right="-105" w:rightChars="-50"/>
        <w:jc w:val="center"/>
        <w:textAlignment w:val="auto"/>
        <w:outlineLvl w:val="9"/>
        <w:rPr>
          <w:rFonts w:ascii="仿宋_GB2312" w:hAnsi="宋体" w:eastAsia="仿宋_GB2312"/>
          <w:b/>
          <w:color w:val="auto"/>
          <w:sz w:val="32"/>
          <w:szCs w:val="32"/>
        </w:rPr>
      </w:pPr>
      <w:r>
        <w:rPr>
          <w:rFonts w:hint="eastAsia" w:ascii="仿宋_GB2312" w:hAnsi="宋体" w:eastAsia="仿宋_GB2312"/>
          <w:b/>
          <w:color w:val="auto"/>
          <w:sz w:val="32"/>
          <w:szCs w:val="32"/>
          <w:lang w:val="en-US" w:eastAsia="zh-CN"/>
        </w:rPr>
        <w:t>获鹿镇</w:t>
      </w:r>
      <w:r>
        <w:rPr>
          <w:rFonts w:hint="eastAsia" w:ascii="仿宋_GB2312" w:hAnsi="宋体" w:eastAsia="仿宋_GB2312"/>
          <w:b/>
          <w:color w:val="auto"/>
          <w:sz w:val="32"/>
          <w:szCs w:val="32"/>
        </w:rPr>
        <w:t>绩效自评结果统计表</w:t>
      </w:r>
    </w:p>
    <w:tbl>
      <w:tblPr>
        <w:tblStyle w:val="5"/>
        <w:tblW w:w="8238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3"/>
        <w:gridCol w:w="5515"/>
        <w:gridCol w:w="1000"/>
        <w:gridCol w:w="96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8" w:hRule="atLeast"/>
          <w:jc w:val="center"/>
        </w:trPr>
        <w:tc>
          <w:tcPr>
            <w:tcW w:w="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2"/>
                <w:szCs w:val="22"/>
              </w:rPr>
              <w:t>序号</w:t>
            </w:r>
          </w:p>
        </w:tc>
        <w:tc>
          <w:tcPr>
            <w:tcW w:w="551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2"/>
                <w:szCs w:val="22"/>
              </w:rPr>
              <w:t>项目名称</w:t>
            </w:r>
          </w:p>
        </w:tc>
        <w:tc>
          <w:tcPr>
            <w:tcW w:w="10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2"/>
                <w:szCs w:val="22"/>
              </w:rPr>
              <w:t>自评得分</w:t>
            </w:r>
          </w:p>
        </w:tc>
        <w:tc>
          <w:tcPr>
            <w:tcW w:w="9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2"/>
                <w:szCs w:val="22"/>
              </w:rPr>
              <w:t>评价等级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ascii="仿宋_GB2312" w:hAnsi="宋体" w:eastAsia="仿宋_GB2312" w:cs="宋体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1</w:t>
            </w:r>
          </w:p>
        </w:tc>
        <w:tc>
          <w:tcPr>
            <w:tcW w:w="55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left"/>
              <w:textAlignment w:val="auto"/>
              <w:outlineLvl w:val="9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啤酒厂占地补偿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right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  <w:t xml:space="preserve"> 100.00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  <w:t>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ascii="仿宋_GB2312" w:hAnsi="宋体" w:eastAsia="仿宋_GB2312" w:cs="宋体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2</w:t>
            </w:r>
          </w:p>
        </w:tc>
        <w:tc>
          <w:tcPr>
            <w:tcW w:w="55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left"/>
              <w:textAlignment w:val="auto"/>
              <w:outlineLvl w:val="9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武装部占地补偿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right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  <w:t xml:space="preserve">   100.00 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  <w:t xml:space="preserve"> 优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ascii="仿宋_GB2312" w:hAnsi="宋体" w:eastAsia="仿宋_GB2312" w:cs="宋体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3</w:t>
            </w:r>
          </w:p>
        </w:tc>
        <w:tc>
          <w:tcPr>
            <w:tcW w:w="55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left"/>
              <w:textAlignment w:val="auto"/>
              <w:outlineLvl w:val="9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排水泵站管护运行费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right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  <w:t xml:space="preserve">   100.00 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  <w:t xml:space="preserve"> 优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ascii="仿宋_GB2312" w:hAnsi="宋体" w:eastAsia="仿宋_GB2312" w:cs="宋体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4</w:t>
            </w:r>
          </w:p>
        </w:tc>
        <w:tc>
          <w:tcPr>
            <w:tcW w:w="55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left"/>
              <w:textAlignment w:val="auto"/>
              <w:outlineLvl w:val="9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获中北侧监测点周边绿化租地款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right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  <w:t xml:space="preserve">  100.00 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  <w:t xml:space="preserve"> 优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ascii="仿宋_GB2312" w:hAnsi="宋体" w:eastAsia="仿宋_GB2312" w:cs="宋体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5</w:t>
            </w:r>
          </w:p>
        </w:tc>
        <w:tc>
          <w:tcPr>
            <w:tcW w:w="55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left"/>
              <w:textAlignment w:val="auto"/>
              <w:outlineLvl w:val="9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军人退役人员公益岗位安置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right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  <w:t>100.00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  <w:t>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ascii="仿宋_GB2312" w:hAnsi="宋体" w:eastAsia="仿宋_GB2312" w:cs="宋体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</w:rPr>
              <w:t>6</w:t>
            </w:r>
          </w:p>
        </w:tc>
        <w:tc>
          <w:tcPr>
            <w:tcW w:w="55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left"/>
              <w:textAlignment w:val="auto"/>
              <w:outlineLvl w:val="9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智慧广场花海租地项目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tabs>
                <w:tab w:val="left" w:pos="426"/>
              </w:tabs>
              <w:wordWrap/>
              <w:adjustRightInd/>
              <w:spacing w:before="0" w:after="0" w:line="360" w:lineRule="auto"/>
              <w:ind w:left="-105" w:leftChars="-50" w:right="-105" w:rightChars="-50"/>
              <w:jc w:val="right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val="en-US" w:eastAsia="zh-CN"/>
              </w:rPr>
              <w:t>100.00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eastAsia="zh-CN"/>
              </w:rPr>
              <w:t>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7</w:t>
            </w:r>
          </w:p>
        </w:tc>
        <w:tc>
          <w:tcPr>
            <w:tcW w:w="55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left"/>
              <w:textAlignment w:val="auto"/>
              <w:outlineLvl w:val="9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农村公益事业补助项目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tabs>
                <w:tab w:val="left" w:pos="426"/>
              </w:tabs>
              <w:wordWrap/>
              <w:adjustRightInd/>
              <w:spacing w:before="0" w:after="0" w:line="360" w:lineRule="auto"/>
              <w:ind w:left="-105" w:leftChars="-50" w:right="-105" w:rightChars="-50"/>
              <w:jc w:val="right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val="en-US" w:eastAsia="zh-CN"/>
              </w:rPr>
              <w:t>95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eastAsia="zh-CN"/>
              </w:rPr>
              <w:t>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8</w:t>
            </w:r>
          </w:p>
        </w:tc>
        <w:tc>
          <w:tcPr>
            <w:tcW w:w="55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left"/>
              <w:textAlignment w:val="auto"/>
              <w:outlineLvl w:val="9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公共安全保卫维稳事务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right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  <w:t xml:space="preserve">    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val="en-US" w:eastAsia="zh-CN"/>
              </w:rPr>
              <w:t>100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  <w:t xml:space="preserve"> 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  <w:t xml:space="preserve"> 优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9</w:t>
            </w:r>
          </w:p>
        </w:tc>
        <w:tc>
          <w:tcPr>
            <w:tcW w:w="55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left"/>
              <w:textAlignment w:val="auto"/>
              <w:outlineLvl w:val="9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节能环保管理事务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right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val="en-US" w:eastAsia="zh-CN"/>
              </w:rPr>
              <w:t>90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  <w:t xml:space="preserve"> 优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10</w:t>
            </w:r>
          </w:p>
        </w:tc>
        <w:tc>
          <w:tcPr>
            <w:tcW w:w="55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left"/>
              <w:textAlignment w:val="auto"/>
              <w:outlineLvl w:val="9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垃圾分类项目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right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  <w:t xml:space="preserve"> 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val="en-US" w:eastAsia="zh-CN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  <w:t xml:space="preserve"> 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eastAsia="zh-CN"/>
              </w:rPr>
              <w:t>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11</w:t>
            </w:r>
          </w:p>
        </w:tc>
        <w:tc>
          <w:tcPr>
            <w:tcW w:w="55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tabs>
                <w:tab w:val="left" w:pos="826"/>
              </w:tabs>
              <w:wordWrap/>
              <w:adjustRightInd/>
              <w:spacing w:before="0" w:after="0" w:line="360" w:lineRule="auto"/>
              <w:ind w:right="-105" w:rightChars="-50"/>
              <w:jc w:val="both"/>
              <w:textAlignment w:val="auto"/>
              <w:outlineLvl w:val="9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疫情防控补贴项目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ab/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right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val="en-US" w:eastAsia="zh-CN"/>
              </w:rPr>
              <w:t xml:space="preserve">  100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tabs>
                <w:tab w:val="left" w:pos="296"/>
              </w:tabs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eastAsia="zh-CN"/>
              </w:rPr>
              <w:t>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12</w:t>
            </w:r>
          </w:p>
        </w:tc>
        <w:tc>
          <w:tcPr>
            <w:tcW w:w="55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right="-105" w:rightChars="-50"/>
              <w:jc w:val="left"/>
              <w:textAlignment w:val="auto"/>
              <w:outlineLvl w:val="9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城乡人居环境打造项目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tabs>
                <w:tab w:val="left" w:pos="261"/>
              </w:tabs>
              <w:wordWrap/>
              <w:adjustRightInd/>
              <w:spacing w:before="0" w:after="0" w:line="360" w:lineRule="auto"/>
              <w:ind w:left="-105" w:leftChars="-50" w:right="-105" w:rightChars="-50"/>
              <w:jc w:val="left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eastAsia="zh-CN"/>
              </w:rPr>
              <w:tab/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val="en-US" w:eastAsia="zh-CN"/>
              </w:rPr>
              <w:t xml:space="preserve">   75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eastAsia="zh-CN"/>
              </w:rPr>
              <w:t>良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13</w:t>
            </w:r>
          </w:p>
        </w:tc>
        <w:tc>
          <w:tcPr>
            <w:tcW w:w="55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right="-105" w:rightChars="-50"/>
              <w:jc w:val="left"/>
              <w:textAlignment w:val="auto"/>
              <w:outlineLvl w:val="9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城乡建设占地补偿项目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tabs>
                <w:tab w:val="left" w:pos="366"/>
              </w:tabs>
              <w:wordWrap/>
              <w:adjustRightInd/>
              <w:spacing w:before="0" w:after="0" w:line="360" w:lineRule="auto"/>
              <w:ind w:left="-105" w:leftChars="-50" w:right="-105" w:rightChars="-50"/>
              <w:jc w:val="left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eastAsia="zh-CN"/>
              </w:rPr>
              <w:tab/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val="en-US" w:eastAsia="zh-CN"/>
              </w:rPr>
              <w:t xml:space="preserve">  90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  <w:t xml:space="preserve"> 优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14</w:t>
            </w:r>
          </w:p>
        </w:tc>
        <w:tc>
          <w:tcPr>
            <w:tcW w:w="55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right="-105" w:rightChars="-50"/>
              <w:jc w:val="left"/>
              <w:textAlignment w:val="auto"/>
              <w:outlineLvl w:val="9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医疗卫生与计划生育事务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tabs>
                <w:tab w:val="left" w:pos="201"/>
              </w:tabs>
              <w:wordWrap/>
              <w:adjustRightInd/>
              <w:spacing w:before="0" w:after="0" w:line="360" w:lineRule="auto"/>
              <w:ind w:left="-105" w:leftChars="-50" w:right="-105" w:rightChars="-50"/>
              <w:jc w:val="left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eastAsia="zh-CN"/>
              </w:rPr>
              <w:tab/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val="en-US" w:eastAsia="zh-CN"/>
              </w:rPr>
              <w:t xml:space="preserve">    95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  <w:t xml:space="preserve"> 优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15</w:t>
            </w:r>
          </w:p>
        </w:tc>
        <w:tc>
          <w:tcPr>
            <w:tcW w:w="55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right="-105" w:rightChars="-50"/>
              <w:jc w:val="left"/>
              <w:textAlignment w:val="auto"/>
              <w:outlineLvl w:val="9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人道主义救助项目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tabs>
                <w:tab w:val="left" w:pos="201"/>
              </w:tabs>
              <w:wordWrap/>
              <w:adjustRightInd/>
              <w:spacing w:before="0" w:after="0" w:line="360" w:lineRule="auto"/>
              <w:ind w:left="-105" w:leftChars="-50" w:right="-105" w:rightChars="-50"/>
              <w:jc w:val="left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eastAsia="zh-CN"/>
              </w:rPr>
              <w:tab/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val="en-US" w:eastAsia="zh-CN"/>
              </w:rPr>
              <w:t xml:space="preserve">   100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  <w:t xml:space="preserve"> 优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16</w:t>
            </w:r>
          </w:p>
        </w:tc>
        <w:tc>
          <w:tcPr>
            <w:tcW w:w="55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right="-105" w:rightChars="-50"/>
              <w:jc w:val="left"/>
              <w:textAlignment w:val="auto"/>
              <w:outlineLvl w:val="9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拆除私搭乱建专项补助项目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tabs>
                <w:tab w:val="left" w:pos="276"/>
              </w:tabs>
              <w:wordWrap/>
              <w:adjustRightInd/>
              <w:spacing w:before="0" w:after="0" w:line="360" w:lineRule="auto"/>
              <w:ind w:left="-105" w:leftChars="-50" w:right="-105" w:rightChars="-50"/>
              <w:jc w:val="left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eastAsia="zh-CN"/>
              </w:rPr>
              <w:tab/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val="en-US" w:eastAsia="zh-CN"/>
              </w:rPr>
              <w:t xml:space="preserve">   95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  <w:t xml:space="preserve"> 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eastAsia="zh-CN"/>
              </w:rPr>
              <w:t>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17</w:t>
            </w:r>
          </w:p>
        </w:tc>
        <w:tc>
          <w:tcPr>
            <w:tcW w:w="55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right="-105" w:rightChars="-50"/>
              <w:jc w:val="left"/>
              <w:textAlignment w:val="auto"/>
              <w:outlineLvl w:val="9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绿化租地税补缴项目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tabs>
                <w:tab w:val="left" w:pos="381"/>
              </w:tabs>
              <w:wordWrap/>
              <w:adjustRightInd/>
              <w:spacing w:before="0" w:after="0" w:line="360" w:lineRule="auto"/>
              <w:ind w:left="-105" w:leftChars="-50" w:right="-105" w:rightChars="-50"/>
              <w:jc w:val="left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eastAsia="zh-CN"/>
              </w:rPr>
              <w:tab/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val="en-US" w:eastAsia="zh-CN"/>
              </w:rPr>
              <w:t xml:space="preserve"> 100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  <w:t xml:space="preserve"> 优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18</w:t>
            </w:r>
          </w:p>
        </w:tc>
        <w:tc>
          <w:tcPr>
            <w:tcW w:w="5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right="-105" w:rightChars="-50"/>
              <w:jc w:val="left"/>
              <w:textAlignment w:val="auto"/>
              <w:outlineLvl w:val="9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文化体育宣传事务</w:t>
            </w:r>
          </w:p>
        </w:tc>
        <w:tc>
          <w:tcPr>
            <w:tcW w:w="10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right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  <w:t xml:space="preserve">    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val="en-US" w:eastAsia="zh-CN"/>
              </w:rPr>
              <w:t>90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  <w:t xml:space="preserve"> 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  <w:t xml:space="preserve"> 优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19</w:t>
            </w:r>
          </w:p>
        </w:tc>
        <w:tc>
          <w:tcPr>
            <w:tcW w:w="5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right="-105" w:rightChars="-50"/>
              <w:jc w:val="left"/>
              <w:textAlignment w:val="auto"/>
              <w:outlineLvl w:val="9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社区管理服务提升项目</w:t>
            </w:r>
          </w:p>
        </w:tc>
        <w:tc>
          <w:tcPr>
            <w:tcW w:w="10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tabs>
                <w:tab w:val="left" w:pos="486"/>
              </w:tabs>
              <w:wordWrap/>
              <w:adjustRightInd/>
              <w:spacing w:before="0" w:after="0" w:line="360" w:lineRule="auto"/>
              <w:ind w:left="-105" w:leftChars="-50" w:right="-105" w:rightChars="-50"/>
              <w:jc w:val="right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eastAsia="zh-CN"/>
              </w:rPr>
              <w:tab/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val="en-US" w:eastAsia="zh-CN"/>
              </w:rPr>
              <w:t>80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eastAsia="zh-CN"/>
              </w:rPr>
              <w:t>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20</w:t>
            </w:r>
          </w:p>
        </w:tc>
        <w:tc>
          <w:tcPr>
            <w:tcW w:w="5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right="-105" w:rightChars="-50"/>
              <w:jc w:val="left"/>
              <w:textAlignment w:val="auto"/>
              <w:outlineLvl w:val="9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学校代课教师劳务费项目</w:t>
            </w:r>
          </w:p>
        </w:tc>
        <w:tc>
          <w:tcPr>
            <w:tcW w:w="10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right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val="en-US" w:eastAsia="zh-CN"/>
              </w:rPr>
              <w:t>82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  <w:t xml:space="preserve"> 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eastAsia="zh-CN"/>
              </w:rPr>
              <w:t>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21</w:t>
            </w:r>
          </w:p>
        </w:tc>
        <w:tc>
          <w:tcPr>
            <w:tcW w:w="5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right="-105" w:rightChars="-50"/>
              <w:jc w:val="left"/>
              <w:textAlignment w:val="auto"/>
              <w:outlineLvl w:val="9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大气污染防治奖金项目</w:t>
            </w:r>
          </w:p>
        </w:tc>
        <w:tc>
          <w:tcPr>
            <w:tcW w:w="10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tabs>
                <w:tab w:val="left" w:pos="443"/>
              </w:tabs>
              <w:wordWrap/>
              <w:adjustRightInd/>
              <w:spacing w:before="0" w:after="0" w:line="360" w:lineRule="auto"/>
              <w:ind w:left="-105" w:leftChars="-50" w:right="-105" w:rightChars="-50" w:firstLine="664" w:firstLineChars="302"/>
              <w:jc w:val="left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val="en-US" w:eastAsia="zh-CN"/>
              </w:rPr>
              <w:t>100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eastAsia="zh-CN"/>
              </w:rPr>
              <w:t>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22</w:t>
            </w:r>
          </w:p>
        </w:tc>
        <w:tc>
          <w:tcPr>
            <w:tcW w:w="5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right="-105" w:rightChars="-50"/>
              <w:jc w:val="left"/>
              <w:textAlignment w:val="auto"/>
              <w:outlineLvl w:val="9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  <w:t>机关辅助人员劳务费项目</w:t>
            </w:r>
          </w:p>
        </w:tc>
        <w:tc>
          <w:tcPr>
            <w:tcW w:w="10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 w:firstLine="217" w:firstLineChars="0"/>
              <w:jc w:val="right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val="en-US" w:eastAsia="zh-CN"/>
              </w:rPr>
              <w:t>80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eastAsia="zh-CN"/>
              </w:rPr>
              <w:t>良</w:t>
            </w:r>
          </w:p>
        </w:tc>
      </w:tr>
    </w:tbl>
    <w:p>
      <w:pPr>
        <w:widowControl w:val="0"/>
        <w:wordWrap/>
        <w:spacing w:line="560" w:lineRule="exact"/>
        <w:ind w:right="0"/>
        <w:textAlignment w:val="auto"/>
        <w:outlineLvl w:val="9"/>
        <w:rPr>
          <w:rFonts w:hint="eastAsia" w:ascii="仿宋" w:hAnsi="仿宋" w:eastAsia="仿宋"/>
          <w:color w:val="auto"/>
          <w:sz w:val="32"/>
          <w:szCs w:val="32"/>
        </w:rPr>
      </w:pP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/>
          <w:color w:val="auto"/>
          <w:sz w:val="32"/>
          <w:szCs w:val="32"/>
        </w:rPr>
      </w:pPr>
      <w:r>
        <w:rPr>
          <w:rFonts w:hint="eastAsia" w:ascii="黑体" w:hAnsi="黑体" w:eastAsia="黑体"/>
          <w:color w:val="auto"/>
          <w:sz w:val="32"/>
          <w:szCs w:val="32"/>
        </w:rPr>
        <w:t>五、存在的问题及改进措施</w:t>
      </w:r>
    </w:p>
    <w:p>
      <w:pPr>
        <w:widowControl w:val="0"/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/>
          <w:b/>
          <w:bCs/>
          <w:color w:val="auto"/>
          <w:sz w:val="32"/>
          <w:szCs w:val="32"/>
        </w:rPr>
      </w:pPr>
      <w:r>
        <w:rPr>
          <w:rFonts w:hint="eastAsia" w:ascii="仿宋" w:hAnsi="仿宋" w:eastAsia="仿宋"/>
          <w:b/>
          <w:bCs/>
          <w:color w:val="auto"/>
          <w:sz w:val="32"/>
          <w:szCs w:val="32"/>
        </w:rPr>
        <w:t>（一）存在的主要问题</w:t>
      </w:r>
    </w:p>
    <w:p>
      <w:pPr>
        <w:pageBreakBefore w:val="0"/>
        <w:widowControl w:val="0"/>
        <w:kinsoku/>
        <w:wordWrap/>
        <w:overflowPunct/>
        <w:topLinePunct w:val="0"/>
        <w:bidi w:val="0"/>
        <w:adjustRightInd/>
        <w:snapToGrid w:val="0"/>
        <w:spacing w:before="0" w:after="0" w:line="62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宋体" w:eastAsia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宋体" w:eastAsia="仿宋_GB2312"/>
          <w:color w:val="auto"/>
          <w:sz w:val="32"/>
          <w:szCs w:val="32"/>
          <w:lang w:eastAsia="zh-CN"/>
        </w:rPr>
        <w:t>制度建设不足：预算绩效管理制度、资金管理办法、工作保障制度等运行不够完善，不能为预算绩效目标的实现奠定制度基础。</w:t>
      </w:r>
    </w:p>
    <w:p>
      <w:pPr>
        <w:pageBreakBefore w:val="0"/>
        <w:widowControl w:val="0"/>
        <w:kinsoku/>
        <w:wordWrap/>
        <w:overflowPunct/>
        <w:topLinePunct w:val="0"/>
        <w:bidi w:val="0"/>
        <w:adjustRightInd/>
        <w:snapToGrid w:val="0"/>
        <w:spacing w:before="0" w:after="0" w:line="62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宋体" w:eastAsia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宋体" w:eastAsia="仿宋_GB2312"/>
          <w:color w:val="auto"/>
          <w:sz w:val="32"/>
          <w:szCs w:val="32"/>
          <w:lang w:eastAsia="zh-CN"/>
        </w:rPr>
        <w:t>支出管理有待加强。由于财力不足支出结构不优化、有的项目不能及时支付资金、没有按规定及时下达资金，支出进度不达标。</w:t>
      </w:r>
    </w:p>
    <w:p>
      <w:pPr>
        <w:widowControl w:val="0"/>
        <w:numPr>
          <w:ilvl w:val="0"/>
          <w:numId w:val="3"/>
        </w:numPr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/>
          <w:b/>
          <w:bCs/>
          <w:color w:val="auto"/>
          <w:sz w:val="32"/>
          <w:szCs w:val="32"/>
        </w:rPr>
      </w:pPr>
      <w:r>
        <w:rPr>
          <w:rFonts w:hint="eastAsia" w:ascii="仿宋" w:hAnsi="仿宋" w:eastAsia="仿宋"/>
          <w:b/>
          <w:bCs/>
          <w:color w:val="auto"/>
          <w:sz w:val="32"/>
          <w:szCs w:val="32"/>
        </w:rPr>
        <w:t>针对问题提出具体的改进措施或建议</w:t>
      </w:r>
    </w:p>
    <w:p>
      <w:pPr>
        <w:pageBreakBefore w:val="0"/>
        <w:widowControl w:val="0"/>
        <w:kinsoku/>
        <w:wordWrap/>
        <w:overflowPunct/>
        <w:topLinePunct w:val="0"/>
        <w:bidi w:val="0"/>
        <w:adjustRightInd/>
        <w:snapToGrid w:val="0"/>
        <w:spacing w:before="0" w:after="0" w:line="62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宋体" w:eastAsia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宋体" w:eastAsia="仿宋_GB2312"/>
          <w:color w:val="auto"/>
          <w:sz w:val="32"/>
          <w:szCs w:val="32"/>
          <w:lang w:eastAsia="zh-CN"/>
        </w:rPr>
        <w:t>加强绩效运行监控。按要求开展绩效运行监控，发现问题及时采取措施，确保绩效目标如期保质实现。</w:t>
      </w:r>
    </w:p>
    <w:p>
      <w:pPr>
        <w:pageBreakBefore w:val="0"/>
        <w:widowControl w:val="0"/>
        <w:kinsoku/>
        <w:wordWrap/>
        <w:overflowPunct/>
        <w:topLinePunct w:val="0"/>
        <w:bidi w:val="0"/>
        <w:adjustRightInd/>
        <w:snapToGrid w:val="0"/>
        <w:spacing w:before="0" w:after="0" w:line="62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宋体" w:eastAsia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宋体" w:eastAsia="仿宋_GB2312"/>
          <w:color w:val="auto"/>
          <w:sz w:val="32"/>
          <w:szCs w:val="32"/>
          <w:lang w:eastAsia="zh-CN"/>
        </w:rPr>
        <w:t>做好绩效自评。按要求开展上年度部门预算绩效自评和重点评价工作，对评价中发现的问题及时整改，调整优化支出结构，提高财政资金使用效益。</w:t>
      </w:r>
    </w:p>
    <w:p>
      <w:pPr>
        <w:pageBreakBefore w:val="0"/>
        <w:widowControl w:val="0"/>
        <w:kinsoku/>
        <w:wordWrap/>
        <w:overflowPunct/>
        <w:topLinePunct w:val="0"/>
        <w:bidi w:val="0"/>
        <w:adjustRightInd/>
        <w:snapToGrid w:val="0"/>
        <w:spacing w:before="0" w:after="0" w:line="62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宋体" w:eastAsia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宋体" w:eastAsia="仿宋_GB2312"/>
          <w:color w:val="auto"/>
          <w:sz w:val="32"/>
          <w:szCs w:val="32"/>
          <w:lang w:eastAsia="zh-CN"/>
        </w:rPr>
        <w:t>规范财务资产管理。完善财务管理制度，严格审批程序，加强固定资产登记、使用和报废处置管理，做到支出合理，物尽其用。</w:t>
      </w:r>
    </w:p>
    <w:p>
      <w:pPr>
        <w:pageBreakBefore w:val="0"/>
        <w:widowControl w:val="0"/>
        <w:kinsoku/>
        <w:wordWrap/>
        <w:overflowPunct/>
        <w:topLinePunct w:val="0"/>
        <w:bidi w:val="0"/>
        <w:adjustRightInd/>
        <w:snapToGrid w:val="0"/>
        <w:spacing w:before="0" w:after="0" w:line="62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宋体" w:eastAsia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宋体" w:eastAsia="仿宋_GB2312"/>
          <w:color w:val="auto"/>
          <w:sz w:val="32"/>
          <w:szCs w:val="32"/>
          <w:lang w:eastAsia="zh-CN"/>
        </w:rPr>
        <w:t>加强内部监督。加强内部监督制度建设，对绩效运行情况、重大支出决策、对外投资、资产处置及其他重要经济业务事项的决策和执行进行督导，对会计资料进行内部审计，并配合做好审计、财政监督等外部监督工作，确保财政资金安全有效。</w:t>
      </w:r>
    </w:p>
    <w:p>
      <w:pPr>
        <w:pageBreakBefore w:val="0"/>
        <w:widowControl w:val="0"/>
        <w:kinsoku/>
        <w:wordWrap/>
        <w:overflowPunct/>
        <w:topLinePunct w:val="0"/>
        <w:bidi w:val="0"/>
        <w:adjustRightInd/>
        <w:snapToGrid w:val="0"/>
        <w:spacing w:before="0" w:after="0" w:line="62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宋体" w:eastAsia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宋体" w:eastAsia="仿宋_GB2312"/>
          <w:color w:val="auto"/>
          <w:sz w:val="32"/>
          <w:szCs w:val="32"/>
          <w:lang w:eastAsia="zh-CN"/>
        </w:rPr>
        <w:t>加强宣传培训调研等。加强人员培训，提高本部门职工业务素质；加强调研，提出优化财政资金配置、提高资金使用效益的意见意见；加大宣传力度，强化预算绩效管理意识，促进预算绩效管理水平进一步提升。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六、评价工作组人员名单及签字（姓名、工作单位、职务、职称）</w:t>
      </w:r>
    </w:p>
    <w:p>
      <w:pPr>
        <w:pageBreakBefore w:val="0"/>
        <w:widowControl w:val="0"/>
        <w:kinsoku/>
        <w:wordWrap/>
        <w:overflowPunct/>
        <w:topLinePunct w:val="0"/>
        <w:bidi w:val="0"/>
        <w:adjustRightInd/>
        <w:snapToGrid w:val="0"/>
        <w:spacing w:before="0" w:after="0" w:line="62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宋体" w:eastAsia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color w:val="auto"/>
          <w:sz w:val="32"/>
          <w:szCs w:val="32"/>
          <w:lang w:eastAsia="zh-CN"/>
        </w:rPr>
        <w:t>姚亚伟：获鹿镇人民政府</w:t>
      </w:r>
      <w:r>
        <w:rPr>
          <w:rFonts w:hint="eastAsia" w:ascii="仿宋_GB2312" w:hAnsi="宋体" w:eastAsia="仿宋_GB2312"/>
          <w:color w:val="auto"/>
          <w:sz w:val="32"/>
          <w:szCs w:val="32"/>
          <w:lang w:val="en-US" w:eastAsia="zh-CN"/>
        </w:rPr>
        <w:t xml:space="preserve">  宣传部长  </w:t>
      </w:r>
    </w:p>
    <w:p>
      <w:pPr>
        <w:pageBreakBefore w:val="0"/>
        <w:widowControl w:val="0"/>
        <w:kinsoku/>
        <w:wordWrap/>
        <w:overflowPunct/>
        <w:topLinePunct w:val="0"/>
        <w:bidi w:val="0"/>
        <w:adjustRightInd/>
        <w:snapToGrid w:val="0"/>
        <w:spacing w:before="0" w:after="0" w:line="62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宋体" w:eastAsia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color w:val="auto"/>
          <w:sz w:val="32"/>
          <w:szCs w:val="32"/>
          <w:lang w:val="en-US" w:eastAsia="zh-CN"/>
        </w:rPr>
        <w:t>齐志霞; 获鹿镇人民政府  纪委</w:t>
      </w:r>
      <w:bookmarkStart w:id="0" w:name="_GoBack"/>
      <w:bookmarkEnd w:id="0"/>
      <w:r>
        <w:rPr>
          <w:rFonts w:hint="eastAsia" w:ascii="仿宋_GB2312" w:hAnsi="宋体" w:eastAsia="仿宋_GB2312"/>
          <w:color w:val="auto"/>
          <w:sz w:val="32"/>
          <w:szCs w:val="32"/>
          <w:lang w:val="en-US" w:eastAsia="zh-CN"/>
        </w:rPr>
        <w:t>书记</w:t>
      </w:r>
    </w:p>
    <w:p>
      <w:pPr>
        <w:pageBreakBefore w:val="0"/>
        <w:widowControl w:val="0"/>
        <w:kinsoku/>
        <w:wordWrap/>
        <w:overflowPunct/>
        <w:topLinePunct w:val="0"/>
        <w:bidi w:val="0"/>
        <w:adjustRightInd/>
        <w:snapToGrid w:val="0"/>
        <w:spacing w:before="0" w:after="0" w:line="62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宋体" w:eastAsia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color w:val="auto"/>
          <w:sz w:val="32"/>
          <w:szCs w:val="32"/>
          <w:lang w:val="en-US" w:eastAsia="zh-CN"/>
        </w:rPr>
        <w:t>于春晖：获鹿镇人民政府  财政所长</w:t>
      </w:r>
    </w:p>
    <w:p>
      <w:pPr>
        <w:pageBreakBefore w:val="0"/>
        <w:widowControl w:val="0"/>
        <w:kinsoku/>
        <w:wordWrap/>
        <w:overflowPunct/>
        <w:topLinePunct w:val="0"/>
        <w:bidi w:val="0"/>
        <w:adjustRightInd/>
        <w:snapToGrid w:val="0"/>
        <w:spacing w:before="0" w:after="0" w:line="620" w:lineRule="exact"/>
        <w:ind w:left="0" w:leftChars="0" w:right="0" w:rightChars="0" w:firstLine="640" w:firstLineChars="200"/>
        <w:textAlignment w:val="auto"/>
        <w:outlineLvl w:val="9"/>
        <w:rPr>
          <w:rFonts w:hint="default" w:ascii="仿宋_GB2312" w:hAnsi="宋体" w:eastAsia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color w:val="auto"/>
          <w:sz w:val="32"/>
          <w:szCs w:val="32"/>
          <w:lang w:val="en-US" w:eastAsia="zh-CN"/>
        </w:rPr>
        <w:t>封建玲：获鹿镇人民政府  财务工作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ascii="仿宋" w:hAnsi="仿宋" w:eastAsia="仿宋"/>
          <w:color w:val="auto"/>
        </w:rPr>
      </w:pP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ascii="仿宋" w:hAnsi="仿宋" w:eastAsia="仿宋"/>
          <w:color w:val="auto"/>
        </w:rPr>
      </w:pP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eastAsia" w:ascii="仿宋_GB2312" w:hAnsi="宋体" w:eastAsia="仿宋_GB2312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color w:val="auto"/>
          <w:lang w:val="en-US" w:eastAsia="zh-CN"/>
        </w:rPr>
        <w:t xml:space="preserve">                                          </w:t>
      </w:r>
      <w:r>
        <w:rPr>
          <w:rFonts w:hint="eastAsia" w:ascii="仿宋_GB2312" w:hAnsi="宋体" w:eastAsia="仿宋_GB2312"/>
          <w:color w:val="auto"/>
          <w:sz w:val="32"/>
          <w:szCs w:val="32"/>
          <w:lang w:val="en-US" w:eastAsia="zh-CN"/>
        </w:rPr>
        <w:t xml:space="preserve">获鹿镇人民政府 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default" w:ascii="仿宋_GB2312" w:hAnsi="宋体" w:eastAsia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color w:val="auto"/>
          <w:sz w:val="32"/>
          <w:szCs w:val="32"/>
          <w:lang w:val="en-US" w:eastAsia="zh-CN"/>
        </w:rPr>
        <w:t xml:space="preserve">                              2023年9月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default" w:ascii="仿宋" w:hAnsi="仿宋" w:eastAsia="仿宋"/>
          <w:color w:val="auto"/>
          <w:lang w:val="en-US" w:eastAsia="zh-CN"/>
        </w:rPr>
      </w:pPr>
      <w:r>
        <w:rPr>
          <w:rFonts w:hint="eastAsia" w:ascii="仿宋" w:hAnsi="仿宋" w:eastAsia="仿宋"/>
          <w:color w:val="auto"/>
          <w:lang w:val="en-US" w:eastAsia="zh-CN"/>
        </w:rPr>
        <w:t xml:space="preserve">                                           </w:t>
      </w: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Arial Black">
    <w:panose1 w:val="020B0A04020102020204"/>
    <w:charset w:val="00"/>
    <w:family w:val="swiss"/>
    <w:pitch w:val="default"/>
    <w:sig w:usb0="00000287" w:usb1="00000000" w:usb2="00000000" w:usb3="00000000" w:csb0="2000009F" w:csb1="DFD70000"/>
  </w:font>
  <w:font w:name="DengXian-Regular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rFonts w:ascii="Calibri" w:hAnsi="Calibri" w:eastAsia="宋体" w:cs="黑体"/>
        <w:kern w:val="2"/>
        <w:sz w:val="18"/>
        <w:szCs w:val="22"/>
        <w:lang w:val="en-US" w:eastAsia="zh-CN" w:bidi="ar-SA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leftChars="0" w:firstLine="0" w:firstLineChars="0"/>
      </w:pPr>
      <w:rPr>
        <w:rFonts w:hint="eastAsia"/>
      </w:rPr>
    </w:lvl>
  </w:abstractNum>
  <w:abstractNum w:abstractNumId="1">
    <w:nsid w:val="5C600A87"/>
    <w:multiLevelType w:val="singleLevel"/>
    <w:tmpl w:val="5C600A87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</w:lvl>
  </w:abstractNum>
  <w:abstractNum w:abstractNumId="3">
    <w:nsid w:val="5F222FFA"/>
    <w:multiLevelType w:val="singleLevel"/>
    <w:tmpl w:val="5F222FFA"/>
    <w:lvl w:ilvl="0" w:tentative="0">
      <w:start w:val="1"/>
      <w:numFmt w:val="decimal"/>
      <w:suff w:val="nothing"/>
      <w:lvlText w:val="（%1）"/>
      <w:lvlJc w:val="left"/>
      <w:rPr>
        <w:rFonts w:hint="default"/>
        <w:color w:val="auto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BD2122"/>
    <w:rsid w:val="007E6C1F"/>
    <w:rsid w:val="00AF566A"/>
    <w:rsid w:val="00B6553A"/>
    <w:rsid w:val="01B104CA"/>
    <w:rsid w:val="02106AB0"/>
    <w:rsid w:val="02B43A28"/>
    <w:rsid w:val="046F331E"/>
    <w:rsid w:val="060776D4"/>
    <w:rsid w:val="06F400F2"/>
    <w:rsid w:val="07956271"/>
    <w:rsid w:val="09721397"/>
    <w:rsid w:val="0BB63BED"/>
    <w:rsid w:val="0EB97A43"/>
    <w:rsid w:val="0EBD2122"/>
    <w:rsid w:val="0F214EAE"/>
    <w:rsid w:val="11B71E6A"/>
    <w:rsid w:val="15A5269F"/>
    <w:rsid w:val="15FF3B26"/>
    <w:rsid w:val="165C3BEE"/>
    <w:rsid w:val="17476063"/>
    <w:rsid w:val="19EA6DA4"/>
    <w:rsid w:val="1AAF0063"/>
    <w:rsid w:val="1BE140DE"/>
    <w:rsid w:val="20781B74"/>
    <w:rsid w:val="21B1419E"/>
    <w:rsid w:val="248C197D"/>
    <w:rsid w:val="252959AF"/>
    <w:rsid w:val="277A6671"/>
    <w:rsid w:val="283D6A9E"/>
    <w:rsid w:val="292D35B7"/>
    <w:rsid w:val="2A594280"/>
    <w:rsid w:val="2C72685D"/>
    <w:rsid w:val="33EB6CFF"/>
    <w:rsid w:val="35A12947"/>
    <w:rsid w:val="35AE44DD"/>
    <w:rsid w:val="37387040"/>
    <w:rsid w:val="3B625C0A"/>
    <w:rsid w:val="3CEE1963"/>
    <w:rsid w:val="43FA2AB0"/>
    <w:rsid w:val="4639532D"/>
    <w:rsid w:val="4B420DB7"/>
    <w:rsid w:val="4C9C27FE"/>
    <w:rsid w:val="4DC70F65"/>
    <w:rsid w:val="512260B4"/>
    <w:rsid w:val="52BD6ACB"/>
    <w:rsid w:val="55537534"/>
    <w:rsid w:val="561A74F1"/>
    <w:rsid w:val="57364773"/>
    <w:rsid w:val="58CE1983"/>
    <w:rsid w:val="597244E8"/>
    <w:rsid w:val="5E3B4FA3"/>
    <w:rsid w:val="5EB71C30"/>
    <w:rsid w:val="5F6A6BA5"/>
    <w:rsid w:val="621929B3"/>
    <w:rsid w:val="66AF0CE5"/>
    <w:rsid w:val="6AC537CF"/>
    <w:rsid w:val="6DF80670"/>
    <w:rsid w:val="6E5B14A6"/>
    <w:rsid w:val="6E9F3A75"/>
    <w:rsid w:val="711B255E"/>
    <w:rsid w:val="7317199D"/>
    <w:rsid w:val="75F53104"/>
    <w:rsid w:val="77975F27"/>
    <w:rsid w:val="78312DED"/>
    <w:rsid w:val="79D50633"/>
    <w:rsid w:val="7BB51E06"/>
    <w:rsid w:val="7C387F7C"/>
    <w:rsid w:val="7FE8342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9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6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160</Words>
  <Characters>916</Characters>
  <Lines>7</Lines>
  <Paragraphs>2</Paragraphs>
  <TotalTime>25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Administrator</cp:lastModifiedBy>
  <cp:lastPrinted>2022-01-19T07:24:00Z</cp:lastPrinted>
  <dcterms:modified xsi:type="dcterms:W3CDTF">2023-11-27T11:02:21Z</dcterms:modified>
  <dc:title>附件3：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