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bookmarkStart w:id="0" w:name="_GoBack"/>
      <w:bookmarkEnd w:id="0"/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鹿泉区投资促进局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部门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2022年度整体支出绩效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鹿泉区投资促进局</w:t>
      </w:r>
      <w:r>
        <w:rPr>
          <w:rFonts w:hint="eastAsia" w:ascii="仿宋" w:hAnsi="仿宋" w:eastAsia="仿宋"/>
          <w:sz w:val="32"/>
          <w:szCs w:val="32"/>
          <w:lang w:eastAsia="zh-CN"/>
        </w:rPr>
        <w:t>部门对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2022年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>
      <w:pPr>
        <w:spacing w:line="580" w:lineRule="exact"/>
        <w:ind w:firstLine="643" w:firstLineChars="200"/>
        <w:rPr>
          <w:rFonts w:hint="default" w:ascii="仿宋_GB2312" w:eastAsia="仿宋_GB2312" w:cs="仿宋_GB2312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kern w:val="0"/>
          <w:sz w:val="32"/>
          <w:szCs w:val="32"/>
          <w:lang w:val="en-US" w:eastAsia="zh-CN"/>
        </w:rPr>
        <w:t>1、部门职能</w:t>
      </w:r>
    </w:p>
    <w:p>
      <w:pPr>
        <w:spacing w:line="580" w:lineRule="exact"/>
        <w:ind w:firstLine="640" w:firstLineChars="200"/>
        <w:rPr>
          <w:rFonts w:hint="eastAsia" w:asci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eastAsia="zh-CN"/>
        </w:rPr>
        <w:t>石家庄市鹿泉区投资促进局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是石家庄市鹿泉区</w:t>
      </w: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政府部门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。依照宪法和地方组织法的规定，石家庄市鹿泉区</w:t>
      </w:r>
      <w:r>
        <w:rPr>
          <w:rFonts w:hint="eastAsia" w:ascii="仿宋_GB2312" w:eastAsia="仿宋_GB2312" w:cs="仿宋_GB2312"/>
          <w:kern w:val="0"/>
          <w:sz w:val="32"/>
          <w:szCs w:val="32"/>
          <w:lang w:eastAsia="zh-CN"/>
        </w:rPr>
        <w:t>投资促进局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行使下列职权：</w:t>
      </w:r>
    </w:p>
    <w:p>
      <w:pPr>
        <w:spacing w:line="580" w:lineRule="exact"/>
        <w:ind w:firstLine="640" w:firstLineChars="200"/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(一)负责拟订招商引资、利用外资、区域协作、开发区管 理中长期发展规划、年度计划并组织实施；贯彻落实投资促进方面地方性法规、政府规章，研究拟订投资促进政策。</w:t>
      </w:r>
    </w:p>
    <w:p>
      <w:pPr>
        <w:spacing w:line="580" w:lineRule="exact"/>
        <w:ind w:firstLine="640" w:firstLineChars="200"/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(二)负责建立投资促进工作体系、工作机制，对利用国内外资金和经济技术合作、开发区发展情况进行统计、汇总、分析。</w:t>
      </w:r>
    </w:p>
    <w:p>
      <w:pPr>
        <w:spacing w:line="580" w:lineRule="exact"/>
        <w:ind w:firstLine="640" w:firstLineChars="200"/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(三)负责促进资金、技术、人才、项目引进和产业对接，争取招商引资相关政策、资金和项目支持。</w:t>
      </w:r>
    </w:p>
    <w:p>
      <w:pPr>
        <w:spacing w:line="580" w:lineRule="exact"/>
        <w:ind w:firstLine="640" w:firstLineChars="200"/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(四)负责投资环境营销和宣传推广，负责重点区域、重点 产业、重大招商引资项目谋划、包装、推介；负责国(境)内外投 资项目信息的收集、筛选工作，建立投资促进工作平台和信息网络；负责对国(境)内外重要招商项目的谋划、包装、发布、推介工作，建立项目库。</w:t>
      </w:r>
    </w:p>
    <w:p>
      <w:pPr>
        <w:spacing w:line="580" w:lineRule="exact"/>
        <w:ind w:firstLine="640" w:firstLineChars="200"/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(五)负责国(境)内外重大投资促进活动的谋划、方案制定 和组织实施；牵头组织专业性、行业性投资促进活动；指导协调各乡镇和开发区(园区)开展招商活动。</w:t>
      </w:r>
    </w:p>
    <w:p>
      <w:pPr>
        <w:spacing w:line="580" w:lineRule="exact"/>
        <w:ind w:firstLine="640" w:firstLineChars="200"/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(六)负责与国(境)内外大集团、大企业合作及引进重大招 商引资项目洽谈、签约、选址、流转的统筹和协调，规范招商引 资产业布局和秩序，协调处理有关问题；负责利用国内外资金项 目洽谈、签约工作的组织、指导、协调、调度，负责签约项目的履约落实。</w:t>
      </w:r>
    </w:p>
    <w:p>
      <w:pPr>
        <w:spacing w:line="580" w:lineRule="exact"/>
        <w:ind w:firstLine="640" w:firstLineChars="200"/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(七)负责对国(境)内外重要客户的联络拓展、重要团组和客户来访考察、洽谈的组织。</w:t>
      </w:r>
    </w:p>
    <w:p>
      <w:pPr>
        <w:spacing w:line="580" w:lineRule="exact"/>
        <w:ind w:firstLine="640" w:firstLineChars="200"/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(八)组织和促进委托招商、代理招商、中介招商、专业招 商、网上招商等多种形式的招商活动，制订并落实奖励政策；加强招商引资专业人才队伍建设。</w:t>
      </w:r>
    </w:p>
    <w:p>
      <w:pPr>
        <w:spacing w:line="580" w:lineRule="exact"/>
        <w:ind w:firstLine="640" w:firstLineChars="200"/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(九)负责引进央企资金、项目及各项合作，促进合作项目 的建设，负责为央企服务工作；负责外商投资项目建设的跟踪、协调和服务工作，负责引进资金到位统计工作。</w:t>
      </w:r>
    </w:p>
    <w:p>
      <w:pPr>
        <w:spacing w:line="580" w:lineRule="exact"/>
        <w:ind w:firstLine="640" w:firstLineChars="200"/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(十)负责指导全区经济技术交流与区域经济技术合作工作； 负责区域间资金、项目、人才、科研成果及产业合作工作，开展与省外重点大专院校、科研院所合作；负责区所、区校科研合作开发资金的监督管理工作。</w:t>
      </w:r>
    </w:p>
    <w:p>
      <w:pPr>
        <w:spacing w:line="580" w:lineRule="exact"/>
        <w:ind w:firstLine="640" w:firstLineChars="200"/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(十一)负责经济开发区(园区)管理工作，负责经济开发区(园区)建立、升级、扩区工作，指导经济开发区(园区)建设、招 商引资和体制、机制创新，负责对经济开发区(园区)招商引资工作的调度，协助做好经济开发区(园区)绩效评估、考核认定工作。</w:t>
      </w:r>
    </w:p>
    <w:p>
      <w:pPr>
        <w:spacing w:line="580" w:lineRule="exact"/>
        <w:ind w:firstLine="640" w:firstLineChars="200"/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(十二)完成区委、区政府交办的其他任务。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(十三)有关职责分工。与区市场监督管理局的有关职责分工。区投资促进局负责指导外商投资项目核准和备案工作，指导、监督、检查外商投资企业设立及变更的备案工作。区市场监督管理局根据上级要求，配合做好外商投资企业监督管理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组织机构及人员</w:t>
      </w:r>
    </w:p>
    <w:p>
      <w:pPr>
        <w:pStyle w:val="2"/>
        <w:jc w:val="center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部门机构设置情况</w:t>
      </w:r>
    </w:p>
    <w:tbl>
      <w:tblPr>
        <w:tblStyle w:val="5"/>
        <w:tblW w:w="9061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86"/>
        <w:gridCol w:w="1943"/>
        <w:gridCol w:w="2266"/>
        <w:gridCol w:w="226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5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outlineLvl w:val="9"/>
              <w:rPr>
                <w:rFonts w:hint="eastAsia" w:ascii="黑体" w:hAnsi="黑体" w:eastAsia="黑体" w:cs="黑体"/>
                <w:b w:val="0"/>
                <w:bCs/>
                <w:sz w:val="30"/>
                <w:szCs w:val="30"/>
                <w:lang w:val="en-US" w:eastAsia="uk-UA" w:bidi="ar-SA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30"/>
                <w:szCs w:val="30"/>
                <w:lang w:val="en-US" w:eastAsia="uk-UA" w:bidi="ar-SA"/>
              </w:rPr>
              <w:t>单位名称</w:t>
            </w:r>
          </w:p>
        </w:tc>
        <w:tc>
          <w:tcPr>
            <w:tcW w:w="194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outlineLvl w:val="9"/>
              <w:rPr>
                <w:rFonts w:hint="eastAsia" w:ascii="黑体" w:hAnsi="黑体" w:eastAsia="黑体" w:cs="黑体"/>
                <w:b w:val="0"/>
                <w:bCs/>
                <w:sz w:val="30"/>
                <w:szCs w:val="30"/>
                <w:lang w:val="en-US" w:eastAsia="uk-UA" w:bidi="ar-SA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30"/>
                <w:szCs w:val="30"/>
                <w:lang w:val="en-US" w:eastAsia="uk-UA" w:bidi="ar-SA"/>
              </w:rPr>
              <w:t>单位性质</w:t>
            </w:r>
          </w:p>
        </w:tc>
        <w:tc>
          <w:tcPr>
            <w:tcW w:w="22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outlineLvl w:val="9"/>
              <w:rPr>
                <w:rFonts w:hint="eastAsia" w:ascii="黑体" w:hAnsi="黑体" w:eastAsia="黑体" w:cs="黑体"/>
                <w:b w:val="0"/>
                <w:bCs/>
                <w:sz w:val="30"/>
                <w:szCs w:val="30"/>
                <w:lang w:val="en-US" w:eastAsia="uk-UA" w:bidi="ar-SA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30"/>
                <w:szCs w:val="30"/>
                <w:lang w:val="en-US" w:eastAsia="uk-UA" w:bidi="ar-SA"/>
              </w:rPr>
              <w:t>单位规格</w:t>
            </w:r>
          </w:p>
        </w:tc>
        <w:tc>
          <w:tcPr>
            <w:tcW w:w="22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outlineLvl w:val="9"/>
              <w:rPr>
                <w:rFonts w:hint="eastAsia" w:ascii="黑体" w:hAnsi="黑体" w:eastAsia="黑体" w:cs="黑体"/>
                <w:b w:val="0"/>
                <w:bCs/>
                <w:sz w:val="30"/>
                <w:szCs w:val="30"/>
                <w:lang w:val="en-US" w:eastAsia="uk-UA" w:bidi="ar-SA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30"/>
                <w:szCs w:val="30"/>
                <w:lang w:val="en-US" w:eastAsia="uk-UA" w:bidi="ar-SA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8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left"/>
              <w:outlineLvl w:val="9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 w:bidi="ar-SA"/>
              </w:rPr>
            </w:pPr>
            <w:r>
              <w:rPr>
                <w:rFonts w:hint="default" w:ascii="仿宋_GB2312" w:eastAsia="仿宋_GB2312" w:cs="仿宋_GB2312"/>
                <w:kern w:val="0"/>
                <w:sz w:val="28"/>
                <w:szCs w:val="28"/>
              </w:rPr>
              <w:t>石家庄市鹿泉区</w:t>
            </w:r>
            <w:r>
              <w:rPr>
                <w:rFonts w:hint="eastAsia" w:ascii="仿宋_GB2312" w:eastAsia="仿宋_GB2312" w:cs="仿宋_GB2312"/>
                <w:kern w:val="0"/>
                <w:sz w:val="28"/>
                <w:szCs w:val="28"/>
                <w:lang w:val="en-US" w:eastAsia="zh-CN"/>
              </w:rPr>
              <w:t>投资促进</w:t>
            </w:r>
            <w:r>
              <w:rPr>
                <w:rFonts w:hint="eastAsia" w:ascii="仿宋_GB2312" w:eastAsia="仿宋_GB2312" w:cs="仿宋_GB2312"/>
                <w:kern w:val="0"/>
                <w:sz w:val="28"/>
                <w:szCs w:val="28"/>
                <w:lang w:eastAsia="zh-CN"/>
              </w:rPr>
              <w:t>局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>(</w:t>
            </w:r>
            <w:r>
              <w:rPr>
                <w:rFonts w:hint="eastAsia" w:ascii="仿宋_GB2312" w:eastAsia="仿宋_GB2312" w:cs="仿宋_GB2312"/>
                <w:kern w:val="0"/>
                <w:sz w:val="28"/>
                <w:szCs w:val="28"/>
              </w:rPr>
              <w:t>本级</w:t>
            </w: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>)</w:t>
            </w:r>
          </w:p>
        </w:tc>
        <w:tc>
          <w:tcPr>
            <w:tcW w:w="194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outlineLvl w:val="9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uk-UA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uk-UA" w:bidi="ar-SA"/>
              </w:rPr>
              <w:t>行政</w:t>
            </w:r>
          </w:p>
        </w:tc>
        <w:tc>
          <w:tcPr>
            <w:tcW w:w="22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outlineLvl w:val="9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uk-UA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uk-UA" w:bidi="ar-SA"/>
              </w:rPr>
              <w:t>正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 w:bidi="ar-SA"/>
              </w:rPr>
              <w:t>科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uk-UA" w:bidi="ar-SA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 w:bidi="ar-SA"/>
              </w:rPr>
              <w:t>乡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uk-UA" w:bidi="ar-SA"/>
              </w:rPr>
              <w:t>）级</w:t>
            </w:r>
          </w:p>
        </w:tc>
        <w:tc>
          <w:tcPr>
            <w:tcW w:w="22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outlineLvl w:val="9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uk-UA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uk-UA" w:bidi="ar-SA"/>
              </w:rPr>
              <w:t>财政拨款</w:t>
            </w:r>
          </w:p>
        </w:tc>
      </w:tr>
    </w:tbl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石家庄市鹿泉区投资促进局属于行政单位，2022年末实有编制人数6人。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部门2022年度收入总计（含结转和结余）211.78万元。与2021年度决算相比，收入增加211.78万元；支出总计（含结转和结余）211.78万元；与2021年度决算相比，支出增加211.78万元，主要原因是鹿泉区投资促进局自2022年6月新成立,无年初收入支出预算安排，自成立后根据工作需要申请财政资金，2022年调整预算数211.78万元，支出211.78万元，与上年增减变动没有参考性。</w:t>
      </w:r>
    </w:p>
    <w:p>
      <w:pPr>
        <w:pStyle w:val="2"/>
        <w:numPr>
          <w:ilvl w:val="0"/>
          <w:numId w:val="0"/>
        </w:numPr>
        <w:rPr>
          <w:rFonts w:hint="eastAsia"/>
          <w:lang w:eastAsia="zh-CN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1、完善办公设施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绩效目标：根据区政府、区财政局对我局开办费的建议，力争节约、高效的使用资金，快速完善办公设施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绩效指标：租赁办公场所，并于年底（12月31日之前）购置办公、家具用品，确保38人正常办公，使工作人员满意度不低于90%。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2、建立招商队伍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绩效目标：锚定工作目标，提升精准招商水平，组建高质量招商团队；积极外出招商推介，不断扩大招商“朋友圈”；充分利用以商招商平台，积极宣传鹿泉，扩大影响。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绩效指标：年度内拟组建一支优秀的招商团队；拟外出招商推介2次。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3、提升实际利用外资水平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绩效目标：协助上级部门精准谋划外资培训，同时积极争取增加外资投入比例，着力引进一批优质外商投资项目，增强实际利用外资发展后劲。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绩效指标：年内拟定1场外资培训活动。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鹿泉区投资促进局成立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预算绩效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评价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工作领导小组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由单位负责人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任组长、分管领导任副组长，各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股室负责人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为成员，同时明确领导小组及办公室工作职责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办公室按照职责，负责对资金拨付文件和资金支付凭证、查阅了相关会计凭证、绩效目标完成情况等相关基础资料收集，于202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</w:rPr>
        <w:t>前，组织开展20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年预算绩效评价自评工作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自评过程中，本着强化绩效目标意识、提高部门整体资金使用效率、提高绩效管理水平的原则，通过目标计划梳理、工作数据采集、项目完成情况调查等方式对我单位2022年度预算资金使用情况进行检查，并评估资金的使用效率和工作开展情况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1、开办费完成情况：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（1）产出指标情况：可保障38人同时办公，办公保障率达100%，购买电子设备数量、办公家具数量、会议系统设备数量均达标得分；经费支出、及时性均在合理绩效范围内。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（2）效益指标情况：保障了我局各项工作正常运行。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（3）满意度指标：投促局全体工作人员满意度达标。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2、办公用房租赁费用完成情况：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（1）产出指标情况：租用1710平米办公场所，确保鹿泉区投资促进局工作有序有效开展，办公用房质量达标、租赁时间达标、成本指标达标。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（2）效益指标情况：完成3年房屋租赁期，达到可持续影响指标。</w:t>
      </w:r>
    </w:p>
    <w:p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（3）满意度指标：投促局全体工作人员满意度达标。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3、招商引资费完成情况：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（1）产出指标情况：完成2次外出招商推介、签约客商质量符合我区精准招商定位、落地率达60%，数量指标、质量指标、时效指标、成本指标均达标。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（2）效益指标情况：签约客商总投资额超90亿元、全市招商引资排名第7，经济效益指标、可持续影响指标均达标。</w:t>
      </w:r>
    </w:p>
    <w:p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（3）满意度指标：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客商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满意度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为90%，满意度指标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达标。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4、中关村创新中心房租及运营费（2022）年完成情况：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（1）产出指标情况：经第三方会计师事务所考评及我区政府批示，中关村创新中心运营考核得分为60.12分，已完成考核任务，数量指标、质量指标、时效指标、成本指标均达标。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（2）效益指标情况：持续推进我区电子信息企业做大做强，可持续影响指标均达标。</w:t>
      </w:r>
    </w:p>
    <w:p>
      <w:pPr>
        <w:pStyle w:val="2"/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（3）满意度指标：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入驻中关村创新平台的客商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满意度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为90%，满意度指标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达标。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5、2021开发区建设专项资金（稳外资奖励）完成情况：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（1）产出指标情况：已与第三方会务公司签订合同，按照合同支付10万预付款，由于疫情原因，2022年培训工作未能如期进行。数量指标、质量指标、时效指标均未完成。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（2）效益指标情况：精准指导外资企业，对我区对外开放发展起到长效作用，可持续影响指标达标。</w:t>
      </w:r>
    </w:p>
    <w:p>
      <w:pPr>
        <w:pStyle w:val="2"/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（3）满意度指标：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外资培训尚未开展，满意度指标未完成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部门职责定位和各项工作履职情况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对以上5个项目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进行综合评价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除2021开发区建设专项资金（稳外资奖励）以外的4个项目，评价结果均在90分以上，等级为优秀；稳外资奖励项目分数低于60，等级为较差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>
      <w:pPr>
        <w:pStyle w:val="2"/>
        <w:ind w:firstLine="640" w:firstLineChars="200"/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存在预算绩效职责不清问题，由于财务科室缺乏专业人员，缺少业务科室的协调配合，承担了本该由业务部门承担的绩效工作，弱化了实施预算绩效管理。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明确责任主体。按照谁支出、谁负责，谁审批、谁负责的原则，明确资金使用单位是本单位绩效管理的第一责任人。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六、评价工作组人员名单及签字（姓名、工作单位、职务、职称）</w:t>
      </w:r>
    </w:p>
    <w:tbl>
      <w:tblPr>
        <w:tblStyle w:val="6"/>
        <w:tblW w:w="499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6"/>
        <w:gridCol w:w="69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162" w:type="pct"/>
            <w:vAlign w:val="center"/>
          </w:tcPr>
          <w:p>
            <w:pPr>
              <w:widowControl w:val="0"/>
              <w:wordWrap/>
              <w:spacing w:line="560" w:lineRule="exact"/>
              <w:ind w:left="0" w:leftChars="0" w:right="0" w:firstLine="600" w:firstLineChars="20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姓名</w:t>
            </w:r>
          </w:p>
        </w:tc>
        <w:tc>
          <w:tcPr>
            <w:tcW w:w="3837" w:type="pct"/>
            <w:vAlign w:val="center"/>
          </w:tcPr>
          <w:p>
            <w:pPr>
              <w:widowControl w:val="0"/>
              <w:wordWrap/>
              <w:spacing w:line="560" w:lineRule="exact"/>
              <w:ind w:left="0" w:leftChars="0" w:right="0" w:firstLine="600" w:firstLineChars="20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职务、职称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162" w:type="pct"/>
            <w:vAlign w:val="center"/>
          </w:tcPr>
          <w:p>
            <w:pPr>
              <w:widowControl w:val="0"/>
              <w:wordWrap/>
              <w:spacing w:line="560" w:lineRule="exact"/>
              <w:ind w:left="0" w:leftChars="0" w:right="0" w:firstLine="600" w:firstLineChars="20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胡波</w:t>
            </w:r>
          </w:p>
        </w:tc>
        <w:tc>
          <w:tcPr>
            <w:tcW w:w="3837" w:type="pct"/>
            <w:vAlign w:val="center"/>
          </w:tcPr>
          <w:p>
            <w:pPr>
              <w:widowControl w:val="0"/>
              <w:wordWrap/>
              <w:spacing w:line="560" w:lineRule="exact"/>
              <w:ind w:left="0" w:leftChars="0" w:right="0" w:firstLine="600" w:firstLineChars="20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鹿泉区投资促进局党组书记、局长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162" w:type="pct"/>
            <w:vAlign w:val="center"/>
          </w:tcPr>
          <w:p>
            <w:pPr>
              <w:widowControl w:val="0"/>
              <w:wordWrap/>
              <w:spacing w:line="560" w:lineRule="exact"/>
              <w:ind w:left="0" w:leftChars="0" w:right="0" w:firstLine="600" w:firstLineChars="20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李论</w:t>
            </w:r>
          </w:p>
        </w:tc>
        <w:tc>
          <w:tcPr>
            <w:tcW w:w="3837" w:type="pct"/>
            <w:vAlign w:val="center"/>
          </w:tcPr>
          <w:p>
            <w:pPr>
              <w:widowControl w:val="0"/>
              <w:wordWrap/>
              <w:spacing w:line="560" w:lineRule="exact"/>
              <w:ind w:left="0" w:leftChars="0" w:right="0" w:firstLine="600" w:firstLineChars="20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鹿泉区投资促进局党组成员、副局长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162" w:type="pct"/>
            <w:vAlign w:val="center"/>
          </w:tcPr>
          <w:p>
            <w:pPr>
              <w:widowControl w:val="0"/>
              <w:wordWrap/>
              <w:spacing w:line="560" w:lineRule="exact"/>
              <w:ind w:left="0" w:leftChars="0" w:right="0" w:firstLine="600" w:firstLineChars="20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王怡薇</w:t>
            </w:r>
          </w:p>
        </w:tc>
        <w:tc>
          <w:tcPr>
            <w:tcW w:w="3837" w:type="pct"/>
            <w:vAlign w:val="center"/>
          </w:tcPr>
          <w:p>
            <w:pPr>
              <w:widowControl w:val="0"/>
              <w:wordWrap/>
              <w:spacing w:line="560" w:lineRule="exact"/>
              <w:ind w:left="0" w:leftChars="0" w:right="0" w:firstLine="600" w:firstLineChars="20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鹿泉区投资促进局党组成员、副局长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162" w:type="pct"/>
            <w:vAlign w:val="center"/>
          </w:tcPr>
          <w:p>
            <w:pPr>
              <w:widowControl w:val="0"/>
              <w:wordWrap/>
              <w:spacing w:line="560" w:lineRule="exact"/>
              <w:ind w:left="0" w:leftChars="0" w:right="0" w:firstLine="600" w:firstLineChars="20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张辉</w:t>
            </w:r>
          </w:p>
        </w:tc>
        <w:tc>
          <w:tcPr>
            <w:tcW w:w="3837" w:type="pct"/>
            <w:vAlign w:val="center"/>
          </w:tcPr>
          <w:p>
            <w:pPr>
              <w:widowControl w:val="0"/>
              <w:wordWrap/>
              <w:spacing w:line="560" w:lineRule="exact"/>
              <w:ind w:left="0" w:leftChars="0" w:right="0" w:firstLine="600" w:firstLineChars="20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鹿泉区投资促进局党组成员</w:t>
            </w:r>
          </w:p>
        </w:tc>
      </w:tr>
    </w:tbl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altName w:val="宋体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5E23CF5"/>
    <w:multiLevelType w:val="singleLevel"/>
    <w:tmpl w:val="B5E23CF5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C7619"/>
    <w:rsid w:val="00AF566A"/>
    <w:rsid w:val="00B6553A"/>
    <w:rsid w:val="01B104CA"/>
    <w:rsid w:val="02106AB0"/>
    <w:rsid w:val="02B43A28"/>
    <w:rsid w:val="046F331E"/>
    <w:rsid w:val="05E34A6D"/>
    <w:rsid w:val="07956271"/>
    <w:rsid w:val="0890236E"/>
    <w:rsid w:val="09721397"/>
    <w:rsid w:val="0BB63BED"/>
    <w:rsid w:val="0EB97A43"/>
    <w:rsid w:val="0EBD2122"/>
    <w:rsid w:val="0F214EAE"/>
    <w:rsid w:val="0F582AB9"/>
    <w:rsid w:val="11B71E6A"/>
    <w:rsid w:val="11D622C6"/>
    <w:rsid w:val="13DC5CF4"/>
    <w:rsid w:val="156D377E"/>
    <w:rsid w:val="158D1D51"/>
    <w:rsid w:val="15DE0130"/>
    <w:rsid w:val="1AAF0063"/>
    <w:rsid w:val="1ACE0A81"/>
    <w:rsid w:val="1BE140DE"/>
    <w:rsid w:val="200D469D"/>
    <w:rsid w:val="2060495F"/>
    <w:rsid w:val="248C197D"/>
    <w:rsid w:val="252959AF"/>
    <w:rsid w:val="252E1DCA"/>
    <w:rsid w:val="277A6671"/>
    <w:rsid w:val="292D35B7"/>
    <w:rsid w:val="2A594280"/>
    <w:rsid w:val="2A7C6AD3"/>
    <w:rsid w:val="2C3C655E"/>
    <w:rsid w:val="2E4E431D"/>
    <w:rsid w:val="31384B5D"/>
    <w:rsid w:val="32DB1763"/>
    <w:rsid w:val="33EB6CFF"/>
    <w:rsid w:val="35A12947"/>
    <w:rsid w:val="37387040"/>
    <w:rsid w:val="3AD463D3"/>
    <w:rsid w:val="3B625C0A"/>
    <w:rsid w:val="3BC42338"/>
    <w:rsid w:val="3CEE1963"/>
    <w:rsid w:val="3FCA2E58"/>
    <w:rsid w:val="40086482"/>
    <w:rsid w:val="444F0106"/>
    <w:rsid w:val="47F134D6"/>
    <w:rsid w:val="4A38031F"/>
    <w:rsid w:val="4C934CD4"/>
    <w:rsid w:val="4C9655A2"/>
    <w:rsid w:val="4C9C27FE"/>
    <w:rsid w:val="4CC415CE"/>
    <w:rsid w:val="4EC06F92"/>
    <w:rsid w:val="512260B4"/>
    <w:rsid w:val="51713CA0"/>
    <w:rsid w:val="52BD6ACB"/>
    <w:rsid w:val="553E69C9"/>
    <w:rsid w:val="55537534"/>
    <w:rsid w:val="559144E7"/>
    <w:rsid w:val="561A74F1"/>
    <w:rsid w:val="58AF2D20"/>
    <w:rsid w:val="597244E8"/>
    <w:rsid w:val="5EB71C30"/>
    <w:rsid w:val="626303FC"/>
    <w:rsid w:val="66AF0CE5"/>
    <w:rsid w:val="67C1274E"/>
    <w:rsid w:val="69F300C3"/>
    <w:rsid w:val="6AC537CF"/>
    <w:rsid w:val="6E5B14A6"/>
    <w:rsid w:val="6FCC2D36"/>
    <w:rsid w:val="711B255E"/>
    <w:rsid w:val="71C91F6F"/>
    <w:rsid w:val="72813538"/>
    <w:rsid w:val="7317199D"/>
    <w:rsid w:val="73BF0EFB"/>
    <w:rsid w:val="76C20053"/>
    <w:rsid w:val="78791AF7"/>
    <w:rsid w:val="78D7693B"/>
    <w:rsid w:val="79AF135B"/>
    <w:rsid w:val="7B0E2685"/>
    <w:rsid w:val="7BB51E06"/>
    <w:rsid w:val="7BD795DC"/>
    <w:rsid w:val="7C387F7C"/>
    <w:rsid w:val="7E7170B9"/>
    <w:rsid w:val="7FE83423"/>
    <w:rsid w:val="7FF64713"/>
    <w:rsid w:val="7FF9718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basedOn w:val="1"/>
    <w:qFormat/>
    <w:uiPriority w:val="0"/>
    <w:rPr>
      <w:rFonts w:ascii="宋体" w:hAnsi="宋体" w:eastAsia="仿宋_GB2312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1</TotalTime>
  <ScaleCrop>false</ScaleCrop>
  <LinksUpToDate>false</LinksUpToDate>
  <CharactersWithSpaces>0</CharactersWithSpaces>
  <Application>WPS Office_11.8.2.11717_F1E327BC-269C-435d-A152-05C5408002CA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2020-02-04T11:46:00Z</dcterms:created>
  <dc:creator>欣欣大人</dc:creator>
  <cp:lastModifiedBy>user</cp:lastModifiedBy>
  <cp:lastPrinted>2022-01-19T15:24:00Z</cp:lastPrinted>
  <dcterms:modified xsi:type="dcterms:W3CDTF">2023-09-27T16:40:55Z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2052-11.8.2.11717</vt:lpwstr>
  </property>
  <property fmtid="{D5CDD505-2E9C-101B-9397-08002B2CF9AE}" pid="3" name="ICV">
    <vt:lpwstr>3B2BE71DE98C01B197EA13653EB8D7D5</vt:lpwstr>
  </property>
</Properties>
</file>