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区委宣传部2022年度整体支出绩效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/>
        <w:jc w:val="both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石家庄市鹿泉区人民政府《关于全面实施预算绩效管理的实施意见》（鹿发〔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文件精神，遵循“科学性、规范性、客观性和公正性”的原则，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区委宣传部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整体支出情况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/>
        <w:jc w:val="both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firstLine="643" w:firstLineChars="200"/>
        <w:jc w:val="both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outlineLvl w:val="9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委宣传部为区委主管意识形态方面工作的职能部门，内设办公室、新闻出版版权股（区“扫黄打非”办公室）、国防教育办公室、精神文明建设股、新闻股、宣教股，有干部职工16人。加挂区精神文明建设委员会办公室、区政府新闻办公室、区新闻出版局（区版权局)牌子，下属单位有区电影放映服务中心、区新时代文明实践服务中心。2022年底固定资产原值1035427元，资产净值631261.95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78" w:lineRule="exact"/>
        <w:ind w:firstLine="640" w:firstLineChars="200"/>
        <w:jc w:val="both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ascii="仿宋_GB2312" w:hAnsi="Times New Roman" w:eastAsia="仿宋_GB2312" w:cs="仿宋_GB2312"/>
          <w:sz w:val="32"/>
          <w:szCs w:val="32"/>
        </w:rPr>
        <w:t>2022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年度收入合计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1819.45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万元，其中：财政拨款收入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1819.45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100.0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；事业收入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；其他收入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；经营收入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；附属单位上缴收入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；其他收入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78" w:lineRule="exact"/>
        <w:ind w:firstLine="640" w:firstLineChars="200"/>
        <w:jc w:val="both"/>
        <w:textAlignment w:val="auto"/>
        <w:rPr>
          <w:rFonts w:hint="eastAsia"/>
          <w:lang w:eastAsia="zh-CN"/>
        </w:rPr>
      </w:pPr>
      <w:r>
        <w:rPr>
          <w:rFonts w:ascii="仿宋_GB2312" w:hAnsi="Times New Roman" w:eastAsia="仿宋_GB2312" w:cs="仿宋_GB2312"/>
          <w:sz w:val="32"/>
          <w:szCs w:val="32"/>
        </w:rPr>
        <w:t>2022</w:t>
      </w:r>
      <w:r>
        <w:rPr>
          <w:rFonts w:hint="eastAsia" w:ascii="仿宋_GB2312" w:hAnsi="Times New Roman" w:eastAsia="仿宋_GB2312" w:cs="仿宋_GB2312"/>
          <w:sz w:val="32"/>
          <w:szCs w:val="32"/>
        </w:rPr>
        <w:t>年度支出合计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1819.45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万元，其中：基本支出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577.14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31.7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；项目支出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1242.31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68.3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上缴上级支出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0万元，占0%；</w:t>
      </w:r>
      <w:r>
        <w:rPr>
          <w:rFonts w:hint="eastAsia" w:ascii="仿宋_GB2312" w:hAnsi="Times New Roman" w:eastAsia="仿宋_GB2312" w:cs="仿宋_GB2312"/>
          <w:sz w:val="32"/>
          <w:szCs w:val="32"/>
        </w:rPr>
        <w:t>经营支出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</w:rPr>
        <w:t>；对附属单位补助支出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Times New Roman" w:eastAsia="仿宋_GB2312" w:cs="仿宋_GB2312"/>
          <w:sz w:val="32"/>
          <w:szCs w:val="32"/>
        </w:rPr>
        <w:t>万元，占</w:t>
      </w: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0</w:t>
      </w:r>
      <w:r>
        <w:rPr>
          <w:rFonts w:ascii="仿宋_GB2312" w:hAnsi="Times New Roman" w:eastAsia="仿宋_GB2312" w:cs="仿宋_GB2312"/>
          <w:sz w:val="32"/>
          <w:szCs w:val="32"/>
        </w:rPr>
        <w:t>%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78" w:lineRule="exact"/>
        <w:ind w:firstLine="640" w:firstLineChars="200"/>
        <w:jc w:val="both"/>
        <w:textAlignment w:val="auto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仿宋_GB2312" w:hAnsi="Times New Roman" w:eastAsia="仿宋_GB2312" w:cs="仿宋_GB2312"/>
          <w:sz w:val="32"/>
          <w:szCs w:val="32"/>
          <w:lang w:val="en-US" w:eastAsia="zh-CN"/>
        </w:rPr>
        <w:t>区委宣传部</w:t>
      </w:r>
      <w:r>
        <w:rPr>
          <w:rFonts w:hint="eastAsia" w:ascii="仿宋_GB2312" w:hAnsi="Times New Roman" w:eastAsia="仿宋_GB2312" w:cs="仿宋_GB2312"/>
          <w:sz w:val="32"/>
          <w:szCs w:val="32"/>
        </w:rPr>
        <w:t>2022年以先进思想文化凝心聚魂，让主旋律更响亮、正能量更强劲，为加快建设经济强区、魅力鹿泉、生态宜居宜业宜游新城区提供有力的思想保证和精神力量。坚持“走在前做表率”的目标要求，进一步完善党委（党组）理论学习中心组学习制度，健全党员干部理论培训制度体系，充分发挥好区委讲师团、区社科联和“学习强国”学习平台作用，不断推进党的创新理论“六进”和学校“三进”工作，让党的创新理论在鹿泉真正落地生根。认真落实意识形态工作责任制相关要求，用好《意识形态工作手册》，对各单位落实意识形态工作责任制情况进行常态化抽查与“回头看”，加大问责力度，推动各级党委（党组）重大政治责任落实。加强出版活动监管，严格落实内部资料性出版物管理制度，严查各类有害出版物。强化“扫黄打非”工作，提升“扫黄打非”基层站点建设水平，打造示范点，切实维护意识形态安全。围绕“六区同创”、千亿级电子信息产业基地等重点工作，策划推出系列主题宣传、成就宣传和典型宣传。加快推进媒体深度融合，建立全媒体内容生产整体架构，提高内容生产质量和效率，策划推出优质融媒体产品。充分发挥舆情处置中心作用，完善舆情应对、风险研判、应急处置机制，建强用好新闻通讯员、舆情信息员、新闻发言人等队伍，不断提升对舆情分析、研判和处置能力。继续做好省级文明城区、全国文明城市常态化创建工作</w:t>
      </w:r>
      <w:r>
        <w:rPr>
          <w:rFonts w:hint="eastAsia" w:ascii="仿宋_GB2312" w:hAnsi="Times New Roman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仿宋_GB2312"/>
          <w:sz w:val="32"/>
          <w:szCs w:val="32"/>
        </w:rPr>
        <w:t>常态化进行督导和检查，继续提升文明城市创建成果。开展移风易俗，持续推进文明村镇、文明单位、文明家庭、文明校园建设，培育文明乡风、良好家风。大力开展形式多样、群众喜闻乐见的新时代文明实践活动。按照“一乡镇（区）一品牌，一村一特色，一队一旗帜”的原则，努力打造出一批具有本地、本部门特色和影响力的文明实践活动品牌，推动乡村文明实践活动出新出彩。用好新时代文明实践云平台，全面做强做大文明实践志愿队伍。依托实践中心云平台，全面加强区、乡、村三级文明实践志愿服务队伍的逐层管理、分类管理与动态管理，健全完善志愿服务激励机制，进一步提升服务水平，充分发挥志愿者的文明实践主力军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right="0" w:firstLine="640" w:firstLineChars="200"/>
        <w:jc w:val="both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640"/>
        <w:jc w:val="both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成立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绩效评价小组，明确工作职责，制定任务分解清单。建立健全合法、合规、完整财务和业务管理制度，形成良好的内部控制机制。各项目管理股室根据职责分工、管理流程，按各项目的具体工作要求，确定实施范围、明确目标任务、工作要求、工作时间节点等，保证项目顺利实施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按照绩效目标、指标要求通过查看验刊资料、活动相关文件、印刷发放物品等形式，组织绩效评价工作。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642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1、科学制定项目申报。项目单位要按照自身实际需求，明确发展思路，实事求是的申报项目。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2、认真组织项目实施。上级批复后，按项目申报书内容在规定的时间内组织实施。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3、严格验收。区级负责按照资金管理办法组织项目验收工作，验收合格的协调指导拨付资金。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4、完善档案。按照绩效评价工作要求建立并完善项目档案。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/>
        <w:jc w:val="both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3" w:firstLineChars="200"/>
        <w:jc w:val="both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一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）总体绩效目标实现情况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严格落实意识形态工作主体责任；深化理论武装；做好新闻宣传，不断巩固壮大主流思想舆论；抓好文化产业、新闻出版版权、扫黄打非、电影事业；做好国防教育、爱国主义教育基地工作；持续推进文明实践走深走实；开展多种多样群众性文化活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right="0" w:rightChars="0" w:firstLine="640" w:firstLineChars="200"/>
        <w:jc w:val="both"/>
        <w:textAlignment w:val="auto"/>
        <w:outlineLvl w:val="9"/>
        <w:rPr>
          <w:rFonts w:hint="default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（二）分项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绩效目标实现情况</w:t>
      </w: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及指标分析</w:t>
      </w:r>
    </w:p>
    <w:p>
      <w:pPr>
        <w:pStyle w:val="9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1、抓好意识形态工作，突出思想引领。</w:t>
      </w:r>
      <w:bookmarkStart w:id="0" w:name="_GoBack"/>
      <w:bookmarkEnd w:id="0"/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细化完善区委理论学习中心组学习计划和制度，坚持每月1次集中学习，创新学习形式，广泛开展常态化宣传宣讲，在狠抓学习中筑牢思想基础为区委中心组购买学习用书、印制学习资料及邀请省市专家教授讲课等费用，指导、督导全区县级党委（党组）理论学习中心组工作；加强理论宣传，运用各个传媒，搭建平台，深入宣传中央、省、市及我区方针政策；深入开展理论研究，为区委区政府决策提供咨询。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绩效指标：加强党员领导干部理论教育，邀请专家教授讲课1次；按照年度学习任务要求，购买理论学习书籍800份；推进中心组学习阵地建设。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 xml:space="preserve">2、深化文明实践，推动文明城市常态化创建工作      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在鹿泉主城区开展文明十大行动活动、河北省文明行为促进条例、石家庄市公共文明行为条例等系列宣传活动，制作践行社会主义核心价值观、图说我们的价值观等公益广告展板，不断提升城市文明程度，提高市民文明素质，不断推动社会主义核心价值观建设向深度和广度拓展。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开展践行社会主义核心价值观宣传活动5场，制作公益广告宣传展板300块，发放宣传文明十大行动、河北省文明行为促进条例、石家庄市公共文明行为条例等宣传资料10000份，提高广大市民的文明素质，提高全区文明程度，顺利通过全国文明城市、省级文明城区年度测评。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3、加快拓展新时代文明实践中心建设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新时代文明实践云平台，全面做强做大文明实践志愿队伍。依托实践中心云平台，全面加强区、乡、村三级文明实践志愿服务队伍的逐层管理、分类管理与动态管理，健全完善志愿服务激励机制，进一步提升服务水平。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绩效指标：为更好地发挥新时代文明实践中心作用，补助新时代文明实践所、站6个，建设志愿服务线上平台1个，开展多样宣传文化活动7场。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4、借助媒体宣传造势，加大宣传鹿泉推介鹿泉的力度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经河北广播电视台、石家庄电视台、石家庄电台、国际在线等媒体渠道宣传鹿泉，制作重大主题采访活动和专题报道，借助媒体强势为我区宣传，在河北日报、河北经济日报、长城网等媒体开设专版，每年在主流媒体组织各系列专版宣传稿件原创率达到100%以上，精心策划，提高鹿泉知名度塑造鹿泉新形象。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绩效指标：对外宣传合作媒体5家，原创稿件占全部发表稿件的比率100%，制作重点工作或重要活动宣传册2000份，全年宣传鹿泉主题活动专版数9版。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5、坚持守正创新，举办丰富多样的品牌文化活动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绩效目标：通过电视、网络、报刊渠道，通过与主流媒体和单位开展重大宣传活动，掀起宣传重大活动的热潮，参照以往宣传工作经验，在各重大活动期间借助各级媒体平台开展矩阵式宣传。</w:t>
      </w:r>
    </w:p>
    <w:p>
      <w:pPr>
        <w:pStyle w:val="9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绩效指标：多渠道宣传推广鹿泉，纸媒、音视频等全年刊播公益广告数500条，全年在主流媒体宣传刊登稿件，全年在主流媒体组织各系列专版宣传稿件原创率100%。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640" w:firstLineChars="200"/>
        <w:jc w:val="both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根据项目执行情况和项目绩效情况，总得分</w:t>
      </w:r>
      <w:r>
        <w:rPr>
          <w:rFonts w:hint="default" w:ascii="仿宋_GB2312" w:hAnsi="Calibri" w:eastAsia="仿宋_GB2312" w:cs="黑体"/>
          <w:kern w:val="2"/>
          <w:sz w:val="32"/>
          <w:szCs w:val="32"/>
          <w:lang w:val="en-US" w:eastAsia="zh-CN" w:bidi="ar-SA"/>
        </w:rPr>
        <w:t>≥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90分，优秀。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640" w:firstLineChars="200"/>
        <w:jc w:val="both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78" w:lineRule="exact"/>
        <w:jc w:val="both"/>
        <w:textAlignment w:val="auto"/>
        <w:rPr>
          <w:rFonts w:hint="default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部分项目由于不可抗拒原因，未完全按年初计划开展，资金支出进度缓慢，影响了工作任务和绩效指标的完成。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642" w:leftChars="0" w:right="0" w:rightChars="0" w:firstLine="0" w:firstLineChars="0"/>
        <w:jc w:val="both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578" w:lineRule="exact"/>
        <w:jc w:val="both"/>
        <w:textAlignment w:val="auto"/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Calibri" w:eastAsia="仿宋_GB2312" w:cs="黑体"/>
          <w:kern w:val="2"/>
          <w:sz w:val="32"/>
          <w:szCs w:val="32"/>
          <w:lang w:val="en-US" w:eastAsia="zh-CN" w:bidi="ar-SA"/>
        </w:rPr>
        <w:t>加强绩效运行监控，拉出目标清单，细化责任分工，明确时间节点，按要求开展绩效运行监控，发现问题及时采取措施，确保绩效目标如期保质实现。发现的问题及时整改，调整优化支出结构，提高财政资金使用效益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评价工作组人员名单及签字（姓名、工作单位、职务、职称）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贾秀敏  区委宣传部常务副部长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pacing w:line="578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聂寒松  区委宣传部一级主任科员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pacing w:line="578" w:lineRule="exact"/>
        <w:ind w:firstLine="640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 xml:space="preserve">聂  慧  办公室主任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1">
    <w:nsid w:val="088F20B6"/>
    <w:multiLevelType w:val="singleLevel"/>
    <w:tmpl w:val="088F20B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ED8E7CB"/>
    <w:multiLevelType w:val="singleLevel"/>
    <w:tmpl w:val="2ED8E7CB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1B104CA"/>
    <w:rsid w:val="02106AB0"/>
    <w:rsid w:val="02B43A28"/>
    <w:rsid w:val="046F331E"/>
    <w:rsid w:val="064371D7"/>
    <w:rsid w:val="06CF35A8"/>
    <w:rsid w:val="07956271"/>
    <w:rsid w:val="0858013F"/>
    <w:rsid w:val="09721397"/>
    <w:rsid w:val="0BB63BED"/>
    <w:rsid w:val="0EB97A43"/>
    <w:rsid w:val="0EBD2122"/>
    <w:rsid w:val="0F214EAE"/>
    <w:rsid w:val="11B71E6A"/>
    <w:rsid w:val="1A296F01"/>
    <w:rsid w:val="1AAF0063"/>
    <w:rsid w:val="1BE140DE"/>
    <w:rsid w:val="248C197D"/>
    <w:rsid w:val="252959AF"/>
    <w:rsid w:val="277A6671"/>
    <w:rsid w:val="292D35B7"/>
    <w:rsid w:val="2A594280"/>
    <w:rsid w:val="2D7670C3"/>
    <w:rsid w:val="33EB6CFF"/>
    <w:rsid w:val="35A12947"/>
    <w:rsid w:val="37387040"/>
    <w:rsid w:val="3A4C4AFA"/>
    <w:rsid w:val="3B625C0A"/>
    <w:rsid w:val="3CEE1963"/>
    <w:rsid w:val="4C9C27FE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03703F5"/>
    <w:rsid w:val="711B255E"/>
    <w:rsid w:val="7317199D"/>
    <w:rsid w:val="778256B9"/>
    <w:rsid w:val="7BB51E06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unhideWhenUsed/>
    <w:qFormat/>
    <w:uiPriority w:val="1"/>
    <w:pPr>
      <w:widowControl w:val="0"/>
      <w:jc w:val="both"/>
    </w:pPr>
    <w:rPr>
      <w:rFonts w:hint="eastAsia" w:ascii="宋体" w:hAnsi="宋体" w:eastAsia="宋体" w:cs="Times New Roman"/>
      <w:kern w:val="2"/>
      <w:sz w:val="32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7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8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5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2023-09-27T02:56:41Z</cp:lastPrinted>
  <dcterms:modified xsi:type="dcterms:W3CDTF">2023-09-27T02:57:17Z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