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mc:AlternateContent>
          <mc:Choice Requires="wps">
            <w:drawing>
              <wp:anchor distT="0" distB="0" distL="114300" distR="114300" simplePos="0" relativeHeight="251662336"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2336;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OXMNuXcAAAADQEAAA8AAAAAAAAAAQAgAAAAIgAAAGRycy9kb3ducmV2LnhtbFBL&#10;AQIUABQAAAAIAIdO4kDxxTSgKwIAACQEAAAOAAAAAAAAAAEAIAAAACsBAABkcnMvZTJvRG9jLnht&#10;bFBLBQYAAAAABgAGAFkBAADIBQ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v:textbox>
              </v:shape>
            </w:pict>
          </mc:Fallback>
        </mc:AlternateContent>
      </w:r>
      <w:r>
        <w:drawing>
          <wp:anchor distT="0" distB="0" distL="114300" distR="114300" simplePos="0" relativeHeight="251663360"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2"/>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keepNext w:val="0"/>
        <w:keepLines w:val="0"/>
        <w:pageBreakBefore w:val="0"/>
        <w:widowControl w:val="0"/>
        <w:kinsoku/>
        <w:wordWrap/>
        <w:overflowPunct/>
        <w:topLinePunct w:val="0"/>
        <w:autoSpaceDE/>
        <w:autoSpaceDN/>
        <w:bidi w:val="0"/>
        <w:adjustRightInd/>
        <w:snapToGrid/>
        <w:spacing w:line="1100" w:lineRule="exact"/>
        <w:jc w:val="both"/>
        <w:textAlignment w:val="auto"/>
        <w:rPr>
          <w:rFonts w:hint="eastAsia" w:ascii="黑体" w:hAnsi="黑体" w:eastAsia="黑体" w:cs="黑体"/>
          <w:sz w:val="72"/>
          <w:szCs w:val="96"/>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eastAsia="zh-CN"/>
        </w:rPr>
      </w:pPr>
      <w:r>
        <w:rPr>
          <w:rFonts w:hint="eastAsia" w:ascii="黑体" w:hAnsi="黑体" w:eastAsia="黑体" w:cs="黑体"/>
          <w:sz w:val="72"/>
          <w:szCs w:val="96"/>
          <w:lang w:eastAsia="zh-CN"/>
        </w:rPr>
        <w:t>获鹿镇人民政府</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both"/>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hint="eastAsia" w:ascii="黑体" w:hAnsi="Times New Roman" w:eastAsia="黑体" w:cs="Times New Roman"/>
          <w:sz w:val="48"/>
          <w:szCs w:val="48"/>
        </w:rPr>
      </w:pPr>
    </w:p>
    <w:p>
      <w:pPr>
        <w:tabs>
          <w:tab w:val="left" w:pos="2728"/>
        </w:tabs>
        <w:jc w:val="center"/>
        <w:rPr>
          <w:rFonts w:hint="eastAsia"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6432;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Df95gjcAAAADQEAAA8A&#10;AAAAAAAAAQAgAAAAIgAAAGRycy9kb3ducmV2LnhtbFBLAQIUABQAAAAIAIdO4kCVxoSdhQIAACMF&#10;AAAOAAAAAAAAAAEAIAAAACsBAABkcnMvZTJvRG9jLnhtbFBLBQYAAAAABgAGAFkBAAAiBgAAAAA=&#10;">
                <v:fill type="pattern" on="t" color2="#FFFFFF [3212]" focussize="0,0" r:id="rId13"/>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400" w:lineRule="exact"/>
        <w:ind w:firstLine="480" w:firstLineChars="150"/>
        <w:rPr>
          <w:rFonts w:hint="eastAsia" w:ascii="仿宋_GB2312" w:eastAsia="仿宋_GB2312" w:cs="Arial Black"/>
          <w:kern w:val="0"/>
          <w:sz w:val="32"/>
          <w:szCs w:val="32"/>
        </w:rPr>
      </w:pPr>
      <w:r>
        <w:rPr>
          <w:rFonts w:hint="eastAsia" w:ascii="仿宋_GB2312" w:eastAsia="仿宋_GB2312" w:cs="Arial Black"/>
          <w:kern w:val="0"/>
          <w:sz w:val="32"/>
          <w:szCs w:val="32"/>
        </w:rPr>
        <w:t>（一）</w:t>
      </w:r>
      <w:r>
        <w:rPr>
          <w:rFonts w:hint="eastAsia" w:ascii="仿宋_GB2312" w:eastAsia="仿宋_GB2312" w:cs="DengXian-Regular"/>
          <w:sz w:val="32"/>
          <w:szCs w:val="32"/>
        </w:rPr>
        <w:t>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r>
        <w:rPr>
          <w:rFonts w:hint="eastAsia" w:ascii="仿宋_GB2312" w:eastAsia="仿宋_GB2312" w:cs="Arial Black"/>
          <w:kern w:val="0"/>
          <w:sz w:val="32"/>
          <w:szCs w:val="32"/>
        </w:rPr>
        <w:t>。</w:t>
      </w:r>
    </w:p>
    <w:p>
      <w:pPr>
        <w:widowControl/>
        <w:spacing w:line="400" w:lineRule="exact"/>
        <w:ind w:firstLine="480"/>
        <w:rPr>
          <w:rFonts w:hint="eastAsia" w:ascii="仿宋_GB2312" w:eastAsia="仿宋_GB2312" w:cs="DengXian-Regular"/>
          <w:sz w:val="32"/>
          <w:szCs w:val="32"/>
          <w:lang w:eastAsia="zh-CN"/>
        </w:rPr>
      </w:pPr>
      <w:r>
        <w:rPr>
          <w:rFonts w:hint="eastAsia" w:ascii="仿宋_GB2312" w:eastAsia="仿宋_GB2312" w:cs="Arial Black"/>
          <w:kern w:val="0"/>
          <w:sz w:val="32"/>
          <w:szCs w:val="32"/>
        </w:rPr>
        <w:t>（二）</w:t>
      </w:r>
      <w:r>
        <w:rPr>
          <w:rFonts w:hint="eastAsia" w:ascii="仿宋_GB2312" w:eastAsia="仿宋_GB2312" w:cs="DengXian-Regular"/>
          <w:sz w:val="32"/>
          <w:szCs w:val="32"/>
        </w:rPr>
        <w:t>农业综合服务。负责配合农口部门（农、林、牧、水）做好农业技术服务和技术推广工作，动物防疫工作；加强农田水利基本建设，增强农业抗御自然灾害的能力。做好农村一事一议项目管理。</w:t>
      </w:r>
    </w:p>
    <w:p>
      <w:pPr>
        <w:widowControl/>
        <w:spacing w:line="400" w:lineRule="exact"/>
        <w:ind w:firstLine="480"/>
        <w:rPr>
          <w:rFonts w:hint="eastAsia" w:ascii="仿宋_GB2312" w:eastAsia="仿宋_GB2312" w:cs="DengXian-Regular"/>
          <w:sz w:val="32"/>
          <w:szCs w:val="32"/>
        </w:rPr>
      </w:pPr>
      <w:r>
        <w:rPr>
          <w:rFonts w:hint="eastAsia" w:ascii="仿宋_GB2312" w:eastAsia="仿宋_GB2312" w:cs="Arial Black"/>
          <w:kern w:val="0"/>
          <w:sz w:val="32"/>
          <w:szCs w:val="32"/>
        </w:rPr>
        <w:t>（三）</w:t>
      </w:r>
      <w:r>
        <w:rPr>
          <w:rFonts w:hint="eastAsia" w:ascii="仿宋_GB2312" w:eastAsia="仿宋_GB2312" w:cs="DengXian-Regular"/>
          <w:sz w:val="32"/>
          <w:szCs w:val="32"/>
        </w:rPr>
        <w:t>卫生计生服务。配合食品药品监督管理的协调、督导，做好新型农村合作医疗等卫生方面工作，负责计划生育技术服务及人口生育管理，负责育龄妇女普查、妇女病防治、四术及协会等项工作。</w:t>
      </w:r>
    </w:p>
    <w:p>
      <w:pPr>
        <w:widowControl/>
        <w:spacing w:line="400" w:lineRule="exact"/>
        <w:ind w:firstLine="480"/>
        <w:rPr>
          <w:rFonts w:hint="eastAsia" w:ascii="仿宋_GB2312" w:eastAsia="仿宋_GB2312" w:cs="DengXian-Regular"/>
          <w:sz w:val="32"/>
          <w:szCs w:val="32"/>
        </w:rPr>
      </w:pPr>
      <w:r>
        <w:rPr>
          <w:rFonts w:hint="eastAsia" w:ascii="仿宋_GB2312" w:eastAsia="仿宋_GB2312" w:cs="Arial Black"/>
          <w:kern w:val="0"/>
          <w:sz w:val="32"/>
          <w:szCs w:val="32"/>
        </w:rPr>
        <w:t>（四）</w:t>
      </w:r>
      <w:r>
        <w:rPr>
          <w:rFonts w:hint="eastAsia" w:ascii="仿宋_GB2312" w:eastAsia="仿宋_GB2312" w:cs="DengXian-Regular"/>
          <w:sz w:val="32"/>
          <w:szCs w:val="32"/>
        </w:rPr>
        <w:t>文化综治服务。负责群众文化娱乐、体育活动、广播电视村村通等工作。</w:t>
      </w:r>
    </w:p>
    <w:p>
      <w:pPr>
        <w:widowControl/>
        <w:spacing w:line="400" w:lineRule="exact"/>
        <w:ind w:firstLine="480"/>
        <w:rPr>
          <w:rFonts w:hint="eastAsia" w:ascii="仿宋_GB2312" w:eastAsia="仿宋_GB2312" w:cs="DengXian-Regular"/>
          <w:sz w:val="32"/>
          <w:szCs w:val="32"/>
        </w:rPr>
      </w:pPr>
      <w:r>
        <w:rPr>
          <w:rFonts w:hint="eastAsia" w:ascii="仿宋_GB2312" w:eastAsia="仿宋_GB2312" w:cs="DengXian-Regular"/>
          <w:sz w:val="32"/>
          <w:szCs w:val="32"/>
        </w:rPr>
        <w:t>（</w:t>
      </w:r>
      <w:r>
        <w:rPr>
          <w:rFonts w:hint="eastAsia" w:ascii="仿宋_GB2312" w:eastAsia="仿宋_GB2312" w:cs="DengXian-Regular"/>
          <w:sz w:val="32"/>
          <w:szCs w:val="32"/>
          <w:lang w:eastAsia="zh-CN"/>
        </w:rPr>
        <w:t>五</w:t>
      </w:r>
      <w:r>
        <w:rPr>
          <w:rFonts w:hint="eastAsia" w:ascii="仿宋_GB2312" w:eastAsia="仿宋_GB2312" w:cs="DengXian-Regular"/>
          <w:sz w:val="32"/>
          <w:szCs w:val="32"/>
        </w:rPr>
        <w:t>）社会保障服务。配合劳动保障部门做好劳动法的宣传贯彻、劳动就业、社会保障等工作。配合安全生产监督管理部门做好安全生产监督管理等工作。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tbl>
      <w:tblPr>
        <w:tblStyle w:val="7"/>
        <w:tblpPr w:leftFromText="180" w:rightFromText="180" w:vertAnchor="text" w:horzAnchor="page" w:tblpX="1689" w:tblpY="1429"/>
        <w:tblOverlap w:val="never"/>
        <w:tblW w:w="87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3239"/>
        <w:gridCol w:w="2272"/>
        <w:gridCol w:w="2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787"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23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27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47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787" w:type="dxa"/>
          </w:tcPr>
          <w:p>
            <w:pPr>
              <w:spacing w:line="560" w:lineRule="exact"/>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1</w:t>
            </w:r>
          </w:p>
        </w:tc>
        <w:tc>
          <w:tcPr>
            <w:tcW w:w="3239" w:type="dxa"/>
            <w:vAlign w:val="center"/>
          </w:tcPr>
          <w:p>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仿宋_GB2312" w:eastAsia="仿宋_GB2312" w:cs="仿宋_GB2312"/>
                <w:sz w:val="21"/>
                <w:szCs w:val="21"/>
                <w:lang w:val="en-US" w:eastAsia="zh-CN"/>
              </w:rPr>
              <w:t>石家庄市鹿泉区获鹿镇人民政府</w:t>
            </w:r>
          </w:p>
        </w:tc>
        <w:tc>
          <w:tcPr>
            <w:tcW w:w="2272" w:type="dxa"/>
            <w:vAlign w:val="center"/>
          </w:tcPr>
          <w:p>
            <w:pPr>
              <w:spacing w:line="300" w:lineRule="exact"/>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sz w:val="21"/>
                <w:szCs w:val="21"/>
              </w:rPr>
              <w:t>行政</w:t>
            </w:r>
          </w:p>
        </w:tc>
        <w:tc>
          <w:tcPr>
            <w:tcW w:w="2479" w:type="dxa"/>
            <w:vAlign w:val="center"/>
          </w:tcPr>
          <w:p>
            <w:pPr>
              <w:spacing w:line="300" w:lineRule="exact"/>
              <w:jc w:val="center"/>
              <w:rPr>
                <w:rFonts w:hint="eastAsia" w:ascii="仿宋_GB2312" w:hAnsi="仿宋_GB2312" w:eastAsia="仿宋_GB2312" w:cs="仿宋_GB2312"/>
                <w:kern w:val="2"/>
                <w:sz w:val="21"/>
                <w:szCs w:val="21"/>
                <w:lang w:val="en-US" w:eastAsia="zh-CN" w:bidi="ar-SA"/>
              </w:rPr>
            </w:pPr>
            <w:r>
              <w:rPr>
                <w:rFonts w:hint="eastAsia" w:ascii="仿宋_GB2312" w:hAnsi="仿宋_GB2312" w:eastAsia="仿宋_GB2312" w:cs="仿宋_GB2312"/>
                <w:sz w:val="21"/>
                <w:szCs w:val="21"/>
              </w:rPr>
              <w:t>财政拨款</w:t>
            </w:r>
          </w:p>
        </w:tc>
      </w:tr>
    </w:tbl>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hAnsi="Calibri" w:eastAsia="仿宋_GB2312" w:cs="Arial Black"/>
          <w:kern w:val="0"/>
          <w:sz w:val="32"/>
          <w:szCs w:val="32"/>
          <w:lang w:eastAsia="zh-CN"/>
        </w:rPr>
        <w:t>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p>
      <w:pPr>
        <w:rPr>
          <w:rFonts w:hint="default" w:eastAsiaTheme="minorEastAsia"/>
          <w:lang w:val="en-US" w:eastAsia="zh-CN"/>
        </w:rPr>
      </w:pPr>
      <w:r>
        <w:rPr>
          <w:rFonts w:hint="eastAsia"/>
          <w:lang w:val="en-US" w:eastAsia="zh-CN"/>
        </w:rPr>
        <w:t xml:space="preserve">     </w:t>
      </w:r>
    </w:p>
    <w:p>
      <w:pPr>
        <w:widowControl/>
        <w:spacing w:line="400" w:lineRule="exact"/>
        <w:ind w:firstLine="480"/>
        <w:rPr>
          <w:rFonts w:hint="eastAsia" w:ascii="仿宋_GB2312" w:eastAsia="仿宋_GB2312" w:cs="DengXian-Regular"/>
          <w:sz w:val="32"/>
          <w:szCs w:val="32"/>
        </w:rPr>
      </w:pPr>
      <w:r>
        <w:rPr>
          <w:rFonts w:hint="eastAsia" w:ascii="仿宋_GB2312" w:eastAsia="仿宋_GB2312" w:cs="DengXian-Regular"/>
          <w:sz w:val="32"/>
          <w:szCs w:val="32"/>
        </w:rPr>
        <w:t>机构情况：</w:t>
      </w:r>
    </w:p>
    <w:p>
      <w:pPr>
        <w:snapToGrid w:val="0"/>
        <w:spacing w:line="400" w:lineRule="exact"/>
        <w:ind w:firstLine="480" w:firstLineChars="150"/>
        <w:rPr>
          <w:rFonts w:hint="eastAsia" w:ascii="仿宋_GB2312" w:eastAsia="仿宋_GB2312" w:cs="DengXian-Regular"/>
          <w:sz w:val="32"/>
          <w:szCs w:val="32"/>
        </w:rPr>
      </w:pPr>
      <w:r>
        <w:rPr>
          <w:rFonts w:hint="eastAsia" w:ascii="仿宋_GB2312" w:eastAsia="仿宋_GB2312" w:cs="DengXian-Regular"/>
          <w:sz w:val="32"/>
          <w:szCs w:val="32"/>
        </w:rPr>
        <w:t>独立编制机构数1个,独立核算机构数1个。</w:t>
      </w:r>
    </w:p>
    <w:p>
      <w:pPr>
        <w:widowControl/>
        <w:spacing w:line="400" w:lineRule="exact"/>
        <w:ind w:firstLine="480"/>
        <w:rPr>
          <w:rFonts w:hint="eastAsia" w:ascii="仿宋_GB2312" w:eastAsia="仿宋_GB2312" w:cs="DengXian-Regular"/>
          <w:sz w:val="32"/>
          <w:szCs w:val="32"/>
        </w:rPr>
      </w:pPr>
    </w:p>
    <w:p>
      <w:pPr>
        <w:widowControl/>
        <w:spacing w:line="400" w:lineRule="exact"/>
        <w:ind w:firstLine="480"/>
        <w:rPr>
          <w:rFonts w:hint="eastAsia" w:ascii="仿宋_GB2312" w:eastAsia="仿宋_GB2312" w:cs="DengXian-Regular"/>
          <w:sz w:val="32"/>
          <w:szCs w:val="32"/>
        </w:rPr>
      </w:pPr>
      <w:r>
        <w:rPr>
          <w:rFonts w:hint="eastAsia" w:ascii="仿宋_GB2312" w:eastAsia="仿宋_GB2312" w:cs="DengXian-Regular"/>
          <w:sz w:val="32"/>
          <w:szCs w:val="32"/>
        </w:rPr>
        <w:t>人员情况：</w:t>
      </w:r>
    </w:p>
    <w:p>
      <w:pPr>
        <w:widowControl/>
        <w:spacing w:line="400" w:lineRule="exact"/>
        <w:ind w:firstLine="480"/>
        <w:rPr>
          <w:rFonts w:hint="eastAsia" w:ascii="仿宋_GB2312" w:eastAsia="仿宋_GB2312" w:cs="DengXian-Regular"/>
          <w:sz w:val="32"/>
          <w:szCs w:val="32"/>
        </w:rPr>
      </w:pPr>
      <w:r>
        <w:rPr>
          <w:rFonts w:hint="eastAsia" w:ascii="仿宋_GB2312" w:eastAsia="仿宋_GB2312" w:cs="DengXian-Regular"/>
          <w:sz w:val="32"/>
          <w:szCs w:val="32"/>
        </w:rPr>
        <w:t>年末实有人数83人，其中行政干部39人，无增减；事业干部44人，</w:t>
      </w:r>
      <w:r>
        <w:rPr>
          <w:rFonts w:hint="eastAsia" w:ascii="仿宋_GB2312" w:eastAsia="仿宋_GB2312" w:cs="DengXian-Regular"/>
          <w:sz w:val="32"/>
          <w:szCs w:val="32"/>
          <w:lang w:eastAsia="zh-CN"/>
        </w:rPr>
        <w:t>无增减</w:t>
      </w:r>
      <w:r>
        <w:rPr>
          <w:rFonts w:hint="eastAsia" w:ascii="仿宋_GB2312" w:eastAsia="仿宋_GB2312" w:cs="DengXian-Regular"/>
          <w:sz w:val="32"/>
          <w:szCs w:val="32"/>
        </w:rPr>
        <w:t>。</w:t>
      </w:r>
    </w:p>
    <w:p>
      <w:pPr>
        <w:widowControl/>
        <w:spacing w:line="400" w:lineRule="exact"/>
        <w:rPr>
          <w:rFonts w:hint="eastAsia" w:ascii="仿宋_GB2312" w:eastAsia="仿宋_GB2312" w:cs="DengXian-Regular"/>
          <w:sz w:val="44"/>
          <w:szCs w:val="44"/>
        </w:rPr>
      </w:pPr>
    </w:p>
    <w:p>
      <w:pPr>
        <w:pStyle w:val="2"/>
        <w:spacing w:before="0" w:after="0" w:line="580" w:lineRule="exact"/>
        <w:ind w:firstLine="2200" w:firstLineChars="500"/>
        <w:rPr>
          <w:rFonts w:hint="eastAsia" w:ascii="黑体" w:eastAsia="黑体" w:cs="黑体"/>
          <w:b w:val="0"/>
          <w:bCs w:val="0"/>
          <w:kern w:val="0"/>
        </w:rPr>
      </w:pPr>
    </w:p>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848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-1028065</wp:posOffset>
                </wp:positionH>
                <wp:positionV relativeFrom="paragraph">
                  <wp:posOffset>-2637155</wp:posOffset>
                </wp:positionV>
                <wp:extent cx="7793355" cy="3341370"/>
                <wp:effectExtent l="6350" t="6350" r="10795" b="2413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9504;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LwXDtHdAAAADgEAAA8A&#10;AAAAAAAAAQAgAAAAIgAAAGRycy9kb3ducmV2LnhtbFBLAQIUABQAAAAIAIdO4kBTlixyhAIAAB8F&#10;AAAOAAAAAAAAAAEAIAAAACwBAABkcnMvZTJvRG9jLnhtbFBLBQYAAAAABgAGAFkBAAAiBgAAAAA=&#10;">
                <v:fill type="pattern" on="t" color2="#FFFFFF [3212]" focussize="0,0" r:id="rId13"/>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2020年度收、支总计（含结转和结余）</w:t>
      </w:r>
      <w:r>
        <w:rPr>
          <w:rFonts w:hint="eastAsia" w:ascii="仿宋_GB2312" w:hAnsi="Times New Roman" w:eastAsia="仿宋_GB2312" w:cs="Wingdings"/>
          <w:sz w:val="32"/>
          <w:szCs w:val="32"/>
          <w:lang w:val="en-US" w:eastAsia="zh-CN"/>
        </w:rPr>
        <w:t>4804</w:t>
      </w:r>
      <w:r>
        <w:rPr>
          <w:rFonts w:hint="eastAsia" w:ascii="仿宋_GB2312" w:hAnsi="Times New Roman" w:eastAsia="仿宋_GB2312" w:cs="Wingdings"/>
          <w:sz w:val="32"/>
          <w:szCs w:val="32"/>
        </w:rPr>
        <w:t>万元。与2019年度决算相比，收支各减少</w:t>
      </w:r>
      <w:r>
        <w:rPr>
          <w:rFonts w:hint="eastAsia" w:ascii="仿宋_GB2312" w:hAnsi="Times New Roman" w:eastAsia="仿宋_GB2312" w:cs="Wingdings"/>
          <w:sz w:val="32"/>
          <w:szCs w:val="32"/>
          <w:lang w:val="en-US" w:eastAsia="zh-CN"/>
        </w:rPr>
        <w:t>1108</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18.74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（如图1）</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本年承担项目的资金支出规模较上年有所减少，其中旅发大会抱犊寨片区提升补助减少500万元，山前大道拓宽花海项目减少补助资金500万元</w:t>
      </w:r>
      <w:r>
        <w:rPr>
          <w:rFonts w:hint="eastAsia" w:ascii="仿宋_GB2312" w:hAnsi="Times New Roman" w:eastAsia="仿宋_GB2312" w:cs="Wingdings"/>
          <w:sz w:val="32"/>
          <w:szCs w:val="32"/>
        </w:rPr>
        <w:t>。</w:t>
      </w: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r>
        <w:rPr>
          <w:sz w:val="32"/>
        </w:rPr>
        <mc:AlternateContent>
          <mc:Choice Requires="wps">
            <w:drawing>
              <wp:anchor distT="0" distB="0" distL="114300" distR="114300" simplePos="0" relativeHeight="251675648" behindDoc="0" locked="0" layoutInCell="1" allowOverlap="1">
                <wp:simplePos x="0" y="0"/>
                <wp:positionH relativeFrom="column">
                  <wp:posOffset>722630</wp:posOffset>
                </wp:positionH>
                <wp:positionV relativeFrom="paragraph">
                  <wp:posOffset>3556000</wp:posOffset>
                </wp:positionV>
                <wp:extent cx="4209415" cy="390525"/>
                <wp:effectExtent l="0" t="0" r="635" b="9525"/>
                <wp:wrapNone/>
                <wp:docPr id="6" name="文本框 6"/>
                <wp:cNvGraphicFramePr/>
                <a:graphic xmlns:a="http://schemas.openxmlformats.org/drawingml/2006/main">
                  <a:graphicData uri="http://schemas.microsoft.com/office/word/2010/wordprocessingShape">
                    <wps:wsp>
                      <wps:cNvSpPr txBox="1"/>
                      <wps:spPr>
                        <a:xfrm>
                          <a:off x="1713865" y="657987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6.9pt;margin-top:280pt;height:30.75pt;width:331.45pt;z-index:251675648;mso-width-relative:page;mso-height-relative:page;" fillcolor="#FFFFFF" filled="t" stroked="f" coordsize="21600,21600" o:gfxdata="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KYy9+dYAAAALAQAADwAAAAAAAAABACAAAAAi&#10;AAAAZHJzL2Rvd25yZXYueG1sUEsBAhQAFAAAAAgAh07iQLlfCtFFAgAAWwQAAA4AAAAAAAAAAQAg&#10;AAAAJQEAAGRycy9lMm9Eb2MueG1sUEsFBgAAAAAGAAYAWQEAANwF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v:textbox>
              </v:shape>
            </w:pict>
          </mc:Fallback>
        </mc:AlternateContent>
      </w:r>
      <w:r>
        <w:rPr>
          <w:rFonts w:hint="eastAsia" w:ascii="楷体_GB2312" w:hAnsi="楷体_GB2312" w:eastAsia="楷体_GB2312" w:cs="楷体_GB2312"/>
          <w:sz w:val="28"/>
          <w:szCs w:val="28"/>
        </w:rPr>
        <w:drawing>
          <wp:anchor distT="0" distB="0" distL="114300" distR="114300" simplePos="0" relativeHeight="251676672" behindDoc="0" locked="0" layoutInCell="1" allowOverlap="1">
            <wp:simplePos x="0" y="0"/>
            <wp:positionH relativeFrom="column">
              <wp:posOffset>137795</wp:posOffset>
            </wp:positionH>
            <wp:positionV relativeFrom="paragraph">
              <wp:posOffset>179705</wp:posOffset>
            </wp:positionV>
            <wp:extent cx="5394325" cy="3038475"/>
            <wp:effectExtent l="4445" t="4445" r="11430" b="5080"/>
            <wp:wrapTopAndBottom/>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sz w:val="32"/>
          <w:szCs w:val="32"/>
          <w:lang w:val="en-US" w:eastAsia="zh-CN"/>
        </w:rPr>
        <w:t>4804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其中</w:t>
      </w:r>
      <w:r>
        <w:rPr>
          <w:rFonts w:hint="eastAsia" w:ascii="仿宋_GB2312" w:hAnsi="Times New Roman" w:eastAsia="仿宋_GB2312" w:cs="Wingdings"/>
          <w:sz w:val="32"/>
          <w:szCs w:val="32"/>
          <w:lang w:val="en-US" w:eastAsia="zh-CN"/>
        </w:rPr>
        <w:t>一般公共预算财政拨款4693万元，其他收入111万元。</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一般公共服务支出2357万元，占总支出的49.2%；公共安全支出166万元，占3.5%；教育支出592万元，占12.3%；宣传文化发展专项支出88万元，占1.8%；社会保障和就业支出219万元，占4.5%；卫生和健康支出263万元，占5.5%；节能和环保支出133万元，占2.7%；城乡社区事务支出399万元，占8.3%；农林水支出587万元，占12.2%。（见图2）</w:t>
      </w:r>
    </w:p>
    <w:p>
      <w:pPr>
        <w:adjustRightInd w:val="0"/>
        <w:snapToGrid w:val="0"/>
        <w:spacing w:line="600" w:lineRule="exact"/>
        <w:ind w:firstLine="420" w:firstLineChars="200"/>
        <w:rPr>
          <w:rFonts w:hint="default" w:ascii="仿宋_GB2312" w:hAnsi="Times New Roman" w:eastAsia="仿宋_GB2312" w:cs="Wingdings"/>
          <w:sz w:val="32"/>
          <w:szCs w:val="32"/>
          <w:lang w:val="en-US" w:eastAsia="zh-CN"/>
        </w:rPr>
      </w:pPr>
      <w:r>
        <w:drawing>
          <wp:anchor distT="0" distB="0" distL="114300" distR="114300" simplePos="0" relativeHeight="251716608" behindDoc="0" locked="0" layoutInCell="1" allowOverlap="1">
            <wp:simplePos x="0" y="0"/>
            <wp:positionH relativeFrom="column">
              <wp:posOffset>271780</wp:posOffset>
            </wp:positionH>
            <wp:positionV relativeFrom="paragraph">
              <wp:posOffset>165100</wp:posOffset>
            </wp:positionV>
            <wp:extent cx="5399405" cy="3999865"/>
            <wp:effectExtent l="4445" t="4445" r="6350" b="15240"/>
            <wp:wrapTopAndBottom/>
            <wp:docPr id="10"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adjustRightInd w:val="0"/>
        <w:snapToGrid w:val="0"/>
        <w:spacing w:line="600" w:lineRule="exact"/>
        <w:ind w:firstLine="640" w:firstLineChars="200"/>
        <w:rPr>
          <w:rFonts w:hint="eastAsia" w:ascii="黑体" w:hAnsi="Calibri" w:eastAsia="黑体" w:cs="Times New Roman"/>
          <w:sz w:val="32"/>
          <w:szCs w:val="32"/>
        </w:rPr>
      </w:pPr>
    </w:p>
    <w:p>
      <w:pPr>
        <w:adjustRightInd w:val="0"/>
        <w:snapToGrid w:val="0"/>
        <w:spacing w:line="600" w:lineRule="exact"/>
        <w:ind w:firstLine="640" w:firstLineChars="200"/>
        <w:rPr>
          <w:rFonts w:hint="eastAsia" w:ascii="黑体" w:hAnsi="Calibri" w:eastAsia="黑体" w:cs="Times New Roman"/>
          <w:sz w:val="32"/>
          <w:szCs w:val="32"/>
        </w:rPr>
      </w:pPr>
    </w:p>
    <w:p>
      <w:pPr>
        <w:adjustRightInd w:val="0"/>
        <w:snapToGrid w:val="0"/>
        <w:spacing w:line="60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4804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p>
    <w:p>
      <w:pPr>
        <w:adjustRightInd w:val="0"/>
        <w:snapToGrid w:val="0"/>
        <w:spacing w:line="600" w:lineRule="exact"/>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2753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全部支出的57.3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w:t>
      </w:r>
    </w:p>
    <w:p>
      <w:pPr>
        <w:adjustRightInd w:val="0"/>
        <w:snapToGrid w:val="0"/>
        <w:spacing w:line="600" w:lineRule="exact"/>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出1708万元，占62%，公用经费支出1045万元，占38%；</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_GB2312" w:hAnsi="Times New Roman" w:eastAsia="仿宋_GB2312" w:cs="Wingdings"/>
          <w:sz w:val="32"/>
          <w:szCs w:val="32"/>
        </w:rPr>
      </w:pPr>
      <w:r>
        <w:drawing>
          <wp:anchor distT="0" distB="0" distL="114300" distR="114300" simplePos="0" relativeHeight="251697152" behindDoc="0" locked="0" layoutInCell="1" allowOverlap="1">
            <wp:simplePos x="0" y="0"/>
            <wp:positionH relativeFrom="column">
              <wp:posOffset>108585</wp:posOffset>
            </wp:positionH>
            <wp:positionV relativeFrom="paragraph">
              <wp:posOffset>885825</wp:posOffset>
            </wp:positionV>
            <wp:extent cx="5161915" cy="3867150"/>
            <wp:effectExtent l="4445" t="4445" r="15240" b="14605"/>
            <wp:wrapTopAndBottom/>
            <wp:docPr id="8" name="图表 6" title="单位：万元"/>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2051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42.7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其中行政事业类项目252万元，占12.3%，基本建设类项目1799万元，占87.7%（见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p>
    <w:p>
      <w:pPr>
        <w:keepNext/>
        <w:keepLines/>
        <w:snapToGrid w:val="0"/>
        <w:spacing w:line="600" w:lineRule="exact"/>
        <w:ind w:firstLine="640" w:firstLineChars="200"/>
        <w:outlineLvl w:val="1"/>
        <w:rPr>
          <w:rFonts w:hint="eastAsia" w:ascii="黑体" w:hAnsi="Calibri" w:eastAsia="黑体" w:cs="Times New Roman"/>
          <w:sz w:val="32"/>
          <w:szCs w:val="32"/>
        </w:rPr>
      </w:pPr>
    </w:p>
    <w:p>
      <w:pPr>
        <w:keepNext/>
        <w:keepLines/>
        <w:snapToGrid w:val="0"/>
        <w:spacing w:line="600" w:lineRule="exact"/>
        <w:ind w:firstLine="640" w:firstLineChars="200"/>
        <w:outlineLvl w:val="1"/>
        <w:rPr>
          <w:rFonts w:hint="eastAsia" w:ascii="黑体" w:hAnsi="Calibri" w:eastAsia="黑体" w:cs="Times New Roman"/>
          <w:sz w:val="32"/>
          <w:szCs w:val="32"/>
        </w:rPr>
      </w:pPr>
    </w:p>
    <w:p>
      <w:pPr>
        <w:keepNext/>
        <w:keepLines/>
        <w:snapToGrid w:val="0"/>
        <w:spacing w:line="600" w:lineRule="exact"/>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2020年度形成的财政拨款收支</w:t>
      </w:r>
      <w:r>
        <w:rPr>
          <w:rFonts w:hint="eastAsia" w:ascii="仿宋_GB2312" w:hAnsi="Times New Roman" w:eastAsia="仿宋_GB2312" w:cs="Wingdings"/>
          <w:sz w:val="32"/>
          <w:szCs w:val="32"/>
          <w:lang w:eastAsia="zh-CN"/>
        </w:rPr>
        <w:t>共计</w:t>
      </w:r>
      <w:r>
        <w:rPr>
          <w:rFonts w:hint="eastAsia" w:ascii="仿宋_GB2312" w:hAnsi="Times New Roman" w:eastAsia="仿宋_GB2312" w:cs="Wingdings"/>
          <w:sz w:val="32"/>
          <w:szCs w:val="32"/>
          <w:lang w:val="en-US" w:eastAsia="zh-CN"/>
        </w:rPr>
        <w:t>4693万元</w:t>
      </w:r>
      <w:r>
        <w:rPr>
          <w:rFonts w:hint="eastAsia" w:ascii="仿宋_GB2312" w:hAnsi="Times New Roman" w:eastAsia="仿宋_GB2312" w:cs="Wingdings"/>
          <w:sz w:val="32"/>
          <w:szCs w:val="32"/>
        </w:rPr>
        <w:t>，其中本年收入</w:t>
      </w:r>
      <w:r>
        <w:rPr>
          <w:rFonts w:hint="eastAsia" w:ascii="仿宋_GB2312" w:hAnsi="Times New Roman" w:eastAsia="仿宋_GB2312" w:cs="Wingdings"/>
          <w:sz w:val="32"/>
          <w:szCs w:val="32"/>
          <w:lang w:val="en-US" w:eastAsia="zh-CN"/>
        </w:rPr>
        <w:t>4693</w:t>
      </w:r>
      <w:r>
        <w:rPr>
          <w:rFonts w:hint="eastAsia" w:ascii="仿宋_GB2312" w:hAnsi="Times New Roman" w:eastAsia="仿宋_GB2312" w:cs="Wingdings"/>
          <w:sz w:val="32"/>
          <w:szCs w:val="32"/>
        </w:rPr>
        <w:t>万元,比2019年度</w:t>
      </w:r>
      <w:r>
        <w:rPr>
          <w:rFonts w:hint="eastAsia" w:ascii="仿宋_GB2312" w:hAnsi="Times New Roman" w:eastAsia="仿宋_GB2312" w:cs="Wingdings"/>
          <w:sz w:val="32"/>
          <w:szCs w:val="32"/>
          <w:lang w:val="en-US" w:eastAsia="zh-CN"/>
        </w:rPr>
        <w:t>5381万元减少688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下降12.8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4693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减少688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下降12.8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见图4</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收支减少</w:t>
      </w:r>
      <w:r>
        <w:rPr>
          <w:rFonts w:hint="eastAsia" w:ascii="仿宋_GB2312" w:hAnsi="Times New Roman" w:eastAsia="仿宋_GB2312" w:cs="Wingdings"/>
          <w:sz w:val="32"/>
          <w:szCs w:val="32"/>
        </w:rPr>
        <w:t>主要是</w:t>
      </w:r>
      <w:bookmarkStart w:id="0" w:name="_GoBack"/>
      <w:bookmarkEnd w:id="0"/>
      <w:r>
        <w:rPr>
          <w:rFonts w:hint="eastAsia" w:ascii="仿宋_GB2312" w:hAnsi="Times New Roman" w:eastAsia="仿宋_GB2312" w:cs="Wingdings"/>
          <w:sz w:val="32"/>
          <w:szCs w:val="32"/>
          <w:lang w:val="en-US" w:eastAsia="zh-CN"/>
        </w:rPr>
        <w:t>本年项目资金投入较上年减少，其中旅发大会抱犊寨片区提升补助减少500万元，山前大道拓宽花海项目减少补助资金500万元</w:t>
      </w:r>
      <w:r>
        <w:rPr>
          <w:rFonts w:hint="eastAsia" w:ascii="仿宋_GB2312" w:hAnsi="Times New Roman" w:eastAsia="仿宋_GB2312" w:cs="Wingdings"/>
          <w:sz w:val="32"/>
          <w:szCs w:val="32"/>
        </w:rPr>
        <w:t>。</w:t>
      </w:r>
    </w:p>
    <w:p>
      <w:pPr>
        <w:adjustRightInd w:val="0"/>
        <w:snapToGrid w:val="0"/>
        <w:spacing w:line="600" w:lineRule="exact"/>
        <w:ind w:firstLine="420" w:firstLineChars="200"/>
        <w:rPr>
          <w:rFonts w:ascii="仿宋_GB2312" w:hAnsi="Times New Roman" w:eastAsia="仿宋_GB2312" w:cs="Wingdings"/>
          <w:sz w:val="32"/>
          <w:szCs w:val="32"/>
        </w:rPr>
      </w:pPr>
      <w:r>
        <w:drawing>
          <wp:anchor distT="0" distB="0" distL="114300" distR="114300" simplePos="0" relativeHeight="251698176" behindDoc="0" locked="0" layoutInCell="1" allowOverlap="1">
            <wp:simplePos x="0" y="0"/>
            <wp:positionH relativeFrom="column">
              <wp:posOffset>461645</wp:posOffset>
            </wp:positionH>
            <wp:positionV relativeFrom="paragraph">
              <wp:posOffset>323850</wp:posOffset>
            </wp:positionV>
            <wp:extent cx="4572000" cy="2743200"/>
            <wp:effectExtent l="4445" t="4445" r="14605" b="14605"/>
            <wp:wrapTopAndBottom/>
            <wp:docPr id="9"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snapToGrid w:val="0"/>
        <w:spacing w:line="600" w:lineRule="exact"/>
        <w:ind w:firstLine="640" w:firstLineChars="200"/>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76672" behindDoc="1" locked="0" layoutInCell="1" allowOverlap="1">
                <wp:simplePos x="0" y="0"/>
                <wp:positionH relativeFrom="column">
                  <wp:posOffset>792480</wp:posOffset>
                </wp:positionH>
                <wp:positionV relativeFrom="paragraph">
                  <wp:posOffset>128905</wp:posOffset>
                </wp:positionV>
                <wp:extent cx="4209415" cy="390525"/>
                <wp:effectExtent l="0" t="0" r="635" b="9525"/>
                <wp:wrapNone/>
                <wp:docPr id="36" name="文本框 36"/>
                <wp:cNvGraphicFramePr/>
                <a:graphic xmlns:a="http://schemas.openxmlformats.org/drawingml/2006/main">
                  <a:graphicData uri="http://schemas.microsoft.com/office/word/2010/wordprocessingShape">
                    <wps:wsp>
                      <wps:cNvSpPr txBox="1"/>
                      <wps:spPr>
                        <a:xfrm>
                          <a:off x="0" y="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2.4pt;margin-top:10.15pt;height:30.75pt;width:331.45pt;z-index:-251639808;mso-width-relative:page;mso-height-relative:page;" fillcolor="#FFFFFF" filled="t" stroked="f" coordsize="21600,21600" o:gfxdata="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PLlzC1AAAAAkBAAAPAAAAAAAAAAEAIAAAACIAAABkcnMvZG93bnJl&#10;di54bWxQSwECFAAUAAAACACHTuJAdr6wUToCAABRBAAADgAAAAAAAAABACAAAAAjAQAAZHJzL2Uy&#10;b0RvYy54bWxQSwUGAAAAAAYABgBZAQAAzwU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2020年度一般公共预算财政拨款收入</w:t>
      </w:r>
      <w:r>
        <w:rPr>
          <w:rFonts w:hint="eastAsia" w:ascii="仿宋_GB2312" w:hAnsi="Times New Roman" w:eastAsia="仿宋_GB2312" w:cs="Wingdings"/>
          <w:sz w:val="32"/>
          <w:szCs w:val="32"/>
          <w:lang w:val="en-US" w:eastAsia="zh-CN"/>
        </w:rPr>
        <w:t>4693</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78.17</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1310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4693</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78.17</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1310</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收入</w:t>
      </w:r>
      <w:r>
        <w:rPr>
          <w:rFonts w:hint="eastAsia" w:ascii="仿宋_GB2312" w:hAnsi="Times New Roman" w:eastAsia="仿宋_GB2312" w:cs="Wingdings"/>
          <w:sz w:val="32"/>
          <w:szCs w:val="32"/>
        </w:rPr>
        <w:t>决算数小于预算数主要原因</w:t>
      </w:r>
      <w:r>
        <w:rPr>
          <w:rFonts w:hint="eastAsia" w:ascii="仿宋_GB2312" w:hAnsi="Times New Roman" w:eastAsia="仿宋_GB2312" w:cs="Wingdings"/>
          <w:sz w:val="32"/>
          <w:szCs w:val="32"/>
          <w:lang w:val="en-US" w:eastAsia="zh-CN"/>
        </w:rPr>
        <w:t>是项目收支减少。旅发大会抱犊寨片区提升补助减少500万元，山前大道拓宽花海项目减少补助资金500万元</w:t>
      </w:r>
      <w:r>
        <w:rPr>
          <w:rFonts w:hint="eastAsia" w:ascii="仿宋_GB2312" w:hAnsi="Times New Roman" w:eastAsia="仿宋_GB2312" w:cs="Wingdings"/>
          <w:sz w:val="32"/>
          <w:szCs w:val="32"/>
        </w:rPr>
        <w:t>。</w:t>
      </w: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hint="default" w:ascii="仿宋_GB2312" w:hAnsi="Times New Roman" w:eastAsia="仿宋_GB2312" w:cs="Wingdings"/>
          <w:color w:val="auto"/>
          <w:sz w:val="32"/>
          <w:szCs w:val="32"/>
          <w:lang w:val="en-US" w:eastAsia="zh-CN"/>
        </w:rPr>
      </w:pPr>
      <w:r>
        <w:rPr>
          <w:rFonts w:hint="eastAsia" w:ascii="仿宋_GB2312" w:hAnsi="Times New Roman" w:eastAsia="仿宋_GB2312" w:cs="Wingdings"/>
          <w:color w:val="auto"/>
          <w:sz w:val="32"/>
          <w:szCs w:val="32"/>
        </w:rPr>
        <w:t>2020 年度财政拨款支出</w:t>
      </w:r>
      <w:r>
        <w:rPr>
          <w:rFonts w:hint="eastAsia" w:ascii="仿宋_GB2312" w:hAnsi="Times New Roman" w:eastAsia="仿宋_GB2312" w:cs="Wingdings"/>
          <w:color w:val="auto"/>
          <w:sz w:val="32"/>
          <w:szCs w:val="32"/>
          <w:lang w:val="en-US" w:eastAsia="zh-CN"/>
        </w:rPr>
        <w:t>4693</w:t>
      </w:r>
      <w:r>
        <w:rPr>
          <w:rFonts w:hint="eastAsia" w:ascii="仿宋_GB2312" w:hAnsi="Times New Roman" w:eastAsia="仿宋_GB2312" w:cs="Wingdings"/>
          <w:color w:val="auto"/>
          <w:sz w:val="32"/>
          <w:szCs w:val="32"/>
        </w:rPr>
        <w:t>万元，主要用于以下方面</w:t>
      </w:r>
      <w:r>
        <w:rPr>
          <w:rFonts w:hint="eastAsia" w:ascii="仿宋_GB2312" w:hAnsi="Times New Roman" w:eastAsia="仿宋_GB2312" w:cs="Wingdings"/>
          <w:color w:val="auto"/>
          <w:sz w:val="32"/>
          <w:szCs w:val="32"/>
          <w:lang w:val="en-US" w:eastAsia="zh-CN"/>
        </w:rPr>
        <w:t>支出，其中行政运行支出2019万元，占总支出的43%；一般行政管理事务338万元，占7.2%；公共安全支出166万元，占3.5%；教育支出592万元，占12.6%；宣传文化发展专项支出88万元，占1.9%；社会保障和就业支出219万元，占4.7%；卫生和健康支出263万元，占5.6%；节能和环保支出93万元，占2%；城乡社区事务支出348万元，占7.4%；农林水支出567万元，占12.1%。</w:t>
      </w:r>
    </w:p>
    <w:p>
      <w:pPr>
        <w:adjustRightInd w:val="0"/>
        <w:snapToGrid w:val="0"/>
        <w:spacing w:line="600" w:lineRule="exact"/>
        <w:rPr>
          <w:rFonts w:hint="default" w:ascii="仿宋_GB2312" w:hAnsi="Times New Roman" w:eastAsia="仿宋_GB2312" w:cs="Wingdings"/>
          <w:color w:val="auto"/>
          <w:sz w:val="32"/>
          <w:szCs w:val="32"/>
          <w:lang w:val="en-US" w:eastAsia="zh-CN"/>
        </w:rPr>
      </w:pPr>
      <w:r>
        <w:rPr>
          <w:rFonts w:hint="eastAsia" w:ascii="仿宋_GB2312" w:hAnsi="Times New Roman" w:eastAsia="仿宋_GB2312" w:cs="Wingdings"/>
          <w:color w:val="auto"/>
          <w:sz w:val="32"/>
          <w:szCs w:val="32"/>
          <w:lang w:val="en-US" w:eastAsia="zh-CN"/>
        </w:rPr>
        <w:t>按经济分类看：工资福利支出1480万元、商品和服务支出1827万元、对个人和家庭的补助</w:t>
      </w:r>
      <w:r>
        <w:rPr>
          <w:rFonts w:hint="eastAsia" w:ascii="仿宋_GB2312" w:hAnsi="Times New Roman" w:eastAsia="仿宋_GB2312" w:cs="Wingdings"/>
          <w:color w:val="auto"/>
          <w:sz w:val="32"/>
          <w:szCs w:val="32"/>
          <w:lang w:val="en-US" w:eastAsia="zh-CN"/>
        </w:rPr>
        <w:tab/>
      </w:r>
      <w:r>
        <w:rPr>
          <w:rFonts w:hint="eastAsia" w:ascii="仿宋_GB2312" w:hAnsi="Times New Roman" w:eastAsia="仿宋_GB2312" w:cs="Wingdings"/>
          <w:color w:val="auto"/>
          <w:sz w:val="32"/>
          <w:szCs w:val="32"/>
          <w:lang w:val="en-US" w:eastAsia="zh-CN"/>
        </w:rPr>
        <w:t>373万元、资本性支出（基本建设）594万元、资本性支出</w:t>
      </w:r>
      <w:r>
        <w:rPr>
          <w:rFonts w:hint="eastAsia" w:ascii="仿宋_GB2312" w:hAnsi="Times New Roman" w:eastAsia="仿宋_GB2312" w:cs="Wingdings"/>
          <w:color w:val="auto"/>
          <w:sz w:val="32"/>
          <w:szCs w:val="32"/>
          <w:lang w:val="en-US" w:eastAsia="zh-CN"/>
        </w:rPr>
        <w:tab/>
      </w:r>
      <w:r>
        <w:rPr>
          <w:rFonts w:hint="eastAsia" w:ascii="仿宋_GB2312" w:hAnsi="Times New Roman" w:eastAsia="仿宋_GB2312" w:cs="Wingdings"/>
          <w:color w:val="auto"/>
          <w:sz w:val="32"/>
          <w:szCs w:val="32"/>
          <w:lang w:val="en-US" w:eastAsia="zh-CN"/>
        </w:rPr>
        <w:t>419万元（见图5）。</w:t>
      </w: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420" w:firstLineChars="200"/>
        <w:textAlignment w:val="auto"/>
        <w:rPr>
          <w:rFonts w:hint="eastAsia" w:ascii="楷体_GB2312" w:hAnsi="Times New Roman" w:eastAsia="楷体_GB2312" w:cs="Mongolian Baiti"/>
          <w:b/>
          <w:bCs/>
          <w:sz w:val="32"/>
          <w:szCs w:val="32"/>
        </w:rPr>
      </w:pPr>
      <w:r>
        <w:drawing>
          <wp:anchor distT="0" distB="0" distL="114300" distR="114300" simplePos="0" relativeHeight="251715584" behindDoc="0" locked="0" layoutInCell="1" allowOverlap="1">
            <wp:simplePos x="0" y="0"/>
            <wp:positionH relativeFrom="column">
              <wp:posOffset>851535</wp:posOffset>
            </wp:positionH>
            <wp:positionV relativeFrom="paragraph">
              <wp:posOffset>278765</wp:posOffset>
            </wp:positionV>
            <wp:extent cx="4248150" cy="2961005"/>
            <wp:effectExtent l="4445" t="4445" r="14605" b="6350"/>
            <wp:wrapSquare wrapText="bothSides"/>
            <wp:docPr id="11"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hint="eastAsia" w:ascii="楷体_GB2312" w:hAnsi="Times New Roman" w:eastAsia="楷体_GB2312" w:cs="Mongolian Baiti"/>
          <w:b/>
          <w:bCs/>
          <w:sz w:val="32"/>
          <w:szCs w:val="32"/>
        </w:rPr>
      </w:pP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hint="eastAsia" w:ascii="楷体_GB2312" w:hAnsi="Times New Roman" w:eastAsia="楷体_GB2312" w:cs="Mongolian Baiti"/>
          <w:b/>
          <w:bCs/>
          <w:sz w:val="32"/>
          <w:szCs w:val="32"/>
        </w:rPr>
      </w:pP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hint="eastAsia" w:ascii="楷体_GB2312" w:hAnsi="Times New Roman" w:eastAsia="楷体_GB2312" w:cs="Mongolian Baiti"/>
          <w:b/>
          <w:bCs/>
          <w:sz w:val="32"/>
          <w:szCs w:val="32"/>
        </w:rPr>
      </w:pP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hint="eastAsia" w:ascii="楷体_GB2312" w:hAnsi="Times New Roman" w:eastAsia="楷体_GB2312" w:cs="Mongolian Baiti"/>
          <w:b/>
          <w:bCs/>
          <w:sz w:val="32"/>
          <w:szCs w:val="32"/>
        </w:rPr>
      </w:pP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hint="eastAsia" w:ascii="楷体_GB2312" w:hAnsi="Times New Roman" w:eastAsia="楷体_GB2312" w:cs="Mongolian Baiti"/>
          <w:b/>
          <w:bCs/>
          <w:sz w:val="32"/>
          <w:szCs w:val="32"/>
        </w:rPr>
      </w:pP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hint="eastAsia" w:ascii="楷体_GB2312" w:hAnsi="Times New Roman" w:eastAsia="楷体_GB2312" w:cs="Mongolian Baiti"/>
          <w:b/>
          <w:bCs/>
          <w:sz w:val="32"/>
          <w:szCs w:val="32"/>
        </w:rPr>
      </w:pP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hint="eastAsia" w:ascii="楷体_GB2312" w:hAnsi="Times New Roman" w:eastAsia="楷体_GB2312" w:cs="Mongolian Baiti"/>
          <w:b/>
          <w:bCs/>
          <w:sz w:val="32"/>
          <w:szCs w:val="32"/>
        </w:rPr>
      </w:pP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2753</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1708</w:t>
      </w:r>
      <w:r>
        <w:rPr>
          <w:rFonts w:hint="eastAsia" w:ascii="仿宋_GB2312" w:hAnsi="Times New Roman" w:eastAsia="仿宋_GB2312" w:cs="Wingdings"/>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Wingdings"/>
          <w:sz w:val="32"/>
          <w:szCs w:val="32"/>
          <w:lang w:val="en-US" w:eastAsia="zh-CN"/>
        </w:rPr>
        <w:t>1045</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近年来，本单位</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13.1</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8.07</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61.6</w:t>
      </w:r>
      <w:r>
        <w:rPr>
          <w:rFonts w:hint="eastAsia" w:ascii="仿宋_GB2312" w:hAnsi="Times New Roman" w:eastAsia="仿宋_GB2312" w:cs="Wingdings"/>
          <w:sz w:val="32"/>
          <w:szCs w:val="32"/>
        </w:rPr>
        <w:t>%,较预算</w:t>
      </w:r>
      <w:r>
        <w:rPr>
          <w:rFonts w:hint="eastAsia" w:ascii="仿宋_GB2312" w:hAnsi="Times New Roman" w:eastAsia="仿宋_GB2312" w:cs="Wingdings"/>
          <w:sz w:val="32"/>
          <w:szCs w:val="32"/>
          <w:lang w:eastAsia="zh-CN"/>
        </w:rPr>
        <w:t>无增减</w:t>
      </w:r>
      <w:r>
        <w:rPr>
          <w:rFonts w:hint="eastAsia" w:ascii="仿宋_GB2312" w:hAnsi="Times New Roman" w:eastAsia="仿宋_GB2312" w:cs="Wingdings"/>
          <w:sz w:val="32"/>
          <w:szCs w:val="32"/>
          <w:lang w:val="en-US" w:eastAsia="zh-CN"/>
        </w:rPr>
        <w:t>.一是受疫情影响，所有因公出国事项取消，无因公出国（境）未支出预算；二是厉行节约，严控公务接待规模，本年我单位无公务接待费支出。</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与上年决算相比，本年“三公”经费支出减少0.01</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val="en-US" w:eastAsia="zh-CN"/>
        </w:rPr>
        <w:t>公务用车费用，基本与上年持平</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default" w:ascii="仿宋_GB2312" w:hAnsi="Times New Roman" w:eastAsia="仿宋_GB2312" w:cs="Wingdings"/>
          <w:sz w:val="32"/>
          <w:szCs w:val="32"/>
          <w:lang w:val="en-US" w:eastAsia="zh-CN"/>
        </w:rPr>
      </w:pP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val="en-US" w:eastAsia="zh-CN"/>
        </w:rPr>
        <w:t>受疫情等原因影响，</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w:t>
      </w:r>
      <w:r>
        <w:rPr>
          <w:rFonts w:hint="eastAsia" w:ascii="仿宋_GB2312" w:hAnsi="Times New Roman" w:eastAsia="仿宋_GB2312" w:cs="Wingdings"/>
          <w:sz w:val="32"/>
          <w:szCs w:val="32"/>
          <w:lang w:val="en-US" w:eastAsia="zh-CN"/>
        </w:rPr>
        <w:t>2020年</w:t>
      </w:r>
      <w:r>
        <w:rPr>
          <w:rFonts w:hint="eastAsia" w:ascii="仿宋_GB2312" w:hAnsi="Times New Roman" w:eastAsia="仿宋_GB2312" w:cs="Wingdings"/>
          <w:sz w:val="32"/>
          <w:szCs w:val="32"/>
        </w:rPr>
        <w:t>因公出国（境）</w:t>
      </w:r>
      <w:r>
        <w:rPr>
          <w:rFonts w:hint="eastAsia" w:ascii="仿宋_GB2312" w:hAnsi="Times New Roman" w:eastAsia="仿宋_GB2312" w:cs="Wingdings"/>
          <w:sz w:val="32"/>
          <w:szCs w:val="32"/>
          <w:lang w:val="en-US" w:eastAsia="zh-CN"/>
        </w:rPr>
        <w:t>活动推迟或取消，未做因公出国（境）费支出预算。</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2020年度公务用车购置及运行维护费</w:t>
      </w:r>
      <w:r>
        <w:rPr>
          <w:rFonts w:hint="eastAsia" w:ascii="仿宋_GB2312" w:hAnsi="Times New Roman" w:eastAsia="仿宋_GB2312" w:cs="Wingdings"/>
          <w:sz w:val="32"/>
          <w:szCs w:val="32"/>
          <w:lang w:val="en-US" w:eastAsia="zh-CN"/>
        </w:rPr>
        <w:t>支出8.07万元，</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0.03</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0.37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其中公车购置费0万元，与预算持平。</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eastAsia" w:ascii="仿宋_GB2312" w:hAnsi="Times New Roman" w:eastAsia="仿宋_GB2312" w:cs="Wingdings"/>
          <w:b/>
          <w:sz w:val="32"/>
          <w:szCs w:val="32"/>
          <w:lang w:eastAsia="zh-CN"/>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b/>
          <w:sz w:val="32"/>
          <w:szCs w:val="32"/>
          <w:lang w:eastAsia="zh-CN"/>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与预算和上年决算持平</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
          <w:sz w:val="32"/>
          <w:szCs w:val="32"/>
          <w:lang w:eastAsia="zh-CN"/>
        </w:rPr>
        <w:t>：</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2020年度公务用车保有量</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公务用车运维费支出8.07万元。</w:t>
      </w:r>
      <w:r>
        <w:rPr>
          <w:rFonts w:hint="eastAsia" w:ascii="仿宋_GB2312" w:hAnsi="Times New Roman" w:eastAsia="仿宋_GB2312" w:cs="Wingdings"/>
          <w:sz w:val="32"/>
          <w:szCs w:val="32"/>
        </w:rPr>
        <w:t>公车运行维护费支出较预算减少</w:t>
      </w:r>
      <w:r>
        <w:rPr>
          <w:rFonts w:hint="eastAsia" w:ascii="仿宋_GB2312" w:hAnsi="Times New Roman" w:eastAsia="仿宋_GB2312" w:cs="Wingdings"/>
          <w:sz w:val="32"/>
          <w:szCs w:val="32"/>
          <w:lang w:val="en-US" w:eastAsia="zh-CN"/>
        </w:rPr>
        <w:t>0.03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下降0.37</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支出较上年略有减少，基本保持平稳</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eastAsia="zh-CN"/>
        </w:rPr>
        <w:t>。</w:t>
      </w:r>
      <w:r>
        <w:rPr>
          <w:rFonts w:hint="eastAsia" w:ascii="楷体_GB2312" w:hAnsi="Times New Roman" w:eastAsia="楷体_GB2312" w:cs="Mongolian Baiti"/>
          <w:b w:val="0"/>
          <w:bCs w:val="0"/>
          <w:sz w:val="32"/>
          <w:szCs w:val="32"/>
          <w:lang w:val="en-US" w:eastAsia="zh-CN"/>
        </w:rPr>
        <w:t>本单位2020年公务接待费支出0万元。</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厉行节约，严格规范公务接待行为和经费支出所致</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近两年来没有公务接待，故2020年度我单位无公务接待支出。</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组织对2020年度</w:t>
      </w:r>
      <w:r>
        <w:rPr>
          <w:rFonts w:hint="eastAsia" w:ascii="仿宋_GB2312" w:hAnsi="Times New Roman" w:eastAsia="仿宋_GB2312" w:cs="Wingdings"/>
          <w:sz w:val="32"/>
          <w:szCs w:val="32"/>
          <w:lang w:val="en-US" w:eastAsia="zh-CN"/>
        </w:rPr>
        <w:t>17</w:t>
      </w:r>
      <w:r>
        <w:rPr>
          <w:rFonts w:hint="eastAsia" w:ascii="仿宋_GB2312" w:hAnsi="Times New Roman" w:eastAsia="仿宋_GB2312" w:cs="Wingdings"/>
          <w:sz w:val="32"/>
          <w:szCs w:val="32"/>
        </w:rPr>
        <w:t>个一级项目全面开展绩效自评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Times New Roman" w:eastAsia="仿宋_GB2312" w:cs="Wingdings"/>
          <w:sz w:val="32"/>
          <w:szCs w:val="32"/>
          <w:lang w:val="en-US" w:eastAsia="zh-CN"/>
        </w:rPr>
        <w:t>2574</w:t>
      </w:r>
      <w:r>
        <w:rPr>
          <w:rFonts w:hint="eastAsia" w:ascii="仿宋_GB2312" w:hAnsi="Times New Roman" w:eastAsia="仿宋_GB2312" w:cs="Wingdings"/>
          <w:sz w:val="32"/>
          <w:szCs w:val="32"/>
        </w:rPr>
        <w:t>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2020年</w:t>
      </w:r>
      <w:r>
        <w:rPr>
          <w:rFonts w:hint="eastAsia" w:ascii="仿宋_GB2312" w:hAnsi="宋体" w:eastAsia="仿宋_GB2312"/>
          <w:sz w:val="32"/>
          <w:szCs w:val="32"/>
          <w:lang w:eastAsia="zh-CN"/>
        </w:rPr>
        <w:t>本单位</w:t>
      </w:r>
      <w:r>
        <w:rPr>
          <w:rFonts w:hint="eastAsia" w:ascii="仿宋_GB2312" w:hAnsi="宋体" w:eastAsia="仿宋_GB2312"/>
          <w:sz w:val="32"/>
          <w:szCs w:val="32"/>
        </w:rPr>
        <w:t>绩效自评项目共1</w:t>
      </w:r>
      <w:r>
        <w:rPr>
          <w:rFonts w:hint="eastAsia" w:ascii="仿宋_GB2312" w:hAnsi="宋体" w:eastAsia="仿宋_GB2312"/>
          <w:sz w:val="32"/>
          <w:szCs w:val="32"/>
          <w:lang w:val="en-US" w:eastAsia="zh-CN"/>
        </w:rPr>
        <w:t>7</w:t>
      </w:r>
      <w:r>
        <w:rPr>
          <w:rFonts w:hint="eastAsia" w:ascii="仿宋_GB2312" w:hAnsi="宋体" w:eastAsia="仿宋_GB2312"/>
          <w:sz w:val="32"/>
          <w:szCs w:val="32"/>
        </w:rPr>
        <w:t>个，其中</w:t>
      </w:r>
      <w:r>
        <w:rPr>
          <w:rFonts w:hint="eastAsia" w:ascii="仿宋_GB2312" w:hAnsi="仿宋" w:eastAsia="仿宋_GB2312"/>
          <w:sz w:val="32"/>
          <w:szCs w:val="32"/>
        </w:rPr>
        <w:t>评价等级为“优”项目1</w:t>
      </w:r>
      <w:r>
        <w:rPr>
          <w:rFonts w:hint="eastAsia" w:ascii="仿宋_GB2312" w:hAnsi="仿宋" w:eastAsia="仿宋_GB2312"/>
          <w:sz w:val="32"/>
          <w:szCs w:val="32"/>
          <w:lang w:val="en-US" w:eastAsia="zh-CN"/>
        </w:rPr>
        <w:t>6</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94.12</w:t>
      </w:r>
      <w:r>
        <w:rPr>
          <w:rFonts w:hint="eastAsia" w:ascii="仿宋_GB2312" w:hAnsi="仿宋" w:eastAsia="仿宋_GB2312"/>
          <w:sz w:val="32"/>
          <w:szCs w:val="32"/>
        </w:rPr>
        <w:t>%；评价等级为“良”的项目1个，评良率为</w:t>
      </w:r>
      <w:r>
        <w:rPr>
          <w:rFonts w:hint="eastAsia" w:ascii="仿宋_GB2312" w:hAnsi="仿宋" w:eastAsia="仿宋_GB2312"/>
          <w:sz w:val="32"/>
          <w:szCs w:val="32"/>
          <w:lang w:val="en-US" w:eastAsia="zh-CN"/>
        </w:rPr>
        <w:t>5.8</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left="-105" w:leftChars="-50" w:right="-105" w:rightChars="-50" w:firstLine="640" w:firstLineChars="200"/>
        <w:textAlignment w:val="auto"/>
        <w:outlineLvl w:val="9"/>
        <w:rPr>
          <w:rFonts w:hint="eastAsia" w:ascii="仿宋_GB2312" w:hAnsi="宋体" w:eastAsia="仿宋_GB2312"/>
          <w:sz w:val="32"/>
          <w:szCs w:val="32"/>
        </w:rPr>
      </w:pPr>
    </w:p>
    <w:p>
      <w:pPr>
        <w:wordWrap/>
        <w:adjustRightInd/>
        <w:snapToGrid w:val="0"/>
        <w:spacing w:before="0" w:after="0" w:line="360" w:lineRule="auto"/>
        <w:ind w:left="-105" w:leftChars="-50" w:right="-105" w:rightChars="-50" w:firstLine="640" w:firstLineChars="200"/>
        <w:textAlignment w:val="auto"/>
        <w:outlineLvl w:val="9"/>
        <w:rPr>
          <w:rFonts w:hint="eastAsia" w:ascii="仿宋_GB2312" w:hAnsi="宋体" w:eastAsia="仿宋_GB2312"/>
          <w:sz w:val="32"/>
          <w:szCs w:val="32"/>
        </w:rPr>
      </w:pPr>
    </w:p>
    <w:p>
      <w:pPr>
        <w:wordWrap/>
        <w:adjustRightInd/>
        <w:snapToGrid w:val="0"/>
        <w:spacing w:before="0" w:after="0" w:line="360" w:lineRule="auto"/>
        <w:ind w:left="-105" w:leftChars="-50" w:right="-105" w:rightChars="-50" w:firstLine="640" w:firstLineChars="200"/>
        <w:textAlignment w:val="auto"/>
        <w:outlineLvl w:val="9"/>
        <w:rPr>
          <w:rFonts w:hint="eastAsia" w:ascii="仿宋_GB2312" w:hAnsi="宋体" w:eastAsia="仿宋_GB2312"/>
          <w:sz w:val="32"/>
          <w:szCs w:val="32"/>
        </w:rPr>
      </w:pP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获鹿镇</w:t>
      </w:r>
      <w:r>
        <w:rPr>
          <w:rFonts w:hint="eastAsia" w:ascii="仿宋_GB2312" w:hAnsi="宋体" w:eastAsia="仿宋_GB2312"/>
          <w:b/>
          <w:sz w:val="32"/>
          <w:szCs w:val="32"/>
        </w:rPr>
        <w:t>绩效自评结果统计表</w:t>
      </w:r>
    </w:p>
    <w:tbl>
      <w:tblPr>
        <w:tblStyle w:val="6"/>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社区工作补助</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啤酒厂占地补偿</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9</w:t>
            </w:r>
            <w:r>
              <w:rPr>
                <w:rFonts w:hint="eastAsia" w:ascii="Times New Roman" w:hAnsi="Times New Roman" w:eastAsia="仿宋_GB2312" w:cs="Times New Roman"/>
                <w:kern w:val="0"/>
                <w:sz w:val="22"/>
                <w:szCs w:val="22"/>
                <w:lang w:val="en-US" w:eastAsia="zh-CN"/>
              </w:rPr>
              <w:t>8.95</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武装部占地补偿</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排水泵站管护运行费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获中北侧监测点周边绿化租地款</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99.58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军人退役人员公益岗位安置</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98.43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公共安全保卫维稳事务</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节能环保管理事务</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99.87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新农村两室建设项目</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w:t>
            </w:r>
          </w:p>
        </w:tc>
        <w:tc>
          <w:tcPr>
            <w:tcW w:w="5515" w:type="dxa"/>
            <w:tcBorders>
              <w:top w:val="nil"/>
              <w:left w:val="nil"/>
              <w:bottom w:val="single" w:color="auto" w:sz="4" w:space="0"/>
              <w:right w:val="single" w:color="auto" w:sz="4" w:space="0"/>
            </w:tcBorders>
            <w:vAlign w:val="center"/>
          </w:tcPr>
          <w:p>
            <w:pPr>
              <w:widowControl/>
              <w:tabs>
                <w:tab w:val="left" w:pos="826"/>
              </w:tabs>
              <w:wordWrap/>
              <w:adjustRightInd/>
              <w:spacing w:before="0" w:after="0" w:line="360" w:lineRule="auto"/>
              <w:ind w:right="-105" w:rightChars="-50"/>
              <w:jc w:val="both"/>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城乡社区基础设施建设项目</w:t>
            </w:r>
            <w:r>
              <w:rPr>
                <w:rFonts w:hint="eastAsia" w:ascii="仿宋_GB2312" w:hAnsi="宋体" w:eastAsia="仿宋_GB2312" w:cs="宋体"/>
                <w:kern w:val="0"/>
                <w:sz w:val="22"/>
                <w:szCs w:val="22"/>
                <w:lang w:eastAsia="zh-CN"/>
              </w:rPr>
              <w:tab/>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92.43</w:t>
            </w:r>
          </w:p>
        </w:tc>
        <w:tc>
          <w:tcPr>
            <w:tcW w:w="960" w:type="dxa"/>
            <w:tcBorders>
              <w:top w:val="nil"/>
              <w:left w:val="nil"/>
              <w:bottom w:val="single" w:color="auto" w:sz="4" w:space="0"/>
              <w:right w:val="single" w:color="auto" w:sz="4" w:space="0"/>
            </w:tcBorders>
            <w:vAlign w:val="center"/>
          </w:tcPr>
          <w:p>
            <w:pPr>
              <w:widowControl/>
              <w:tabs>
                <w:tab w:val="left" w:pos="296"/>
              </w:tabs>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城乡宜居环境打造项目</w:t>
            </w:r>
          </w:p>
        </w:tc>
        <w:tc>
          <w:tcPr>
            <w:tcW w:w="1000" w:type="dxa"/>
            <w:tcBorders>
              <w:top w:val="nil"/>
              <w:left w:val="nil"/>
              <w:bottom w:val="single" w:color="auto" w:sz="4" w:space="0"/>
              <w:right w:val="single" w:color="auto" w:sz="4" w:space="0"/>
            </w:tcBorders>
            <w:vAlign w:val="center"/>
          </w:tcPr>
          <w:p>
            <w:pPr>
              <w:widowControl/>
              <w:tabs>
                <w:tab w:val="left" w:pos="261"/>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98.60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城乡建设占地补偿项目</w:t>
            </w:r>
          </w:p>
        </w:tc>
        <w:tc>
          <w:tcPr>
            <w:tcW w:w="1000" w:type="dxa"/>
            <w:tcBorders>
              <w:top w:val="nil"/>
              <w:left w:val="nil"/>
              <w:bottom w:val="single" w:color="auto" w:sz="4" w:space="0"/>
              <w:right w:val="single" w:color="auto" w:sz="4" w:space="0"/>
            </w:tcBorders>
            <w:vAlign w:val="center"/>
          </w:tcPr>
          <w:p>
            <w:pPr>
              <w:widowControl/>
              <w:tabs>
                <w:tab w:val="left" w:pos="36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97.56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医疗卫生与计划剩余项目</w:t>
            </w:r>
          </w:p>
        </w:tc>
        <w:tc>
          <w:tcPr>
            <w:tcW w:w="1000" w:type="dxa"/>
            <w:tcBorders>
              <w:top w:val="nil"/>
              <w:left w:val="nil"/>
              <w:bottom w:val="single" w:color="auto" w:sz="4" w:space="0"/>
              <w:right w:val="single" w:color="auto" w:sz="4" w:space="0"/>
            </w:tcBorders>
            <w:vAlign w:val="center"/>
          </w:tcPr>
          <w:p>
            <w:pPr>
              <w:widowControl/>
              <w:tabs>
                <w:tab w:val="left" w:pos="201"/>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97.36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中小学改造扩建项目</w:t>
            </w:r>
          </w:p>
        </w:tc>
        <w:tc>
          <w:tcPr>
            <w:tcW w:w="1000" w:type="dxa"/>
            <w:tcBorders>
              <w:top w:val="nil"/>
              <w:left w:val="nil"/>
              <w:bottom w:val="single" w:color="auto" w:sz="4" w:space="0"/>
              <w:right w:val="single" w:color="auto" w:sz="4" w:space="0"/>
            </w:tcBorders>
            <w:vAlign w:val="center"/>
          </w:tcPr>
          <w:p>
            <w:pPr>
              <w:widowControl/>
              <w:tabs>
                <w:tab w:val="left" w:pos="24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98.54</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中小学教育投入项目</w:t>
            </w:r>
          </w:p>
        </w:tc>
        <w:tc>
          <w:tcPr>
            <w:tcW w:w="1000" w:type="dxa"/>
            <w:tcBorders>
              <w:top w:val="nil"/>
              <w:left w:val="nil"/>
              <w:bottom w:val="single" w:color="auto" w:sz="4" w:space="0"/>
              <w:right w:val="single" w:color="auto" w:sz="4" w:space="0"/>
            </w:tcBorders>
            <w:vAlign w:val="center"/>
          </w:tcPr>
          <w:p>
            <w:pPr>
              <w:widowControl/>
              <w:tabs>
                <w:tab w:val="left" w:pos="27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97.36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学校临时聘用教师劳务费</w:t>
            </w:r>
          </w:p>
        </w:tc>
        <w:tc>
          <w:tcPr>
            <w:tcW w:w="1000" w:type="dxa"/>
            <w:tcBorders>
              <w:top w:val="nil"/>
              <w:left w:val="nil"/>
              <w:bottom w:val="single" w:color="auto" w:sz="4" w:space="0"/>
              <w:right w:val="single" w:color="auto" w:sz="4" w:space="0"/>
            </w:tcBorders>
            <w:vAlign w:val="center"/>
          </w:tcPr>
          <w:p>
            <w:pPr>
              <w:widowControl/>
              <w:tabs>
                <w:tab w:val="left" w:pos="381"/>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98.73</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文化体育宣传事务</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99.50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bl>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在今年部门决算公开中反映</w:t>
      </w:r>
      <w:r>
        <w:rPr>
          <w:rFonts w:hint="eastAsia" w:ascii="仿宋_GB2312" w:hAnsi="仿宋_GB2312" w:eastAsia="仿宋_GB2312" w:cs="仿宋_GB2312"/>
          <w:sz w:val="32"/>
          <w:szCs w:val="32"/>
          <w:lang w:eastAsia="zh-CN"/>
        </w:rPr>
        <w:t>社区工作补助</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eastAsia="zh-CN"/>
        </w:rPr>
        <w:t>文化体育宣传事务</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社区工作补助</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该项目</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按时完成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高质量完成</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该项目有效支持了社区的正常运转，保障社区工作有序展开。</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健全考核机制</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加强事后监督</w:t>
      </w:r>
      <w:r>
        <w:rPr>
          <w:rFonts w:hint="eastAsia" w:ascii="仿宋_GB2312" w:hAnsi="仿宋_GB2312" w:eastAsia="仿宋_GB2312" w:cs="仿宋_GB2312"/>
          <w:sz w:val="32"/>
          <w:szCs w:val="32"/>
        </w:rPr>
        <w:t>。</w:t>
      </w:r>
    </w:p>
    <w:p>
      <w:pPr>
        <w:numPr>
          <w:ilvl w:val="0"/>
          <w:numId w:val="2"/>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啤酒厂占地补偿、武装部占地补偿、排水泵站管护运行费、获中北侧监测点周边绿化租地、退役军人安置等</w:t>
      </w:r>
      <w:r>
        <w:rPr>
          <w:rFonts w:hint="eastAsia" w:ascii="仿宋_GB2312" w:hAnsi="仿宋_GB2312" w:eastAsia="仿宋_GB2312" w:cs="仿宋_GB2312"/>
          <w:sz w:val="32"/>
          <w:szCs w:val="32"/>
          <w:lang w:val="en-US" w:eastAsia="zh-CN"/>
        </w:rPr>
        <w:t>5个</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lang w:val="en-US" w:eastAsia="zh-CN"/>
        </w:rPr>
        <w:t>5个项目都是区级资金支持项目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预算资金共计</w:t>
      </w:r>
      <w:r>
        <w:rPr>
          <w:rFonts w:hint="eastAsia" w:ascii="仿宋_GB2312" w:hAnsi="仿宋_GB2312" w:eastAsia="仿宋_GB2312" w:cs="仿宋_GB2312"/>
          <w:sz w:val="32"/>
          <w:szCs w:val="32"/>
          <w:lang w:val="en-US" w:eastAsia="zh-CN"/>
        </w:rPr>
        <w:t>216.9万元，执行数216.9万元，</w:t>
      </w:r>
      <w:r>
        <w:rPr>
          <w:rFonts w:hint="eastAsia" w:ascii="仿宋_GB2312" w:hAnsi="仿宋_GB2312" w:eastAsia="仿宋_GB2312" w:cs="仿宋_GB2312"/>
          <w:sz w:val="32"/>
          <w:szCs w:val="32"/>
          <w:lang w:eastAsia="zh-CN"/>
        </w:rPr>
        <w:t>预算数和执行数都一致，预算完成率</w:t>
      </w:r>
      <w:r>
        <w:rPr>
          <w:rFonts w:hint="eastAsia" w:ascii="仿宋_GB2312" w:hAnsi="仿宋_GB2312" w:eastAsia="仿宋_GB2312" w:cs="仿宋_GB2312"/>
          <w:sz w:val="32"/>
          <w:szCs w:val="32"/>
          <w:lang w:val="en-US" w:eastAsia="zh-CN"/>
        </w:rPr>
        <w:t>100%。项目目标都能按时高质量完成，补偿及时到位有效保障了人民的生活水平。</w:t>
      </w:r>
    </w:p>
    <w:p>
      <w:pPr>
        <w:numPr>
          <w:ilvl w:val="0"/>
          <w:numId w:val="2"/>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公共安全保卫维稳事务、节能环保管理事务、新农村两室建设项目、城乡宜居环境打造项目、城乡建设占地补偿项目、医疗卫生与计划生育事务、文化体育宣传事务等这</w:t>
      </w:r>
      <w:r>
        <w:rPr>
          <w:rFonts w:hint="eastAsia" w:ascii="仿宋_GB2312" w:hAnsi="仿宋_GB2312" w:eastAsia="仿宋_GB2312" w:cs="仿宋_GB2312"/>
          <w:sz w:val="32"/>
          <w:szCs w:val="32"/>
          <w:lang w:val="en-US" w:eastAsia="zh-CN"/>
        </w:rPr>
        <w:t>7个项目都是保障我镇正常运行的自由资金项目。预算资金1237万元，执行数为1237万元，预算执行率100%。上述项目目标都能较好完成，保障了我镇各项工作正常运行。</w:t>
      </w:r>
    </w:p>
    <w:p>
      <w:pPr>
        <w:numPr>
          <w:ilvl w:val="0"/>
          <w:numId w:val="2"/>
        </w:num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中小学改扩建项目、中小学教育投入、学校聘用教师劳务费等</w:t>
      </w:r>
      <w:r>
        <w:rPr>
          <w:rFonts w:hint="eastAsia" w:ascii="仿宋_GB2312" w:hAnsi="仿宋_GB2312" w:eastAsia="仿宋_GB2312" w:cs="仿宋_GB2312"/>
          <w:sz w:val="32"/>
          <w:szCs w:val="32"/>
          <w:lang w:val="en-US" w:eastAsia="zh-CN"/>
        </w:rPr>
        <w:t>3个项目，是我镇教育方面的民生投入项目，预算数592万元，执行数592万元，预算执行率100%。上述3个项目都能按目标较好完成，有效保障了我镇教育事业的健康发展。</w:t>
      </w:r>
    </w:p>
    <w:p>
      <w:pPr>
        <w:numPr>
          <w:ilvl w:val="0"/>
          <w:numId w:val="2"/>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城乡社区基础设施建设项目是我镇推进小城镇进程的一个建设项目，由于拆迁、环保等影响进度较缓慢，预算数180万元，经过攻坚克难年底基本完成了预算目标。</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健全工作保障机制</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加强考核、监督</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1044</w:t>
      </w:r>
      <w:r>
        <w:rPr>
          <w:rFonts w:hint="eastAsia" w:ascii="仿宋_GB2312" w:hAnsi="仿宋_GB2312" w:eastAsia="仿宋_GB2312" w:cs="仿宋_GB2312"/>
          <w:sz w:val="32"/>
          <w:szCs w:val="32"/>
        </w:rPr>
        <w:t>万元，比2019年度</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365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增加53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主要是今年代课教师工资调到公共运行经费劳务费中进行的决算填报。</w:t>
      </w:r>
    </w:p>
    <w:p>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hint="eastAsia" w:ascii="仿宋_GB2312" w:hAnsi="仿宋_GB2312" w:eastAsia="仿宋_GB2312" w:cs="仿宋_GB2312"/>
          <w:color w:val="000000"/>
          <w:kern w:val="0"/>
          <w:sz w:val="32"/>
          <w:szCs w:val="32"/>
          <w:lang w:bidi="ar"/>
        </w:rPr>
      </w:pP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2020年度</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政府采购支出</w:t>
      </w:r>
      <w:r>
        <w:rPr>
          <w:rFonts w:hint="eastAsia" w:ascii="仿宋_GB2312" w:hAnsi="仿宋_GB2312" w:eastAsia="仿宋_GB2312" w:cs="仿宋_GB2312"/>
          <w:sz w:val="32"/>
          <w:szCs w:val="32"/>
          <w:lang w:eastAsia="zh-CN"/>
        </w:rPr>
        <w:t>预算。</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截至2020年12月31日，</w:t>
      </w: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。主要应急保障用车辆</w:t>
      </w:r>
      <w:r>
        <w:rPr>
          <w:rFonts w:hint="eastAsia" w:ascii="仿宋_GB2312" w:hAnsi="仿宋_GB2312"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本单位没有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w:t>
      </w:r>
      <w:r>
        <w:rPr>
          <w:rFonts w:hint="eastAsia" w:ascii="仿宋_GB2312" w:hAnsi="仿宋_GB2312" w:eastAsia="仿宋_GB2312" w:cs="仿宋_GB2312"/>
          <w:sz w:val="32"/>
          <w:szCs w:val="32"/>
          <w:highlight w:val="none"/>
          <w:lang w:eastAsia="zh-CN"/>
        </w:rPr>
        <w:t>本单位</w:t>
      </w:r>
      <w:r>
        <w:rPr>
          <w:rFonts w:hint="eastAsia" w:ascii="仿宋_GB2312" w:hAnsi="仿宋_GB2312" w:eastAsia="仿宋_GB2312" w:cs="仿宋_GB2312"/>
          <w:sz w:val="32"/>
          <w:szCs w:val="32"/>
          <w:highlight w:val="none"/>
        </w:rPr>
        <w:t>2020年度未发生政府性基金预算、国有资金经营预算收支及结转结余情况，故政府性基金预算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08表）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支出表（09表）两张</w:t>
      </w:r>
      <w:r>
        <w:rPr>
          <w:rFonts w:hint="eastAsia" w:ascii="仿宋_GB2312" w:hAnsi="仿宋_GB2312" w:eastAsia="仿宋_GB2312" w:cs="仿宋_GB2312"/>
          <w:sz w:val="32"/>
          <w:szCs w:val="32"/>
          <w:highlight w:val="none"/>
        </w:rPr>
        <w:t>表以空表列示。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hint="eastAsia"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7456" behindDoc="0" locked="0" layoutInCell="1" allowOverlap="1">
                <wp:simplePos x="0" y="0"/>
                <wp:positionH relativeFrom="column">
                  <wp:posOffset>-1022350</wp:posOffset>
                </wp:positionH>
                <wp:positionV relativeFrom="paragraph">
                  <wp:posOffset>201930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7456;v-text-anchor:middle;mso-width-relative:page;mso-height-relative:page;" fillcolor="#7F7F7F [1612]" filled="t" stroked="t" coordsize="21600,21600" o:gfxdata="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SNPtkAAAAMAQAADwAAAAAAAAABACAAAAAiAAAAZHJzL2Rvd25yZXYu&#10;eG1sUEsBAhQAFAAAAAgAh07iQPgymRhsAgAA/gQAAA4AAAAAAAAAAQAgAAAAKAEAAGRycy9lMm9E&#10;b2MueG1sUEsFBgAAAAAGAAYAWQEAAAYGAAAAAA==&#10;">
                <v:fill type="pattern" on="t" color2="#FFFFFF [3212]" focussize="0,0" r:id="rId13"/>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pPr>
      <w:r>
        <w:rPr>
          <w:rFonts w:ascii="Times New Roman" w:hAnsi="Times New Roman" w:eastAsia="黑体" w:cs="Times New Roman"/>
          <w:sz w:val="32"/>
          <w:szCs w:val="32"/>
        </w:rPr>
        <w:br w:type="page"/>
      </w:r>
    </w:p>
    <w:p>
      <w:pPr>
        <w:widowControl/>
        <w:spacing w:after="16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p>
    <w:p>
      <w:pP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-1027430</wp:posOffset>
                </wp:positionH>
                <wp:positionV relativeFrom="paragraph">
                  <wp:posOffset>1151255</wp:posOffset>
                </wp:positionV>
                <wp:extent cx="7793355" cy="3341370"/>
                <wp:effectExtent l="6350" t="6350" r="10795" b="2413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71552;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ANhBuPcAAAA&#10;DQEAAA8AAAAAAAAAAQAgAAAAIgAAAGRycy9kb3ducmV2LnhtbFBLAQIUABQAAAAIAIdO4kDLXY5P&#10;iwIAAFsFAAAOAAAAAAAAAAEAIAAAACsBAABkcnMvZTJvRG9jLnhtbFBLBQYAAAAABgAGAFkBAAAo&#10;BgAAAAA=&#10;">
                <v:fill type="pattern" on="t" color2="#FFFFFF" focussize="0,0" r:id="rId13"/>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bidi w:val="0"/>
        <w:rPr>
          <w:rFonts w:asciiTheme="minorHAnsi" w:hAnsiTheme="minorHAnsi" w:eastAsiaTheme="minorEastAsia" w:cstheme="minorBidi"/>
          <w:kern w:val="2"/>
          <w:sz w:val="21"/>
          <w:szCs w:val="24"/>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r>
        <w:rPr>
          <w:sz w:val="21"/>
        </w:rPr>
        <mc:AlternateContent>
          <mc:Choice Requires="wps">
            <w:drawing>
              <wp:anchor distT="0" distB="0" distL="114300" distR="114300" simplePos="0" relativeHeight="251717632" behindDoc="0" locked="0" layoutInCell="1" allowOverlap="1">
                <wp:simplePos x="0" y="0"/>
                <wp:positionH relativeFrom="column">
                  <wp:posOffset>-206375</wp:posOffset>
                </wp:positionH>
                <wp:positionV relativeFrom="paragraph">
                  <wp:posOffset>161290</wp:posOffset>
                </wp:positionV>
                <wp:extent cx="4019550" cy="704850"/>
                <wp:effectExtent l="4445" t="5080" r="14605" b="13970"/>
                <wp:wrapNone/>
                <wp:docPr id="12" name="文本框 12"/>
                <wp:cNvGraphicFramePr/>
                <a:graphic xmlns:a="http://schemas.openxmlformats.org/drawingml/2006/main">
                  <a:graphicData uri="http://schemas.microsoft.com/office/word/2010/wordprocessingShape">
                    <wps:wsp>
                      <wps:cNvSpPr txBox="1"/>
                      <wps:spPr>
                        <a:xfrm>
                          <a:off x="1823085" y="6537960"/>
                          <a:ext cx="4019550" cy="704850"/>
                        </a:xfrm>
                        <a:prstGeom prst="rect">
                          <a:avLst/>
                        </a:prstGeom>
                        <a:solidFill>
                          <a:schemeClr val="lt1"/>
                        </a:solidFill>
                        <a:ln w="6350">
                          <a:solidFill>
                            <a:srgbClr val="FFFFFF"/>
                          </a:solid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Theme="minorEastAsia"/>
                                <w:sz w:val="72"/>
                                <w:szCs w:val="72"/>
                                <w:lang w:val="en-US" w:eastAsia="zh-CN"/>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25pt;margin-top:12.7pt;height:55.5pt;width:316.5pt;z-index:251717632;mso-width-relative:page;mso-height-relative:page;" fillcolor="#FFFFFF [3201]" filled="t" stroked="t" coordsize="21600,21600" o:gfxdata="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&#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LpKKqzYAAAACgEAAA8AAAAAAAAAAQAgAAAAIgAAAGRy&#10;cy9kb3ducmV2LnhtbFBLAQIUABQAAAAIAIdO4kDeZIGMPgIAAHgEAAAOAAAAAAAAAAEAIAAAACcB&#10;AABkcnMvZTJvRG9jLnhtbFBLBQYAAAAABgAGAFkBAADXBQAAAAA=&#10;">
                <v:fill on="t" focussize="0,0"/>
                <v:stroke weight="0.5pt" color="#FFFFFF [3204]" joinstyle="round"/>
                <v:imagedata o:title=""/>
                <o:lock v:ext="edit" aspectratio="f"/>
                <v:textbox>
                  <w:txbxContent>
                    <w:p>
                      <w:pPr>
                        <w:rPr>
                          <w:rFonts w:hint="eastAsia" w:eastAsiaTheme="minorEastAsia"/>
                          <w:sz w:val="72"/>
                          <w:szCs w:val="72"/>
                          <w:lang w:val="en-US" w:eastAsia="zh-CN"/>
                        </w:rPr>
                      </w:pPr>
                    </w:p>
                  </w:txbxContent>
                </v:textbox>
              </v:shape>
            </w:pict>
          </mc:Fallback>
        </mc:AlternateContent>
      </w:r>
    </w:p>
    <w:p>
      <w:pPr>
        <w:bidi w:val="0"/>
        <w:rPr>
          <w:lang w:val="en-US" w:eastAsia="zh-CN"/>
        </w:rPr>
      </w:pPr>
      <w:r>
        <w:rPr>
          <w:sz w:val="21"/>
        </w:rPr>
        <mc:AlternateContent>
          <mc:Choice Requires="wps">
            <w:drawing>
              <wp:anchor distT="0" distB="0" distL="114300" distR="114300" simplePos="0" relativeHeight="251718656" behindDoc="0" locked="0" layoutInCell="1" allowOverlap="1">
                <wp:simplePos x="0" y="0"/>
                <wp:positionH relativeFrom="column">
                  <wp:posOffset>1936750</wp:posOffset>
                </wp:positionH>
                <wp:positionV relativeFrom="paragraph">
                  <wp:posOffset>58420</wp:posOffset>
                </wp:positionV>
                <wp:extent cx="1543050" cy="886460"/>
                <wp:effectExtent l="4445" t="4445" r="14605" b="23495"/>
                <wp:wrapNone/>
                <wp:docPr id="13" name="文本框 13"/>
                <wp:cNvGraphicFramePr/>
                <a:graphic xmlns:a="http://schemas.openxmlformats.org/drawingml/2006/main">
                  <a:graphicData uri="http://schemas.microsoft.com/office/word/2010/wordprocessingShape">
                    <wps:wsp>
                      <wps:cNvSpPr txBox="1"/>
                      <wps:spPr>
                        <a:xfrm>
                          <a:off x="1451610" y="7461885"/>
                          <a:ext cx="1543050" cy="88646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2.5pt;margin-top:4.6pt;height:69.8pt;width:121.5pt;z-index:251718656;mso-width-relative:page;mso-height-relative:page;" fillcolor="#FFFFFF [3201]" filled="t" stroked="t" coordsize="21600,21600" o:gfxdata="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30EgLNcAAAAJAQAADwAAAAAAAAABACAAAAAiAAAA&#10;ZHJzL2Rvd25yZXYueG1sUEsBAhQAFAAAAAgAh07iQKb8y3hBAgAAeAQAAA4AAAAAAAAAAQAgAAAA&#10;JgEAAGRycy9lMm9Eb2MueG1sUEsFBgAAAAAGAAYAWQEAANkFAAAAAA==&#10;">
                <v:fill on="t" focussize="0,0"/>
                <v:stroke weight="0.5pt" color="#FFFFFF [3212]" joinstyle="round"/>
                <v:imagedata o:title=""/>
                <o:lock v:ext="edit" aspectratio="f"/>
                <v:textbox>
                  <w:txbxContent>
                    <w:p/>
                  </w:txbxContent>
                </v:textbox>
              </v:shape>
            </w:pict>
          </mc:Fallback>
        </mc:AlternateContent>
      </w:r>
    </w:p>
    <w:p>
      <w:pPr>
        <w:rPr>
          <w:rFonts w:hint="default"/>
          <w:sz w:val="72"/>
          <w:szCs w:val="144"/>
          <w:lang w:val="en-US" w:eastAsia="zh-CN"/>
        </w:rPr>
      </w:pPr>
    </w:p>
    <w:p>
      <w:pPr>
        <w:bidi w:val="0"/>
        <w:jc w:val="center"/>
        <w:rPr>
          <w:rFonts w:hint="eastAsia"/>
          <w:sz w:val="72"/>
          <w:szCs w:val="144"/>
          <w:lang w:val="en-US" w:eastAsia="zh-CN"/>
        </w:rPr>
      </w:pPr>
    </w:p>
    <w:p>
      <w:pPr>
        <w:bidi w:val="0"/>
        <w:jc w:val="both"/>
        <w:rPr>
          <w:rFonts w:hint="eastAsia"/>
          <w:sz w:val="72"/>
          <w:szCs w:val="144"/>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r>
        <w:object>
          <v:shape id="_x0000_i1025" o:spt="75" type="#_x0000_t75" style="height:592.25pt;width:415.25pt;" o:ole="t" filled="f" o:preferrelative="t" stroked="f" coordsize="21600,21600">
            <v:path/>
            <v:fill on="f" focussize="0,0"/>
            <v:stroke on="f"/>
            <v:imagedata r:id="rId20" o:title=""/>
            <o:lock v:ext="edit" aspectratio="f"/>
            <w10:wrap type="none"/>
            <w10:anchorlock/>
          </v:shape>
          <o:OLEObject Type="Embed" ProgID="Office12.wks.Sheet.8" ShapeID="_x0000_i1025" DrawAspect="Content" ObjectID="_1468075725" r:id="rId19">
            <o:LockedField>false</o:LockedField>
          </o:OLEObject>
        </w:object>
      </w:r>
    </w:p>
    <w:p/>
    <w:p/>
    <w:p>
      <w:r>
        <w:object>
          <v:shape id="_x0000_i1026" o:spt="75" type="#_x0000_t75" style="height:652.05pt;width:415.3pt;" o:ole="t" filled="f" o:preferrelative="t" stroked="f" coordsize="21600,21600">
            <v:path/>
            <v:fill on="f" focussize="0,0"/>
            <v:stroke on="f"/>
            <v:imagedata r:id="rId22" o:title=""/>
            <o:lock v:ext="edit" aspectratio="f"/>
            <w10:wrap type="none"/>
            <w10:anchorlock/>
          </v:shape>
          <o:OLEObject Type="Embed" ProgID="Office12.wks.Sheet.8" ShapeID="_x0000_i1026" DrawAspect="Content" ObjectID="_1468075726" r:id="rId21">
            <o:LockedField>false</o:LockedField>
          </o:OLEObject>
        </w:object>
      </w:r>
    </w:p>
    <w:p>
      <w:r>
        <w:object>
          <v:shape id="_x0000_i1027" o:spt="75" type="#_x0000_t75" style="height:673.45pt;width:414.8pt;" o:ole="t" filled="f" o:preferrelative="t" stroked="f" coordsize="21600,21600">
            <v:path/>
            <v:fill on="f" focussize="0,0"/>
            <v:stroke on="f"/>
            <v:imagedata r:id="rId24" o:title=""/>
            <o:lock v:ext="edit" aspectratio="f"/>
            <w10:wrap type="none"/>
            <w10:anchorlock/>
          </v:shape>
          <o:OLEObject Type="Embed" ProgID="Office12.wks.Sheet.8" ShapeID="_x0000_i1027" DrawAspect="Content" ObjectID="_1468075727" r:id="rId23">
            <o:LockedField>false</o:LockedField>
          </o:OLEObject>
        </w:object>
      </w:r>
    </w:p>
    <w:p>
      <w:r>
        <w:object>
          <v:shape id="_x0000_i1028" o:spt="75" type="#_x0000_t75" style="height:398.25pt;width:414.75pt;" o:ole="t" filled="f" o:preferrelative="t" stroked="f" coordsize="21600,21600">
            <v:path/>
            <v:fill on="f" focussize="0,0"/>
            <v:stroke on="f"/>
            <v:imagedata r:id="rId26" o:title=""/>
            <o:lock v:ext="edit" aspectratio="f"/>
            <w10:wrap type="none"/>
            <w10:anchorlock/>
          </v:shape>
          <o:OLEObject Type="Embed" ProgID="Office12.wks.Sheet.8" ShapeID="_x0000_i1028" DrawAspect="Content" ObjectID="_1468075728" r:id="rId25">
            <o:LockedField>false</o:LockedField>
          </o:OLEObject>
        </w:object>
      </w:r>
    </w:p>
    <w:p/>
    <w:p/>
    <w:p/>
    <w:p/>
    <w:p/>
    <w:p/>
    <w:p/>
    <w:p/>
    <w:p/>
    <w:p/>
    <w:p/>
    <w:p/>
    <w:p>
      <w:r>
        <w:object>
          <v:shape id="_x0000_i1029" o:spt="75" type="#_x0000_t75" style="height:704.95pt;width:414.95pt;" o:ole="t" filled="f" o:preferrelative="t" stroked="f" coordsize="21600,21600">
            <v:path/>
            <v:fill on="f" focussize="0,0"/>
            <v:stroke on="f"/>
            <v:imagedata r:id="rId28" o:title=""/>
            <o:lock v:ext="edit" aspectratio="f"/>
            <w10:wrap type="none"/>
            <w10:anchorlock/>
          </v:shape>
          <o:OLEObject Type="Embed" ProgID="Office12.wks.Sheet.8" ShapeID="_x0000_i1029" DrawAspect="Content" ObjectID="_1468075729" r:id="rId27">
            <o:LockedField>false</o:LockedField>
          </o:OLEObject>
        </w:object>
      </w:r>
    </w:p>
    <w:p>
      <w:r>
        <w:object>
          <v:shape id="_x0000_i1030" o:spt="75" type="#_x0000_t75" style="height:368.55pt;width:415.3pt;" o:ole="t" filled="f" o:preferrelative="t" stroked="f" coordsize="21600,21600">
            <v:path/>
            <v:fill on="f" focussize="0,0"/>
            <v:stroke on="f"/>
            <v:imagedata r:id="rId30" o:title=""/>
            <o:lock v:ext="edit" aspectratio="f"/>
            <w10:wrap type="none"/>
            <w10:anchorlock/>
          </v:shape>
          <o:OLEObject Type="Embed" ProgID="Office12.wks.Sheet.8" ShapeID="_x0000_i1030" DrawAspect="Content" ObjectID="_1468075730" r:id="rId29">
            <o:LockedField>false</o:LockedField>
          </o:OLEObject>
        </w:object>
      </w:r>
    </w:p>
    <w:p/>
    <w:p/>
    <w:p/>
    <w:p/>
    <w:p/>
    <w:p/>
    <w:p/>
    <w:p/>
    <w:p/>
    <w:p/>
    <w:p/>
    <w:p/>
    <w:p/>
    <w:p/>
    <w:p/>
    <w:p/>
    <w:p/>
    <w:p/>
    <w:p/>
    <w:p/>
    <w:p>
      <w:r>
        <w:object>
          <v:shape id="_x0000_i1031" o:spt="75" type="#_x0000_t75" style="height:97.85pt;width:414.75pt;" o:ole="t" filled="f" o:preferrelative="t" stroked="f" coordsize="21600,21600">
            <v:path/>
            <v:fill on="f" focussize="0,0"/>
            <v:stroke on="f"/>
            <v:imagedata r:id="rId32" o:title=""/>
            <o:lock v:ext="edit" aspectratio="f"/>
            <w10:wrap type="none"/>
            <w10:anchorlock/>
          </v:shape>
          <o:OLEObject Type="Embed" ProgID="Office12.wks.Sheet.8" ShapeID="_x0000_i1031" DrawAspect="Content" ObjectID="_1468075731" r:id="rId31">
            <o:LockedField>false</o:LockedField>
          </o:OLEObject>
        </w:object>
      </w:r>
    </w:p>
    <w:p/>
    <w:p/>
    <w:p>
      <w:r>
        <w:object>
          <v:shape id="_x0000_i1032" o:spt="75" type="#_x0000_t75" style="height:186.6pt;width:415.1pt;" o:ole="t" filled="f" o:preferrelative="t" stroked="f" coordsize="21600,21600">
            <v:path/>
            <v:fill on="f" focussize="0,0"/>
            <v:stroke on="f"/>
            <v:imagedata r:id="rId34" o:title=""/>
            <o:lock v:ext="edit" aspectratio="f"/>
            <w10:wrap type="none"/>
            <w10:anchorlock/>
          </v:shape>
          <o:OLEObject Type="Embed" ProgID="Office12.wks.Sheet.8" ShapeID="_x0000_i1032" DrawAspect="Content" ObjectID="_1468075732" r:id="rId33">
            <o:LockedField>false</o:LockedField>
          </o:OLEObject>
        </w:object>
      </w:r>
    </w:p>
    <w:p/>
    <w:p/>
    <w:p>
      <w:r>
        <w:object>
          <v:shape id="_x0000_i1033" o:spt="75" type="#_x0000_t75" style="height:211.3pt;width:415.1pt;" o:ole="t" filled="f" o:preferrelative="t" stroked="f" coordsize="21600,21600">
            <v:path/>
            <v:fill on="f" focussize="0,0"/>
            <v:stroke on="f"/>
            <v:imagedata r:id="rId36" o:title=""/>
            <o:lock v:ext="edit" aspectratio="f"/>
            <w10:wrap type="none"/>
            <w10:anchorlock/>
          </v:shape>
          <o:OLEObject Type="Embed" ProgID="Office12.wks.Sheet.8" ShapeID="_x0000_i1033" DrawAspect="Content" ObjectID="_1468075733" r:id="rId35">
            <o:LockedField>false</o:LockedField>
          </o:OLEObject>
        </w:object>
      </w: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0288"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0288;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v:fill on="t" focussize="0,0"/>
                <v:stroke on="f" weight="1pt" miterlimit="8" joinstyle="miter"/>
                <v:imagedata o:title=""/>
                <o:lock v:ext="edit" aspectratio="f"/>
              </v:rect>
            </w:pict>
          </mc:Fallback>
        </mc:AlternateContent>
      </w:r>
    </w:p>
    <w:sectPr>
      <w:headerReference r:id="rId9" w:type="default"/>
      <w:footerReference r:id="rId10" w:type="default"/>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00000287" w:usb1="00000000" w:usb2="00000000" w:usb3="00000000" w:csb0="2000009F" w:csb1="DFD70000"/>
  </w:font>
  <w:font w:name="DengXian-Regular">
    <w:altName w:val="宋体"/>
    <w:panose1 w:val="00000000000000000000"/>
    <w:charset w:val="86"/>
    <w:family w:val="auto"/>
    <w:pitch w:val="default"/>
    <w:sig w:usb0="00000000" w:usb1="00000000" w:usb2="00000010" w:usb3="00000000" w:csb0="00040001" w:csb1="0000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val="1"/>
  <w:embedSystem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22361"/>
    <w:rsid w:val="009334BF"/>
    <w:rsid w:val="00995AAE"/>
    <w:rsid w:val="009D1193"/>
    <w:rsid w:val="00A61E3E"/>
    <w:rsid w:val="00B0223F"/>
    <w:rsid w:val="00BA1219"/>
    <w:rsid w:val="00BB2584"/>
    <w:rsid w:val="00BE2400"/>
    <w:rsid w:val="00E54963"/>
    <w:rsid w:val="00EB3F98"/>
    <w:rsid w:val="00F217C2"/>
    <w:rsid w:val="00FD5E00"/>
    <w:rsid w:val="0A0315DE"/>
    <w:rsid w:val="0EA325C9"/>
    <w:rsid w:val="0EE17C1A"/>
    <w:rsid w:val="13283CF8"/>
    <w:rsid w:val="141E7999"/>
    <w:rsid w:val="181800A9"/>
    <w:rsid w:val="1CF07B03"/>
    <w:rsid w:val="22E46C89"/>
    <w:rsid w:val="295632B4"/>
    <w:rsid w:val="34C45458"/>
    <w:rsid w:val="35C83C42"/>
    <w:rsid w:val="367E1578"/>
    <w:rsid w:val="37445DC3"/>
    <w:rsid w:val="3FCF78D4"/>
    <w:rsid w:val="424C5C7F"/>
    <w:rsid w:val="4F0E5A49"/>
    <w:rsid w:val="60055B14"/>
    <w:rsid w:val="60154311"/>
    <w:rsid w:val="695B26FD"/>
    <w:rsid w:val="6AF77BA8"/>
    <w:rsid w:val="6BC34F8B"/>
    <w:rsid w:val="7243644F"/>
    <w:rsid w:val="73D824BD"/>
    <w:rsid w:val="764B3663"/>
    <w:rsid w:val="77056D45"/>
    <w:rsid w:val="7DD964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11.emf"/><Relationship Id="rId35" Type="http://schemas.openxmlformats.org/officeDocument/2006/relationships/oleObject" Target="embeddings/oleObject9.bin"/><Relationship Id="rId34" Type="http://schemas.openxmlformats.org/officeDocument/2006/relationships/image" Target="media/image10.emf"/><Relationship Id="rId33" Type="http://schemas.openxmlformats.org/officeDocument/2006/relationships/oleObject" Target="embeddings/oleObject8.bin"/><Relationship Id="rId32" Type="http://schemas.openxmlformats.org/officeDocument/2006/relationships/image" Target="media/image9.emf"/><Relationship Id="rId31" Type="http://schemas.openxmlformats.org/officeDocument/2006/relationships/oleObject" Target="embeddings/oleObject7.bin"/><Relationship Id="rId30" Type="http://schemas.openxmlformats.org/officeDocument/2006/relationships/image" Target="media/image8.emf"/><Relationship Id="rId3" Type="http://schemas.openxmlformats.org/officeDocument/2006/relationships/header" Target="header1.xml"/><Relationship Id="rId29" Type="http://schemas.openxmlformats.org/officeDocument/2006/relationships/oleObject" Target="embeddings/oleObject6.bin"/><Relationship Id="rId28" Type="http://schemas.openxmlformats.org/officeDocument/2006/relationships/image" Target="media/image7.emf"/><Relationship Id="rId27" Type="http://schemas.openxmlformats.org/officeDocument/2006/relationships/oleObject" Target="embeddings/oleObject5.bin"/><Relationship Id="rId26" Type="http://schemas.openxmlformats.org/officeDocument/2006/relationships/image" Target="media/image6.emf"/><Relationship Id="rId25" Type="http://schemas.openxmlformats.org/officeDocument/2006/relationships/oleObject" Target="embeddings/oleObject4.bin"/><Relationship Id="rId24" Type="http://schemas.openxmlformats.org/officeDocument/2006/relationships/image" Target="media/image5.emf"/><Relationship Id="rId23" Type="http://schemas.openxmlformats.org/officeDocument/2006/relationships/oleObject" Target="embeddings/oleObject3.bin"/><Relationship Id="rId22" Type="http://schemas.openxmlformats.org/officeDocument/2006/relationships/image" Target="media/image4.emf"/><Relationship Id="rId21" Type="http://schemas.openxmlformats.org/officeDocument/2006/relationships/oleObject" Target="embeddings/oleObject2.bin"/><Relationship Id="rId20" Type="http://schemas.openxmlformats.org/officeDocument/2006/relationships/image" Target="media/image3.emf"/><Relationship Id="rId2" Type="http://schemas.openxmlformats.org/officeDocument/2006/relationships/settings" Target="settings.xml"/><Relationship Id="rId19" Type="http://schemas.openxmlformats.org/officeDocument/2006/relationships/oleObject" Target="embeddings/oleObject1.bin"/><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2.bmp"/><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4037;&#20316;&#31807;1%20-%20&#21103;&#26412;.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4037;&#20316;&#31807;1.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4037;&#20316;&#31807;1%20-%20&#21103;&#26412;.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dministrator\Desktop\&#24037;&#20316;&#31807;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1"/>
        <c:ser>
          <c:idx val="0"/>
          <c:order val="0"/>
          <c:tx>
            <c:strRef>
              <c:f>Sheet1!$B$10</c:f>
              <c:strCache>
                <c:ptCount val="1"/>
                <c:pt idx="0">
                  <c:v>收支总计</c:v>
                </c:pt>
              </c:strCache>
            </c:strRef>
          </c:tx>
          <c:spPr/>
          <c:invertIfNegative val="0"/>
          <c:dPt>
            <c:idx val="0"/>
            <c:invertIfNegative val="0"/>
            <c:bubble3D val="0"/>
            <c:spPr>
              <a:solidFill>
                <a:schemeClr val="accent1"/>
              </a:solidFill>
              <a:ln>
                <a:noFill/>
              </a:ln>
              <a:effectLst/>
            </c:spPr>
          </c:dPt>
          <c:dPt>
            <c:idx val="1"/>
            <c:invertIfNegative val="0"/>
            <c:bubble3D val="0"/>
            <c:spPr>
              <a:solidFill>
                <a:schemeClr val="accent2"/>
              </a:solidFill>
              <a:ln>
                <a:noFill/>
              </a:ln>
              <a:effectLst/>
            </c:spPr>
          </c:dPt>
          <c:dLbls>
            <c:delete val="1"/>
          </c:dLbls>
          <c:cat>
            <c:strRef>
              <c:f>Sheet1!$A$11:$A$12</c:f>
              <c:strCache>
                <c:ptCount val="2"/>
                <c:pt idx="0">
                  <c:v>2019年</c:v>
                </c:pt>
                <c:pt idx="1">
                  <c:v>2020年</c:v>
                </c:pt>
              </c:strCache>
            </c:strRef>
          </c:cat>
          <c:val>
            <c:numRef>
              <c:f>Sheet1!$B$11:$B$12</c:f>
              <c:numCache>
                <c:formatCode>General</c:formatCode>
                <c:ptCount val="2"/>
                <c:pt idx="0">
                  <c:v>5912</c:v>
                </c:pt>
                <c:pt idx="1">
                  <c:v>4804</c:v>
                </c:pt>
              </c:numCache>
            </c:numRef>
          </c:val>
        </c:ser>
        <c:dLbls>
          <c:showLegendKey val="0"/>
          <c:showVal val="0"/>
          <c:showCatName val="0"/>
          <c:showSerName val="0"/>
          <c:showPercent val="0"/>
          <c:showBubbleSize val="0"/>
        </c:dLbls>
        <c:gapWidth val="150"/>
        <c:overlap val="100"/>
        <c:axId val="601087493"/>
        <c:axId val="391548895"/>
      </c:barChart>
      <c:catAx>
        <c:axId val="60108749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91548895"/>
        <c:crosses val="autoZero"/>
        <c:auto val="1"/>
        <c:lblAlgn val="ctr"/>
        <c:lblOffset val="100"/>
        <c:noMultiLvlLbl val="0"/>
      </c:catAx>
      <c:valAx>
        <c:axId val="3915488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01087493"/>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0972222222222223"/>
          <c:y val="0.164417887432537"/>
          <c:w val="0.969444444444444"/>
          <c:h val="0.829799537393986"/>
        </c:manualLayout>
      </c:layout>
      <c:pie3DChart>
        <c:varyColors val="1"/>
        <c:ser>
          <c:idx val="0"/>
          <c:order val="0"/>
          <c:tx>
            <c:strRef>
              <c:f>'[工作簿1 - 副本.xlsx]Sheet1'!$B$9</c:f>
              <c:strCache>
                <c:ptCount val="1"/>
                <c:pt idx="0">
                  <c:v>支出额</c:v>
                </c:pt>
              </c:strCache>
            </c:strRef>
          </c:tx>
          <c:spPr>
            <a:scene3d>
              <a:camera prst="orthographicFront"/>
              <a:lightRig rig="threePt" dir="t"/>
            </a:scene3d>
            <a:sp3d contourW="9525"/>
          </c:spPr>
          <c:explosion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contourW="9525"/>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contourW="9525"/>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contourW="9525"/>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contourW="9525"/>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contourW="9525"/>
            </c:spPr>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contourW="9525"/>
            </c:spPr>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contourW="9525"/>
            </c:spPr>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contourW="9525"/>
            </c:spPr>
          </c:dPt>
          <c:dPt>
            <c:idx val="8"/>
            <c:bubble3D val="0"/>
            <c:spPr>
              <a:solidFill>
                <a:schemeClr val="accent3">
                  <a:lumMod val="60000"/>
                </a:schemeClr>
              </a:solidFill>
              <a:ln>
                <a:noFill/>
              </a:ln>
              <a:effectLst>
                <a:outerShdw blurRad="88900" sx="102000" sy="102000" algn="ctr" rotWithShape="0">
                  <a:prstClr val="black">
                    <a:alpha val="10000"/>
                  </a:prstClr>
                </a:outerShdw>
              </a:effectLst>
              <a:scene3d>
                <a:camera prst="orthographicFront"/>
                <a:lightRig rig="threePt" dir="t"/>
              </a:scene3d>
              <a:sp3d contourW="9525"/>
            </c:spPr>
          </c:dPt>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2"/>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3"/>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4"/>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5"/>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5"/>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6"/>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6"/>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lumMod val="60000"/>
                        </a:schemeClr>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7"/>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lumMod val="60000"/>
                        </a:schemeClr>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8"/>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lumMod val="60000"/>
                        </a:schemeClr>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'[工作簿1 - 副本.xlsx]Sheet1'!$A$10:$A$18</c:f>
              <c:strCache>
                <c:ptCount val="9"/>
                <c:pt idx="0">
                  <c:v>一般公共服务支出</c:v>
                </c:pt>
                <c:pt idx="1">
                  <c:v>公共安全支出</c:v>
                </c:pt>
                <c:pt idx="2">
                  <c:v>教育支出</c:v>
                </c:pt>
                <c:pt idx="3">
                  <c:v>宣传文化发展专项支出</c:v>
                </c:pt>
                <c:pt idx="4">
                  <c:v>社会保障和就业支出</c:v>
                </c:pt>
                <c:pt idx="5">
                  <c:v>卫生和健康支出</c:v>
                </c:pt>
                <c:pt idx="6">
                  <c:v>节能和环保支出</c:v>
                </c:pt>
                <c:pt idx="7">
                  <c:v>城乡社区事务支出</c:v>
                </c:pt>
                <c:pt idx="8">
                  <c:v>农林水支出</c:v>
                </c:pt>
              </c:strCache>
            </c:strRef>
          </c:cat>
          <c:val>
            <c:numRef>
              <c:f>'[工作簿1 - 副本.xlsx]Sheet1'!$B$10:$B$18</c:f>
              <c:numCache>
                <c:formatCode>General</c:formatCode>
                <c:ptCount val="9"/>
                <c:pt idx="0">
                  <c:v>2357</c:v>
                </c:pt>
                <c:pt idx="1">
                  <c:v>166</c:v>
                </c:pt>
                <c:pt idx="2">
                  <c:v>592</c:v>
                </c:pt>
                <c:pt idx="3">
                  <c:v>88</c:v>
                </c:pt>
                <c:pt idx="4">
                  <c:v>219</c:v>
                </c:pt>
                <c:pt idx="5">
                  <c:v>263</c:v>
                </c:pt>
                <c:pt idx="6">
                  <c:v>133</c:v>
                </c:pt>
                <c:pt idx="7">
                  <c:v>399</c:v>
                </c:pt>
                <c:pt idx="8">
                  <c:v>587</c:v>
                </c:pt>
              </c:numCache>
            </c:numRef>
          </c:val>
        </c:ser>
        <c:dLbls>
          <c:showLegendKey val="0"/>
          <c:showVal val="1"/>
          <c:showCatName val="0"/>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mj-ea"/>
                <a:ea typeface="+mj-ea"/>
              </a:rPr>
              <a:t>项目支出</a:t>
            </a:r>
            <a:endParaRPr>
              <a:latin typeface="+mj-ea"/>
              <a:ea typeface="+mj-ea"/>
            </a:endParaRPr>
          </a:p>
        </c:rich>
      </c:tx>
      <c:layout>
        <c:manualLayout>
          <c:xMode val="edge"/>
          <c:yMode val="edge"/>
          <c:x val="0.512793701562308"/>
          <c:y val="0.920853858784893"/>
        </c:manualLayout>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chemeClr val="accent2"/>
              </a:solidFill>
              <a:ln>
                <a:noFill/>
              </a:ln>
              <a:effectLst/>
            </c:spPr>
          </c:dPt>
          <c:dPt>
            <c:idx val="2"/>
            <c:invertIfNegative val="0"/>
            <c:bubble3D val="0"/>
            <c:spPr>
              <a:solidFill>
                <a:schemeClr val="accent4"/>
              </a:solidFill>
              <a:ln>
                <a:noFill/>
              </a:ln>
              <a:effectLst/>
            </c:spPr>
          </c:dPt>
          <c:dPt>
            <c:idx val="3"/>
            <c:invertIfNegative val="0"/>
            <c:bubble3D val="0"/>
            <c:spPr>
              <a:gradFill>
                <a:gsLst>
                  <a:gs pos="0">
                    <a:srgbClr val="14CD68"/>
                  </a:gs>
                  <a:gs pos="100000">
                    <a:srgbClr val="0B6E38"/>
                  </a:gs>
                </a:gsLst>
                <a:lin ang="5400000" scaled="0"/>
              </a:gradFill>
              <a:ln>
                <a:no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[工作簿1.xlsx]Sheet1!$C$28:$C$31</c:f>
              <c:strCache>
                <c:ptCount val="4"/>
                <c:pt idx="0">
                  <c:v>人员经费支出</c:v>
                </c:pt>
                <c:pt idx="1">
                  <c:v>公用经费支出</c:v>
                </c:pt>
                <c:pt idx="2">
                  <c:v>行政事业类项目</c:v>
                </c:pt>
                <c:pt idx="3">
                  <c:v>基本建设类项目</c:v>
                </c:pt>
              </c:strCache>
            </c:strRef>
          </c:cat>
          <c:val>
            <c:numRef>
              <c:f>[工作簿1.xlsx]Sheet1!$D$28:$D$31</c:f>
              <c:numCache>
                <c:formatCode>General</c:formatCode>
                <c:ptCount val="4"/>
                <c:pt idx="0">
                  <c:v>1708</c:v>
                </c:pt>
                <c:pt idx="1">
                  <c:v>1045</c:v>
                </c:pt>
                <c:pt idx="2">
                  <c:v>252</c:v>
                </c:pt>
                <c:pt idx="3">
                  <c:v>1799</c:v>
                </c:pt>
              </c:numCache>
            </c:numRef>
          </c:val>
        </c:ser>
        <c:dLbls>
          <c:showLegendKey val="0"/>
          <c:showVal val="1"/>
          <c:showCatName val="0"/>
          <c:showSerName val="0"/>
          <c:showPercent val="0"/>
          <c:showBubbleSize val="0"/>
        </c:dLbls>
        <c:gapWidth val="219"/>
        <c:overlap val="-27"/>
        <c:axId val="577902575"/>
        <c:axId val="71122269"/>
      </c:barChart>
      <c:catAx>
        <c:axId val="577902575"/>
        <c:scaling>
          <c:orientation val="minMax"/>
        </c:scaling>
        <c:delete val="0"/>
        <c:axPos val="b"/>
        <c:title>
          <c:tx>
            <c:rich>
              <a:bodyPr rot="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rPr sz="1400"/>
                  <a:t>基本支出</a:t>
                </a:r>
                <a:endParaRPr sz="1400"/>
              </a:p>
            </c:rich>
          </c:tx>
          <c:layout>
            <c:manualLayout>
              <c:xMode val="edge"/>
              <c:yMode val="edge"/>
              <c:x val="0.178533644974782"/>
              <c:y val="0.912807881773399"/>
            </c:manualLayout>
          </c:layout>
          <c:overlay val="0"/>
          <c:spPr>
            <a:noFill/>
            <a:ln>
              <a:noFill/>
            </a:ln>
            <a:effectLst/>
          </c:sp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122269"/>
        <c:crosses val="autoZero"/>
        <c:auto val="1"/>
        <c:lblAlgn val="ctr"/>
        <c:lblOffset val="100"/>
        <c:noMultiLvlLbl val="0"/>
      </c:catAx>
      <c:valAx>
        <c:axId val="7112226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77902575"/>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tx>
            <c:strRef>
              <c:f>'[工作簿1 - 副本.xlsx]Sheet1'!$B$54</c:f>
              <c:strCache>
                <c:ptCount val="1"/>
                <c:pt idx="0">
                  <c:v>基本支出</c:v>
                </c:pt>
              </c:strCache>
            </c:strRef>
          </c:tx>
          <c:spPr>
            <a:solidFill>
              <a:schemeClr val="accent1"/>
            </a:solidFill>
            <a:ln>
              <a:noFill/>
            </a:ln>
            <a:effectLst/>
          </c:spPr>
          <c:invertIfNegative val="0"/>
          <c:dPt>
            <c:idx val="1"/>
            <c:invertIfNegative val="0"/>
            <c:bubble3D val="0"/>
            <c:spPr>
              <a:solidFill>
                <a:schemeClr val="accent2"/>
              </a:solidFill>
              <a:ln>
                <a:no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4693</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5381</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'[工作簿1 - 副本.xlsx]Sheet1'!$A$55:$A$56</c:f>
              <c:numCache>
                <c:formatCode>General</c:formatCode>
                <c:ptCount val="2"/>
                <c:pt idx="0">
                  <c:v>2020</c:v>
                </c:pt>
                <c:pt idx="1">
                  <c:v>2019</c:v>
                </c:pt>
              </c:numCache>
            </c:numRef>
          </c:cat>
          <c:val>
            <c:numRef>
              <c:f>'[工作簿1 - 副本.xlsx]Sheet1'!$B$55:$B$56</c:f>
              <c:numCache>
                <c:formatCode>General</c:formatCode>
                <c:ptCount val="2"/>
                <c:pt idx="0">
                  <c:v>4804</c:v>
                </c:pt>
                <c:pt idx="1">
                  <c:v>5912</c:v>
                </c:pt>
              </c:numCache>
            </c:numRef>
          </c:val>
        </c:ser>
        <c:dLbls>
          <c:showLegendKey val="0"/>
          <c:showVal val="1"/>
          <c:showCatName val="0"/>
          <c:showSerName val="0"/>
          <c:showPercent val="0"/>
          <c:showBubbleSize val="0"/>
        </c:dLbls>
        <c:gapWidth val="219"/>
        <c:overlap val="-27"/>
        <c:axId val="76397610"/>
        <c:axId val="608198823"/>
      </c:barChart>
      <c:catAx>
        <c:axId val="7639761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08198823"/>
        <c:crosses val="autoZero"/>
        <c:auto val="1"/>
        <c:lblAlgn val="ctr"/>
        <c:lblOffset val="100"/>
        <c:noMultiLvlLbl val="0"/>
      </c:catAx>
      <c:valAx>
        <c:axId val="6081988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639761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600" b="1" i="0" u="none" strike="noStrike" kern="1200" cap="all" baseline="0">
                <a:solidFill>
                  <a:schemeClr val="tx1">
                    <a:lumMod val="65000"/>
                    <a:lumOff val="35000"/>
                  </a:schemeClr>
                </a:solidFill>
                <a:latin typeface="+mn-lt"/>
                <a:ea typeface="+mn-ea"/>
                <a:cs typeface="+mn-cs"/>
              </a:defRPr>
            </a:pPr>
            <a:r>
              <a:rPr lang="en-US" altLang="zh-CN"/>
              <a:t>2020</a:t>
            </a:r>
            <a:r>
              <a:rPr altLang="en-US"/>
              <a:t>年（按经济分类）情况</a:t>
            </a:r>
            <a:endParaRPr altLang="en-US"/>
          </a:p>
        </c:rich>
      </c:tx>
      <c:layout>
        <c:manualLayout>
          <c:xMode val="edge"/>
          <c:yMode val="edge"/>
          <c:x val="0.129861111111111"/>
          <c:y val="0.0418076846506072"/>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754857997010463"/>
          <c:y val="0.185876045464293"/>
          <c:w val="0.822122571001495"/>
          <c:h val="0.684863821574094"/>
        </c:manualLayout>
      </c:layout>
      <c:pie3DChart>
        <c:varyColors val="1"/>
        <c:ser>
          <c:idx val="0"/>
          <c:order val="0"/>
          <c:spPr>
            <a:scene3d>
              <a:camera prst="orthographicFront"/>
              <a:lightRig rig="threePt" dir="t"/>
            </a:scene3d>
            <a:sp3d contourW="9525"/>
          </c:spPr>
          <c:explosion val="0"/>
          <c:dPt>
            <c:idx val="0"/>
            <c:bubble3D val="0"/>
            <c:spPr>
              <a:solidFill>
                <a:schemeClr val="accent1"/>
              </a:solidFill>
              <a:ln>
                <a:noFill/>
              </a:ln>
              <a:effectLst>
                <a:outerShdw blurRad="88900" sx="102000" sy="102000" algn="ctr" rotWithShape="0">
                  <a:prstClr val="black">
                    <a:alpha val="10000"/>
                  </a:prstClr>
                </a:outerShdw>
              </a:effectLst>
            </c:spPr>
          </c:dPt>
          <c:dPt>
            <c:idx val="1"/>
            <c:bubble3D val="0"/>
            <c:spPr>
              <a:solidFill>
                <a:schemeClr val="accent2"/>
              </a:solidFill>
              <a:ln>
                <a:noFill/>
              </a:ln>
              <a:effectLst>
                <a:outerShdw blurRad="88900" sx="102000" sy="102000" algn="ctr" rotWithShape="0">
                  <a:prstClr val="black">
                    <a:alpha val="10000"/>
                  </a:prstClr>
                </a:outerShdw>
              </a:effectLst>
            </c:spPr>
          </c:dPt>
          <c:dPt>
            <c:idx val="2"/>
            <c:bubble3D val="0"/>
            <c:spPr>
              <a:solidFill>
                <a:schemeClr val="accent3"/>
              </a:solidFill>
              <a:ln>
                <a:noFill/>
              </a:ln>
              <a:effectLst>
                <a:outerShdw blurRad="88900" sx="102000" sy="102000" algn="ctr" rotWithShape="0">
                  <a:prstClr val="black">
                    <a:alpha val="10000"/>
                  </a:prstClr>
                </a:outerShdw>
              </a:effectLst>
            </c:spPr>
          </c:dPt>
          <c:dPt>
            <c:idx val="3"/>
            <c:bubble3D val="0"/>
            <c:spPr>
              <a:solidFill>
                <a:schemeClr val="accent4"/>
              </a:solidFill>
              <a:ln>
                <a:noFill/>
              </a:ln>
              <a:effectLst>
                <a:outerShdw blurRad="88900" sx="102000" sy="102000" algn="ctr" rotWithShape="0">
                  <a:prstClr val="black">
                    <a:alpha val="10000"/>
                  </a:prstClr>
                </a:outerShdw>
              </a:effectLst>
            </c:spPr>
          </c:dPt>
          <c:dPt>
            <c:idx val="4"/>
            <c:bubble3D val="0"/>
            <c:spPr>
              <a:solidFill>
                <a:schemeClr val="accent5"/>
              </a:solidFill>
              <a:ln>
                <a:noFill/>
              </a:ln>
              <a:effectLst>
                <a:outerShdw blurRad="88900" sx="102000" sy="102000" algn="ctr" rotWithShape="0">
                  <a:prstClr val="black">
                    <a:alpha val="10000"/>
                  </a:prstClr>
                </a:outerShdw>
              </a:effectLst>
            </c:spPr>
          </c:dPt>
          <c:dPt>
            <c:idx val="5"/>
            <c:bubble3D val="0"/>
            <c:spPr>
              <a:solidFill>
                <a:schemeClr val="accent6"/>
              </a:solidFill>
              <a:ln>
                <a:noFill/>
              </a:ln>
              <a:effectLst>
                <a:outerShdw blurRad="88900" sx="102000" sy="102000" algn="ctr" rotWithShape="0">
                  <a:prstClr val="black">
                    <a:alpha val="10000"/>
                  </a:prstClr>
                </a:outerShdw>
              </a:effectLst>
            </c:spPr>
          </c:dPt>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2"/>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3"/>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4"/>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5"/>
                        </a:solidFill>
                        <a:latin typeface="+mn-lt"/>
                        <a:ea typeface="+mn-ea"/>
                        <a:cs typeface="+mn-cs"/>
                      </a:defRPr>
                    </a:pPr>
                    <a:r>
                      <a:t>资本性支出（基本建设）, </a:t>
                    </a:r>
                    <a:r>
                      <a:rPr lang="en-US" altLang="zh-CN"/>
                      <a:t>594</a:t>
                    </a:r>
                    <a:endParaRPr lang="en-US" alt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5"/>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dLbl>
              <c:idx val="5"/>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6"/>
                        </a:solidFill>
                        <a:latin typeface="+mn-lt"/>
                        <a:ea typeface="+mn-ea"/>
                        <a:cs typeface="+mn-cs"/>
                      </a:defRPr>
                    </a:pPr>
                    <a:r>
                      <a:t>资本性支出, </a:t>
                    </a:r>
                    <a:r>
                      <a:rPr lang="en-US" altLang="zh-CN"/>
                      <a:t>419</a:t>
                    </a:r>
                    <a:endParaRPr lang="en-US" altLang="zh-CN"/>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6"/>
                      </a:solidFill>
                      <a:latin typeface="+mn-lt"/>
                      <a:ea typeface="+mn-ea"/>
                      <a:cs typeface="+mn-cs"/>
                    </a:defRPr>
                  </a:pPr>
                </a:p>
              </c:txPr>
              <c:dLblPos val="outEnd"/>
              <c:showLegendKey val="0"/>
              <c:showVal val="1"/>
              <c:showCatName val="1"/>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[工作簿1.xlsx]Sheet1!$A$96:$A$101</c:f>
              <c:strCache>
                <c:ptCount val="6"/>
                <c:pt idx="0">
                  <c:v>2020年收入构成（按经济分类）情况</c:v>
                </c:pt>
                <c:pt idx="1">
                  <c:v>工资福利支出</c:v>
                </c:pt>
                <c:pt idx="2">
                  <c:v>商品和服务支出</c:v>
                </c:pt>
                <c:pt idx="3">
                  <c:v>对个人和家庭的补助	</c:v>
                </c:pt>
                <c:pt idx="4">
                  <c:v>资本性支出（基本建设）</c:v>
                </c:pt>
                <c:pt idx="5">
                  <c:v>资本性支出</c:v>
                </c:pt>
              </c:strCache>
            </c:strRef>
          </c:cat>
          <c:val>
            <c:numRef>
              <c:f>[工作簿1.xlsx]Sheet1!$B$96:$B$101</c:f>
              <c:numCache>
                <c:formatCode>General</c:formatCode>
                <c:ptCount val="6"/>
                <c:pt idx="1">
                  <c:v>1480</c:v>
                </c:pt>
                <c:pt idx="2">
                  <c:v>1827</c:v>
                </c:pt>
                <c:pt idx="3">
                  <c:v>373</c:v>
                </c:pt>
                <c:pt idx="4">
                  <c:v>685</c:v>
                </c:pt>
                <c:pt idx="5">
                  <c:v>439</c:v>
                </c:pt>
              </c:numCache>
            </c:numRef>
          </c:val>
        </c:ser>
        <c:dLbls>
          <c:showLegendKey val="0"/>
          <c:showVal val="1"/>
          <c:showCatName val="0"/>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34</Pages>
  <Words>1765</Words>
  <Characters>10064</Characters>
  <Lines>83</Lines>
  <Paragraphs>23</Paragraphs>
  <TotalTime>50</TotalTime>
  <ScaleCrop>false</ScaleCrop>
  <LinksUpToDate>false</LinksUpToDate>
  <CharactersWithSpaces>11806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2021-08-26T06:52:00Z</cp:lastPrinted>
  <dcterms:modified xsi:type="dcterms:W3CDTF">2023-09-27T01:21:34Z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65FA352BAB5146309CB066C800874C19</vt:lpwstr>
  </property>
</Properties>
</file>