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val="0"/>
        <w:wordWrap/>
        <w:adjustRightInd w:val="0"/>
        <w:snapToGrid w:val="0"/>
        <w:spacing w:line="560" w:lineRule="exact"/>
        <w:ind w:left="0" w:leftChars="0" w:right="0"/>
        <w:textAlignment w:val="auto"/>
        <w:outlineLvl w:val="9"/>
        <w:rPr>
          <w:rFonts w:hint="eastAsia" w:ascii="仿宋_GB2312" w:eastAsia="仿宋_GB2312"/>
          <w:sz w:val="32"/>
          <w:szCs w:val="32"/>
          <w:lang w:val="en-US" w:eastAsia="zh-CN"/>
        </w:rPr>
      </w:pPr>
      <w:r>
        <w:rPr>
          <w:rFonts w:hint="eastAsia" w:ascii="仿宋_GB2312" w:eastAsia="仿宋_GB2312"/>
          <w:sz w:val="32"/>
          <w:szCs w:val="32"/>
        </w:rPr>
        <w:t>附件</w:t>
      </w:r>
      <w:r>
        <w:rPr>
          <w:rFonts w:hint="eastAsia" w:ascii="仿宋_GB2312" w:eastAsia="仿宋_GB2312"/>
          <w:sz w:val="32"/>
          <w:szCs w:val="32"/>
          <w:lang w:val="en-US" w:eastAsia="zh-CN"/>
        </w:rPr>
        <w:t>3</w:t>
      </w:r>
    </w:p>
    <w:p>
      <w:pPr>
        <w:widowControl w:val="0"/>
        <w:wordWrap/>
        <w:spacing w:line="560" w:lineRule="exact"/>
        <w:ind w:left="0" w:leftChars="0" w:right="0"/>
        <w:jc w:val="center"/>
        <w:textAlignment w:val="auto"/>
        <w:outlineLvl w:val="9"/>
        <w:rPr>
          <w:rFonts w:hint="eastAsia" w:ascii="宋体" w:hAnsi="宋体" w:cs="宋体"/>
          <w:b/>
          <w:bCs/>
          <w:sz w:val="44"/>
          <w:szCs w:val="44"/>
        </w:rPr>
      </w:pPr>
    </w:p>
    <w:p>
      <w:pPr>
        <w:widowControl w:val="0"/>
        <w:wordWrap/>
        <w:spacing w:line="560" w:lineRule="exact"/>
        <w:ind w:left="0" w:leftChars="0" w:right="0"/>
        <w:jc w:val="center"/>
        <w:textAlignment w:val="auto"/>
        <w:outlineLvl w:val="9"/>
        <w:rPr>
          <w:rFonts w:hint="eastAsia" w:ascii="宋体" w:hAnsi="宋体" w:cs="宋体"/>
          <w:b/>
          <w:bCs/>
          <w:sz w:val="44"/>
          <w:szCs w:val="44"/>
        </w:rPr>
      </w:pPr>
      <w:r>
        <w:rPr>
          <w:rFonts w:hint="eastAsia" w:ascii="宋体" w:hAnsi="宋体" w:cs="宋体"/>
          <w:b/>
          <w:bCs/>
          <w:sz w:val="44"/>
          <w:szCs w:val="44"/>
          <w:lang w:val="en-US" w:eastAsia="zh-CN"/>
        </w:rPr>
        <w:t>科协</w:t>
      </w:r>
      <w:r>
        <w:rPr>
          <w:rFonts w:hint="eastAsia" w:ascii="宋体" w:hAnsi="宋体" w:cs="宋体"/>
          <w:b/>
          <w:bCs/>
          <w:sz w:val="44"/>
          <w:szCs w:val="44"/>
          <w:lang w:eastAsia="zh-CN"/>
        </w:rPr>
        <w:t>部门</w:t>
      </w:r>
      <w:r>
        <w:rPr>
          <w:rFonts w:hint="eastAsia" w:ascii="宋体" w:hAnsi="宋体" w:cs="宋体"/>
          <w:b/>
          <w:bCs/>
          <w:sz w:val="44"/>
          <w:szCs w:val="44"/>
          <w:lang w:val="en-US" w:eastAsia="zh-CN"/>
        </w:rPr>
        <w:t>2022年度整体支出绩效</w:t>
      </w:r>
      <w:r>
        <w:rPr>
          <w:rFonts w:hint="eastAsia" w:ascii="宋体" w:hAnsi="宋体" w:cs="宋体"/>
          <w:b/>
          <w:bCs/>
          <w:sz w:val="44"/>
          <w:szCs w:val="44"/>
        </w:rPr>
        <w:t>自评报告</w:t>
      </w:r>
    </w:p>
    <w:p>
      <w:pPr>
        <w:widowControl w:val="0"/>
        <w:wordWrap/>
        <w:spacing w:line="560" w:lineRule="exact"/>
        <w:ind w:left="0" w:leftChars="0" w:right="0"/>
        <w:jc w:val="center"/>
        <w:textAlignment w:val="auto"/>
        <w:outlineLvl w:val="9"/>
        <w:rPr>
          <w:rFonts w:ascii="华文楷体" w:eastAsia="华文楷体"/>
          <w:sz w:val="32"/>
          <w:szCs w:val="32"/>
        </w:rPr>
      </w:pPr>
    </w:p>
    <w:p>
      <w:pPr>
        <w:widowControl w:val="0"/>
        <w:wordWrap/>
        <w:adjustRightInd w:val="0"/>
        <w:snapToGrid w:val="0"/>
        <w:spacing w:line="560" w:lineRule="exact"/>
        <w:ind w:left="0" w:leftChars="0" w:right="0" w:firstLine="640" w:firstLineChars="200"/>
        <w:textAlignment w:val="auto"/>
        <w:outlineLvl w:val="9"/>
        <w:rPr>
          <w:rFonts w:ascii="仿宋" w:hAnsi="仿宋" w:eastAsia="仿宋"/>
          <w:sz w:val="32"/>
          <w:szCs w:val="32"/>
        </w:rPr>
      </w:pPr>
      <w:r>
        <w:rPr>
          <w:rFonts w:hint="eastAsia" w:ascii="仿宋" w:hAnsi="仿宋" w:eastAsia="仿宋"/>
          <w:sz w:val="32"/>
          <w:szCs w:val="32"/>
        </w:rPr>
        <w:t>贯彻落实</w:t>
      </w:r>
      <w:r>
        <w:rPr>
          <w:rFonts w:hint="eastAsia" w:ascii="仿宋" w:hAnsi="仿宋" w:eastAsia="仿宋"/>
          <w:sz w:val="32"/>
          <w:szCs w:val="32"/>
          <w:lang w:eastAsia="zh-CN"/>
        </w:rPr>
        <w:t>石家庄市鹿泉区人民政府《关于全面实施预算绩效管理的实施意见》（鹿发﹝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 w:hAnsi="仿宋" w:eastAsia="仿宋"/>
          <w:sz w:val="32"/>
          <w:szCs w:val="32"/>
        </w:rPr>
        <w:t>文件精神，遵循“科学性、规范性、客观性和公正性”的原则，</w:t>
      </w:r>
      <w:r>
        <w:rPr>
          <w:rFonts w:hint="eastAsia" w:ascii="仿宋" w:hAnsi="仿宋" w:eastAsia="仿宋"/>
          <w:sz w:val="32"/>
          <w:szCs w:val="32"/>
          <w:lang w:val="en-US" w:eastAsia="zh-CN"/>
        </w:rPr>
        <w:t>科协</w:t>
      </w:r>
      <w:r>
        <w:rPr>
          <w:rFonts w:hint="eastAsia" w:ascii="仿宋" w:hAnsi="仿宋" w:eastAsia="仿宋"/>
          <w:sz w:val="32"/>
          <w:szCs w:val="32"/>
          <w:lang w:eastAsia="zh-CN"/>
        </w:rPr>
        <w:t>部门对</w:t>
      </w:r>
      <w:r>
        <w:rPr>
          <w:rFonts w:hint="eastAsia" w:ascii="仿宋" w:hAnsi="仿宋" w:eastAsia="仿宋"/>
          <w:sz w:val="32"/>
          <w:szCs w:val="32"/>
          <w:lang w:val="en-US" w:eastAsia="zh-CN"/>
        </w:rPr>
        <w:t>2022年</w:t>
      </w:r>
      <w:r>
        <w:rPr>
          <w:rFonts w:hint="eastAsia" w:ascii="仿宋" w:hAnsi="仿宋" w:eastAsia="仿宋"/>
          <w:sz w:val="32"/>
          <w:szCs w:val="32"/>
          <w:lang w:eastAsia="zh-CN"/>
        </w:rPr>
        <w:t>整体支出情况</w:t>
      </w:r>
      <w:r>
        <w:rPr>
          <w:rFonts w:hint="eastAsia" w:ascii="仿宋" w:hAnsi="仿宋" w:eastAsia="仿宋"/>
          <w:sz w:val="32"/>
          <w:szCs w:val="32"/>
        </w:rPr>
        <w:t>实施了财政支出绩效自评价，形成本评价报告。</w:t>
      </w:r>
    </w:p>
    <w:p>
      <w:pPr>
        <w:widowControl w:val="0"/>
        <w:wordWrap/>
        <w:adjustRightInd w:val="0"/>
        <w:snapToGrid w:val="0"/>
        <w:spacing w:line="560" w:lineRule="exact"/>
        <w:ind w:left="0" w:leftChars="0" w:right="0"/>
        <w:textAlignment w:val="auto"/>
        <w:outlineLvl w:val="9"/>
        <w:rPr>
          <w:rFonts w:ascii="黑体" w:hAnsi="黑体" w:eastAsia="黑体"/>
          <w:b/>
          <w:bCs/>
          <w:sz w:val="32"/>
          <w:szCs w:val="36"/>
        </w:rPr>
      </w:pPr>
      <w:r>
        <w:rPr>
          <w:rFonts w:hint="eastAsia" w:ascii="仿宋" w:hAnsi="仿宋" w:eastAsia="仿宋"/>
          <w:sz w:val="32"/>
          <w:szCs w:val="32"/>
        </w:rPr>
        <w:t xml:space="preserve">    </w:t>
      </w:r>
      <w:r>
        <w:rPr>
          <w:rFonts w:hint="eastAsia" w:ascii="黑体" w:hAnsi="黑体" w:eastAsia="黑体"/>
          <w:sz w:val="32"/>
          <w:szCs w:val="32"/>
        </w:rPr>
        <w:t>一、</w:t>
      </w:r>
      <w:r>
        <w:rPr>
          <w:rFonts w:hint="eastAsia" w:ascii="黑体" w:hAnsi="黑体" w:eastAsia="黑体"/>
          <w:sz w:val="32"/>
          <w:szCs w:val="32"/>
          <w:lang w:eastAsia="zh-CN"/>
        </w:rPr>
        <w:t>部门</w:t>
      </w:r>
      <w:r>
        <w:rPr>
          <w:rFonts w:hint="eastAsia" w:ascii="黑体" w:hAnsi="黑体" w:eastAsia="黑体"/>
          <w:sz w:val="32"/>
          <w:szCs w:val="36"/>
        </w:rPr>
        <w:t>基本情况</w:t>
      </w:r>
    </w:p>
    <w:p>
      <w:pPr>
        <w:widowControl w:val="0"/>
        <w:wordWrap/>
        <w:adjustRightInd w:val="0"/>
        <w:snapToGrid w:val="0"/>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rPr>
        <w:t>（一）</w:t>
      </w:r>
      <w:r>
        <w:rPr>
          <w:rFonts w:hint="eastAsia" w:ascii="仿宋" w:hAnsi="仿宋" w:eastAsia="仿宋" w:cs="楷体_GB2312"/>
          <w:b/>
          <w:bCs/>
          <w:sz w:val="32"/>
          <w:szCs w:val="32"/>
          <w:lang w:eastAsia="zh-CN"/>
        </w:rPr>
        <w:t>部门</w:t>
      </w:r>
      <w:r>
        <w:rPr>
          <w:rFonts w:hint="eastAsia" w:ascii="仿宋" w:hAnsi="仿宋" w:eastAsia="仿宋" w:cs="楷体_GB2312"/>
          <w:b/>
          <w:bCs/>
          <w:sz w:val="32"/>
          <w:szCs w:val="32"/>
        </w:rPr>
        <w:t>概况</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lang w:val="en-US" w:eastAsia="zh-CN"/>
        </w:rPr>
        <w:t>鹿泉区</w:t>
      </w:r>
      <w:r>
        <w:rPr>
          <w:rFonts w:hint="eastAsia" w:ascii="仿宋_GB2312" w:eastAsia="仿宋_GB2312"/>
          <w:sz w:val="32"/>
          <w:szCs w:val="32"/>
        </w:rPr>
        <w:t>科学技术协会是</w:t>
      </w:r>
      <w:r>
        <w:rPr>
          <w:rFonts w:hint="eastAsia" w:ascii="仿宋_GB2312" w:eastAsia="仿宋_GB2312"/>
          <w:sz w:val="32"/>
          <w:szCs w:val="32"/>
          <w:lang w:val="en-US" w:eastAsia="zh-CN"/>
        </w:rPr>
        <w:t>鹿泉区</w:t>
      </w:r>
      <w:r>
        <w:rPr>
          <w:rFonts w:hint="eastAsia" w:ascii="仿宋_GB2312" w:eastAsia="仿宋_GB2312"/>
          <w:sz w:val="32"/>
          <w:szCs w:val="32"/>
        </w:rPr>
        <w:t>科技工作者的群众组织，是在</w:t>
      </w:r>
      <w:r>
        <w:rPr>
          <w:rFonts w:hint="eastAsia" w:ascii="仿宋_GB2312" w:eastAsia="仿宋_GB2312"/>
          <w:sz w:val="32"/>
          <w:szCs w:val="32"/>
          <w:lang w:val="en-US" w:eastAsia="zh-CN"/>
        </w:rPr>
        <w:t>鹿泉区</w:t>
      </w:r>
      <w:r>
        <w:rPr>
          <w:rFonts w:hint="eastAsia" w:ascii="仿宋_GB2312" w:eastAsia="仿宋_GB2312"/>
          <w:sz w:val="32"/>
          <w:szCs w:val="32"/>
        </w:rPr>
        <w:t>委领导下的人民团体，是</w:t>
      </w:r>
      <w:r>
        <w:rPr>
          <w:rFonts w:hint="eastAsia" w:ascii="仿宋_GB2312" w:eastAsia="仿宋_GB2312"/>
          <w:sz w:val="32"/>
          <w:szCs w:val="32"/>
          <w:lang w:val="en-US" w:eastAsia="zh-CN"/>
        </w:rPr>
        <w:t>区</w:t>
      </w:r>
      <w:r>
        <w:rPr>
          <w:rFonts w:hint="eastAsia" w:ascii="仿宋_GB2312" w:eastAsia="仿宋_GB2312"/>
          <w:sz w:val="32"/>
          <w:szCs w:val="32"/>
        </w:rPr>
        <w:t>委和</w:t>
      </w:r>
      <w:r>
        <w:rPr>
          <w:rFonts w:hint="eastAsia" w:ascii="仿宋_GB2312" w:eastAsia="仿宋_GB2312"/>
          <w:sz w:val="32"/>
          <w:szCs w:val="32"/>
          <w:lang w:val="en-US" w:eastAsia="zh-CN"/>
        </w:rPr>
        <w:t>区</w:t>
      </w:r>
      <w:r>
        <w:rPr>
          <w:rFonts w:hint="eastAsia" w:ascii="仿宋_GB2312" w:eastAsia="仿宋_GB2312"/>
          <w:sz w:val="32"/>
          <w:szCs w:val="32"/>
        </w:rPr>
        <w:t>人民政府联系科技工作者的桥梁和纽带，是我</w:t>
      </w:r>
      <w:r>
        <w:rPr>
          <w:rFonts w:hint="eastAsia" w:ascii="仿宋_GB2312" w:eastAsia="仿宋_GB2312"/>
          <w:sz w:val="32"/>
          <w:szCs w:val="32"/>
          <w:lang w:val="en-US" w:eastAsia="zh-CN"/>
        </w:rPr>
        <w:t>区</w:t>
      </w:r>
      <w:r>
        <w:rPr>
          <w:rFonts w:hint="eastAsia" w:ascii="仿宋_GB2312" w:eastAsia="仿宋_GB2312"/>
          <w:sz w:val="32"/>
          <w:szCs w:val="32"/>
        </w:rPr>
        <w:t>发展科学技术事业的重要力量。执行《中国科学技术协会章程》，履行以下职能</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 开展学术交流，活跃学术思想，促进学科发展,推动自主创新。</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 组织科学技术工作者为建立以企业为主体的技术创新体系、全面提升企业的自主创新能力作贡献。</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3. 依照《中华人民共和国科学技术普及法》，弘扬科学精神，普及科学知识，传播科学思想和科学方法。捍卫科学尊严，推广先进技术，开展青少年科学技术教育活动，提高全民科学素质。</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4. 反映科学技术工作者的建议、意见和诉求，维护科学技术工作者的合法权益。</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5. 推动建立和完善科学研究诚信监督机制，促进科学道德建设和学风建设。</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6. 表彰奖励优秀科学技术工作者，举荐科学技术人才。</w:t>
      </w:r>
    </w:p>
    <w:p>
      <w:pPr>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7、开展民间科学技术交流活动。</w:t>
      </w:r>
    </w:p>
    <w:p>
      <w:pPr>
        <w:adjustRightInd w:val="0"/>
        <w:snapToGrid w:val="0"/>
        <w:spacing w:line="52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（二）人员情况</w:t>
      </w:r>
    </w:p>
    <w:p>
      <w:pPr>
        <w:adjustRightInd w:val="0"/>
        <w:snapToGrid w:val="0"/>
        <w:spacing w:line="520" w:lineRule="exact"/>
        <w:ind w:firstLine="640" w:firstLineChars="200"/>
        <w:rPr>
          <w:rFonts w:hint="eastAsia" w:ascii="仿宋_GB2312" w:eastAsia="仿宋_GB2312"/>
          <w:sz w:val="32"/>
          <w:szCs w:val="32"/>
          <w:lang w:eastAsia="zh-CN"/>
        </w:rPr>
      </w:pPr>
      <w:r>
        <w:rPr>
          <w:rFonts w:hint="eastAsia" w:ascii="仿宋_GB2312" w:eastAsia="仿宋_GB2312"/>
          <w:sz w:val="32"/>
          <w:szCs w:val="32"/>
        </w:rPr>
        <w:t>20</w:t>
      </w:r>
      <w:r>
        <w:rPr>
          <w:rFonts w:hint="eastAsia" w:ascii="仿宋_GB2312" w:eastAsia="仿宋_GB2312"/>
          <w:sz w:val="32"/>
          <w:szCs w:val="32"/>
          <w:lang w:val="en-US" w:eastAsia="zh-CN"/>
        </w:rPr>
        <w:t>22</w:t>
      </w:r>
      <w:r>
        <w:rPr>
          <w:rFonts w:hint="eastAsia" w:ascii="仿宋_GB2312" w:eastAsia="仿宋_GB2312"/>
          <w:sz w:val="32"/>
          <w:szCs w:val="32"/>
        </w:rPr>
        <w:t>年末，本单位核定编制</w:t>
      </w:r>
      <w:r>
        <w:rPr>
          <w:rFonts w:hint="eastAsia" w:ascii="仿宋_GB2312" w:eastAsia="仿宋_GB2312"/>
          <w:sz w:val="32"/>
          <w:szCs w:val="32"/>
          <w:lang w:val="en-US" w:eastAsia="zh-CN"/>
        </w:rPr>
        <w:t>9</w:t>
      </w:r>
      <w:r>
        <w:rPr>
          <w:rFonts w:hint="eastAsia" w:ascii="仿宋_GB2312" w:eastAsia="仿宋_GB2312"/>
          <w:sz w:val="32"/>
          <w:szCs w:val="32"/>
        </w:rPr>
        <w:t>人，实际在职</w:t>
      </w:r>
      <w:r>
        <w:rPr>
          <w:rFonts w:hint="eastAsia" w:ascii="仿宋_GB2312" w:eastAsia="仿宋_GB2312"/>
          <w:sz w:val="32"/>
          <w:szCs w:val="32"/>
          <w:lang w:val="en-US" w:eastAsia="zh-CN"/>
        </w:rPr>
        <w:t>10</w:t>
      </w:r>
      <w:r>
        <w:rPr>
          <w:rFonts w:hint="eastAsia" w:ascii="仿宋_GB2312" w:eastAsia="仿宋_GB2312"/>
          <w:sz w:val="32"/>
          <w:szCs w:val="32"/>
        </w:rPr>
        <w:t>人，退休职工</w:t>
      </w:r>
      <w:r>
        <w:rPr>
          <w:rFonts w:hint="eastAsia" w:ascii="仿宋_GB2312" w:eastAsia="仿宋_GB2312"/>
          <w:sz w:val="32"/>
          <w:szCs w:val="32"/>
          <w:lang w:val="en-US" w:eastAsia="zh-CN"/>
        </w:rPr>
        <w:t>6</w:t>
      </w:r>
      <w:r>
        <w:rPr>
          <w:rFonts w:hint="eastAsia" w:ascii="仿宋_GB2312" w:eastAsia="仿宋_GB2312"/>
          <w:sz w:val="32"/>
          <w:szCs w:val="32"/>
        </w:rPr>
        <w:t>人</w:t>
      </w:r>
      <w:r>
        <w:rPr>
          <w:rFonts w:hint="eastAsia" w:ascii="仿宋_GB2312" w:eastAsia="仿宋_GB2312"/>
          <w:sz w:val="32"/>
          <w:szCs w:val="32"/>
          <w:lang w:eastAsia="zh-CN"/>
        </w:rPr>
        <w:t>。</w:t>
      </w:r>
    </w:p>
    <w:p>
      <w:pPr>
        <w:widowControl w:val="0"/>
        <w:numPr>
          <w:ilvl w:val="0"/>
          <w:numId w:val="1"/>
        </w:numPr>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部门收支预决算情况</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rPr>
      </w:pPr>
      <w:r>
        <w:rPr>
          <w:rFonts w:hint="eastAsia" w:ascii="仿宋" w:hAnsi="仿宋" w:eastAsia="仿宋" w:cs="仿宋"/>
          <w:sz w:val="32"/>
          <w:szCs w:val="32"/>
          <w:lang w:val="en-US" w:eastAsia="zh-CN"/>
        </w:rPr>
        <w:t>我单位2022年度财政拨款收入306.96万元，</w:t>
      </w:r>
      <w:r>
        <w:rPr>
          <w:rFonts w:hint="eastAsia" w:ascii="仿宋_GB2312" w:eastAsia="仿宋_GB2312" w:cs="仿宋_GB2312"/>
          <w:sz w:val="32"/>
          <w:szCs w:val="32"/>
        </w:rPr>
        <w:t>年初结转和结余</w:t>
      </w:r>
      <w:r>
        <w:rPr>
          <w:rFonts w:ascii="仿宋_GB2312" w:eastAsia="仿宋_GB2312" w:cs="仿宋_GB2312"/>
          <w:sz w:val="32"/>
          <w:szCs w:val="32"/>
        </w:rPr>
        <w:t>4.94</w:t>
      </w:r>
      <w:r>
        <w:rPr>
          <w:rFonts w:hint="eastAsia" w:ascii="仿宋_GB2312" w:eastAsia="仿宋_GB2312" w:cs="仿宋_GB2312"/>
          <w:sz w:val="32"/>
          <w:szCs w:val="32"/>
        </w:rPr>
        <w:t>万元</w:t>
      </w:r>
      <w:r>
        <w:rPr>
          <w:rFonts w:hint="eastAsia" w:ascii="仿宋_GB2312" w:eastAsia="仿宋_GB2312" w:cs="仿宋_GB2312"/>
          <w:sz w:val="32"/>
          <w:szCs w:val="32"/>
          <w:lang w:eastAsia="zh-CN"/>
        </w:rPr>
        <w:t>，</w:t>
      </w:r>
      <w:r>
        <w:rPr>
          <w:rFonts w:hint="eastAsia" w:ascii="仿宋" w:hAnsi="仿宋" w:eastAsia="仿宋" w:cs="仿宋"/>
          <w:sz w:val="32"/>
          <w:szCs w:val="32"/>
          <w:lang w:val="en-US" w:eastAsia="zh-CN"/>
        </w:rPr>
        <w:t>财政拨款支出311.56万元，其中基本支出277.75万元，占总支出89.15%，项目支出33.81万元，占总支出10.85%。基本支出中</w:t>
      </w:r>
      <w:r>
        <w:rPr>
          <w:rFonts w:hint="eastAsia" w:ascii="仿宋" w:hAnsi="仿宋" w:eastAsia="仿宋" w:cs="仿宋"/>
          <w:sz w:val="32"/>
          <w:szCs w:val="32"/>
        </w:rPr>
        <w:t>人员经费</w:t>
      </w:r>
      <w:r>
        <w:rPr>
          <w:rFonts w:hint="eastAsia" w:ascii="仿宋" w:hAnsi="仿宋" w:eastAsia="仿宋" w:cs="仿宋"/>
          <w:sz w:val="32"/>
          <w:szCs w:val="32"/>
          <w:lang w:val="en-US" w:eastAsia="zh-CN"/>
        </w:rPr>
        <w:t>245.12</w:t>
      </w:r>
      <w:r>
        <w:rPr>
          <w:rFonts w:hint="eastAsia" w:ascii="仿宋" w:hAnsi="仿宋" w:eastAsia="仿宋" w:cs="仿宋"/>
          <w:sz w:val="32"/>
          <w:szCs w:val="32"/>
        </w:rPr>
        <w:t>万元，</w:t>
      </w:r>
      <w:r>
        <w:rPr>
          <w:rFonts w:hint="eastAsia" w:ascii="仿宋" w:hAnsi="仿宋" w:eastAsia="仿宋" w:cs="仿宋"/>
          <w:sz w:val="32"/>
          <w:szCs w:val="32"/>
          <w:lang w:val="en-US" w:eastAsia="zh-CN"/>
        </w:rPr>
        <w:t>占基本支出88.25%，</w:t>
      </w:r>
      <w:r>
        <w:rPr>
          <w:rFonts w:hint="eastAsia" w:ascii="仿宋" w:hAnsi="仿宋" w:eastAsia="仿宋" w:cs="仿宋"/>
          <w:sz w:val="32"/>
          <w:szCs w:val="32"/>
        </w:rPr>
        <w:t>日常公用经费</w:t>
      </w:r>
      <w:r>
        <w:rPr>
          <w:rFonts w:hint="eastAsia" w:ascii="仿宋" w:hAnsi="仿宋" w:eastAsia="仿宋" w:cs="仿宋"/>
          <w:sz w:val="32"/>
          <w:szCs w:val="32"/>
          <w:lang w:val="en-US" w:eastAsia="zh-CN"/>
        </w:rPr>
        <w:t>32.63</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占基本支出11.75%</w:t>
      </w:r>
      <w:r>
        <w:rPr>
          <w:rFonts w:hint="eastAsia" w:ascii="仿宋" w:hAnsi="仿宋" w:eastAsia="仿宋" w:cs="仿宋"/>
          <w:sz w:val="32"/>
          <w:szCs w:val="32"/>
        </w:rPr>
        <w:t>。</w:t>
      </w:r>
    </w:p>
    <w:p>
      <w:pPr>
        <w:widowControl w:val="0"/>
        <w:wordWrap/>
        <w:adjustRightInd w:val="0"/>
        <w:snapToGrid w:val="0"/>
        <w:spacing w:line="560" w:lineRule="exact"/>
        <w:ind w:left="0" w:leftChars="0" w:right="0" w:firstLine="643" w:firstLineChars="200"/>
        <w:textAlignment w:val="auto"/>
        <w:outlineLvl w:val="9"/>
        <w:rPr>
          <w:rFonts w:hint="eastAsia" w:ascii="仿宋" w:hAnsi="仿宋" w:eastAsia="仿宋" w:cs="楷体_GB2312"/>
          <w:b/>
          <w:bCs/>
          <w:sz w:val="32"/>
          <w:szCs w:val="32"/>
          <w:lang w:eastAsia="zh-CN"/>
        </w:rPr>
      </w:pPr>
      <w:r>
        <w:rPr>
          <w:rFonts w:hint="eastAsia" w:ascii="仿宋" w:hAnsi="仿宋" w:eastAsia="仿宋" w:cs="楷体_GB2312"/>
          <w:b/>
          <w:bCs/>
          <w:sz w:val="32"/>
          <w:szCs w:val="32"/>
          <w:lang w:eastAsia="zh-CN"/>
        </w:rPr>
        <w:t>（三）部门整体支出绩效目标、指标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（一）总体绩效目标</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1、引导广大科技工作者在推动科技进步、推进自主创新实践中建功立业。</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（1）提高学术交流质量，促进自主创新。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（2）推动产学研结合，促进科技成果流通转化。</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（3）组织动员广大科技工作者，着力推动科技进步与创新。</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（4）进一步扩大对外科技交流与合作，引进吸收外部智力。</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2、实施《全民科学素质行动计划纲要》，营造创新文化环境，为推动科技进步、推进科技创新培养人力资源。</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（1）实施未成年人科学素质行动，培养科技后备人才。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（2）实施农民科学素质行动，培养社会主义新农村建设人才。</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（3）实施城镇劳动人口科学素质行动，培养高素质的二三产业从业人员。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（4）实施公务员和领导干部科学素质行动，服务于公务员队伍整体科技素质的提高。</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3、建设“科技工作者之家”，为推动科技进步、推进科技创新提供人文支持。</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（1）加强人才工作，为知识与才能的充分涌流创造条件。</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（2）了解科技工作者需求，维护科技工作者合法权益。</w:t>
      </w:r>
    </w:p>
    <w:p>
      <w:pPr>
        <w:keepNext w:val="0"/>
        <w:keepLines w:val="0"/>
        <w:pageBreakBefore w:val="0"/>
        <w:widowControl w:val="0"/>
        <w:numPr>
          <w:ilvl w:val="0"/>
          <w:numId w:val="0"/>
        </w:numPr>
        <w:kinsoku/>
        <w:wordWrap/>
        <w:overflowPunct/>
        <w:topLinePunct w:val="0"/>
        <w:autoSpaceDE/>
        <w:autoSpaceDN/>
        <w:bidi w:val="0"/>
        <w:adjustRightInd/>
        <w:snapToGrid w:val="0"/>
        <w:spacing w:line="520" w:lineRule="exact"/>
        <w:ind w:firstLine="640" w:firstLineChars="200"/>
        <w:textAlignment w:val="auto"/>
        <w:outlineLvl w:val="9"/>
        <w:rPr>
          <w:rFonts w:hint="default" w:ascii="仿宋" w:hAnsi="仿宋" w:eastAsia="仿宋" w:cs="仿宋"/>
          <w:sz w:val="32"/>
          <w:szCs w:val="32"/>
          <w:lang w:val="en-US" w:eastAsia="zh-CN"/>
        </w:rPr>
      </w:pPr>
      <w:r>
        <w:rPr>
          <w:rFonts w:hint="eastAsia" w:ascii="仿宋" w:hAnsi="仿宋" w:eastAsia="仿宋" w:cs="仿宋"/>
          <w:sz w:val="32"/>
          <w:szCs w:val="32"/>
          <w:lang w:val="en-US" w:eastAsia="zh-CN"/>
        </w:rPr>
        <w:t>（3）发挥职能作用，积极建言献策，推进决策科学化、民主化。</w:t>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r>
        <w:rPr>
          <w:rFonts w:hint="eastAsia" w:ascii="仿宋" w:hAnsi="仿宋" w:eastAsia="仿宋" w:cs="仿宋"/>
          <w:sz w:val="32"/>
          <w:szCs w:val="32"/>
          <w:lang w:val="en-US" w:eastAsia="zh-CN"/>
        </w:rPr>
        <w:tab/>
      </w:r>
    </w:p>
    <w:p>
      <w:pPr>
        <w:widowControl w:val="0"/>
        <w:wordWrap/>
        <w:adjustRightInd w:val="0"/>
        <w:snapToGrid w:val="0"/>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二、自评工作</w:t>
      </w:r>
      <w:r>
        <w:rPr>
          <w:rFonts w:hint="eastAsia" w:ascii="黑体" w:hAnsi="黑体" w:eastAsia="黑体"/>
          <w:sz w:val="32"/>
          <w:szCs w:val="32"/>
          <w:lang w:eastAsia="zh-CN"/>
        </w:rPr>
        <w:t>开展</w:t>
      </w:r>
      <w:r>
        <w:rPr>
          <w:rFonts w:hint="eastAsia" w:ascii="黑体" w:hAnsi="黑体" w:eastAsia="黑体"/>
          <w:sz w:val="32"/>
          <w:szCs w:val="32"/>
        </w:rPr>
        <w:t>情况</w:t>
      </w:r>
    </w:p>
    <w:p>
      <w:pPr>
        <w:widowControl w:val="0"/>
        <w:wordWrap/>
        <w:spacing w:line="560" w:lineRule="exact"/>
        <w:ind w:left="0" w:leftChars="0" w:right="0"/>
        <w:textAlignment w:val="auto"/>
        <w:outlineLvl w:val="9"/>
        <w:rPr>
          <w:rFonts w:ascii="仿宋" w:hAnsi="仿宋" w:eastAsia="仿宋" w:cs="楷体_GB2312"/>
          <w:sz w:val="32"/>
          <w:szCs w:val="32"/>
        </w:rPr>
      </w:pPr>
      <w:r>
        <w:rPr>
          <w:rFonts w:hint="eastAsia" w:ascii="仿宋" w:hAnsi="仿宋" w:eastAsia="仿宋"/>
          <w:sz w:val="32"/>
          <w:szCs w:val="32"/>
        </w:rPr>
        <w:t xml:space="preserve">    </w:t>
      </w:r>
      <w:r>
        <w:rPr>
          <w:rFonts w:hint="eastAsia" w:ascii="仿宋" w:hAnsi="仿宋" w:eastAsia="仿宋" w:cs="楷体_GB2312"/>
          <w:b/>
          <w:bCs/>
          <w:sz w:val="32"/>
          <w:szCs w:val="32"/>
        </w:rPr>
        <w:t>（一）自评的组织工作</w:t>
      </w:r>
    </w:p>
    <w:p>
      <w:pPr>
        <w:adjustRightInd w:val="0"/>
        <w:snapToGrid w:val="0"/>
        <w:spacing w:line="520" w:lineRule="exact"/>
        <w:ind w:firstLine="640" w:firstLineChars="200"/>
        <w:rPr>
          <w:rFonts w:hint="eastAsia" w:ascii="仿宋" w:hAnsi="仿宋" w:eastAsia="仿宋"/>
          <w:sz w:val="32"/>
          <w:szCs w:val="32"/>
        </w:rPr>
      </w:pPr>
      <w:r>
        <w:rPr>
          <w:rFonts w:hint="eastAsia" w:ascii="仿宋_GB2312" w:eastAsia="仿宋_GB2312"/>
          <w:sz w:val="32"/>
          <w:szCs w:val="32"/>
        </w:rPr>
        <w:t>根据</w:t>
      </w:r>
      <w:r>
        <w:rPr>
          <w:rFonts w:hint="eastAsia" w:ascii="仿宋" w:hAnsi="仿宋" w:eastAsia="仿宋"/>
          <w:sz w:val="32"/>
          <w:szCs w:val="32"/>
          <w:lang w:eastAsia="zh-CN"/>
        </w:rPr>
        <w:t>《关于全面实施预算绩效管理的实施意见》（鹿发﹝</w:t>
      </w:r>
      <w:r>
        <w:rPr>
          <w:rFonts w:hint="eastAsia" w:ascii="仿宋" w:hAnsi="仿宋" w:eastAsia="仿宋"/>
          <w:sz w:val="32"/>
          <w:szCs w:val="32"/>
          <w:lang w:val="en-US" w:eastAsia="zh-CN"/>
        </w:rPr>
        <w:t>2019</w:t>
      </w:r>
      <w:r>
        <w:rPr>
          <w:rFonts w:hint="eastAsia" w:ascii="仿宋" w:hAnsi="仿宋" w:eastAsia="仿宋"/>
          <w:sz w:val="32"/>
          <w:szCs w:val="32"/>
          <w:lang w:eastAsia="zh-CN"/>
        </w:rPr>
        <w:t>﹞</w:t>
      </w:r>
      <w:r>
        <w:rPr>
          <w:rFonts w:hint="eastAsia" w:ascii="仿宋" w:hAnsi="仿宋" w:eastAsia="仿宋"/>
          <w:sz w:val="32"/>
          <w:szCs w:val="32"/>
          <w:lang w:val="en-US" w:eastAsia="zh-CN"/>
        </w:rPr>
        <w:t>8号</w:t>
      </w:r>
      <w:r>
        <w:rPr>
          <w:rFonts w:hint="eastAsia" w:ascii="仿宋" w:hAnsi="仿宋" w:eastAsia="仿宋"/>
          <w:sz w:val="32"/>
          <w:szCs w:val="32"/>
          <w:lang w:eastAsia="zh-CN"/>
        </w:rPr>
        <w:t>）</w:t>
      </w:r>
      <w:r>
        <w:rPr>
          <w:rFonts w:hint="eastAsia" w:ascii="仿宋_GB2312" w:eastAsia="仿宋_GB2312"/>
          <w:sz w:val="32"/>
          <w:szCs w:val="32"/>
        </w:rPr>
        <w:t>文件要求，对自评工作进行研究和部署</w:t>
      </w:r>
      <w:r>
        <w:rPr>
          <w:rFonts w:hint="eastAsia" w:ascii="仿宋_GB2312" w:eastAsia="仿宋_GB2312"/>
          <w:sz w:val="32"/>
          <w:szCs w:val="32"/>
          <w:lang w:eastAsia="zh-CN"/>
        </w:rPr>
        <w:t>。</w:t>
      </w:r>
    </w:p>
    <w:p>
      <w:pPr>
        <w:widowControl w:val="0"/>
        <w:numPr>
          <w:ilvl w:val="0"/>
          <w:numId w:val="2"/>
        </w:numPr>
        <w:wordWrap/>
        <w:spacing w:line="560" w:lineRule="exact"/>
        <w:ind w:left="642" w:leftChars="0" w:right="0" w:firstLine="0" w:firstLineChars="0"/>
        <w:textAlignment w:val="auto"/>
        <w:outlineLvl w:val="9"/>
        <w:rPr>
          <w:rFonts w:hint="eastAsia" w:ascii="仿宋" w:hAnsi="仿宋" w:eastAsia="仿宋" w:cs="楷体_GB2312"/>
          <w:b/>
          <w:bCs/>
          <w:sz w:val="32"/>
          <w:szCs w:val="32"/>
        </w:rPr>
      </w:pPr>
      <w:r>
        <w:rPr>
          <w:rFonts w:hint="eastAsia" w:ascii="仿宋" w:hAnsi="仿宋" w:eastAsia="仿宋" w:cs="楷体_GB2312"/>
          <w:b/>
          <w:bCs/>
          <w:sz w:val="32"/>
          <w:szCs w:val="32"/>
        </w:rPr>
        <w:t>自评的方法和过程</w:t>
      </w:r>
    </w:p>
    <w:p>
      <w:pPr>
        <w:adjustRightInd w:val="0"/>
        <w:snapToGrid w:val="0"/>
        <w:spacing w:line="520" w:lineRule="exact"/>
        <w:ind w:firstLine="640" w:firstLineChars="200"/>
        <w:rPr>
          <w:rFonts w:hint="eastAsia" w:ascii="仿宋" w:hAnsi="仿宋" w:eastAsia="仿宋" w:cs="楷体_GB2312"/>
          <w:b/>
          <w:bCs/>
          <w:sz w:val="32"/>
          <w:szCs w:val="32"/>
        </w:rPr>
      </w:pPr>
      <w:r>
        <w:rPr>
          <w:rFonts w:hint="eastAsia" w:ascii="仿宋_GB2312" w:eastAsia="仿宋_GB2312"/>
          <w:sz w:val="32"/>
          <w:szCs w:val="32"/>
        </w:rPr>
        <w:t>对照各实施项目的内容逐条逐项自评。部门整体支出绩效数据采集的主要依据有：年度预算报告、决算报表、金财系统综合业务数据、单位年终考核汇编等资料。</w:t>
      </w:r>
    </w:p>
    <w:p>
      <w:pPr>
        <w:widowControl w:val="0"/>
        <w:wordWrap/>
        <w:spacing w:line="560" w:lineRule="exact"/>
        <w:ind w:left="0" w:leftChars="0" w:right="0"/>
        <w:textAlignment w:val="auto"/>
        <w:outlineLvl w:val="9"/>
        <w:rPr>
          <w:rFonts w:hint="eastAsia" w:ascii="黑体" w:hAnsi="黑体" w:eastAsia="黑体"/>
          <w:b/>
          <w:bCs/>
          <w:sz w:val="32"/>
          <w:szCs w:val="32"/>
          <w:lang w:eastAsia="zh-CN"/>
        </w:rPr>
      </w:pPr>
      <w:r>
        <w:rPr>
          <w:rFonts w:hint="eastAsia" w:ascii="仿宋" w:hAnsi="仿宋" w:eastAsia="仿宋" w:cs="楷体_GB2312"/>
          <w:b/>
          <w:bCs/>
          <w:sz w:val="32"/>
          <w:szCs w:val="32"/>
        </w:rPr>
        <w:t xml:space="preserve">    </w:t>
      </w:r>
      <w:r>
        <w:rPr>
          <w:rFonts w:hint="eastAsia" w:ascii="仿宋" w:hAnsi="仿宋" w:eastAsia="仿宋"/>
          <w:b/>
          <w:bCs/>
          <w:sz w:val="32"/>
          <w:szCs w:val="32"/>
        </w:rPr>
        <w:t xml:space="preserve"> </w:t>
      </w:r>
      <w:r>
        <w:rPr>
          <w:rFonts w:hint="eastAsia" w:ascii="黑体" w:hAnsi="黑体" w:eastAsia="黑体"/>
          <w:sz w:val="32"/>
          <w:szCs w:val="32"/>
        </w:rPr>
        <w:t>三、</w:t>
      </w:r>
      <w:r>
        <w:rPr>
          <w:rFonts w:hint="eastAsia" w:ascii="黑体" w:hAnsi="黑体" w:eastAsia="黑体"/>
          <w:sz w:val="32"/>
          <w:szCs w:val="32"/>
          <w:lang w:eastAsia="zh-CN"/>
        </w:rPr>
        <w:t>部门整体支出</w:t>
      </w:r>
      <w:r>
        <w:rPr>
          <w:rFonts w:hint="eastAsia" w:ascii="黑体" w:hAnsi="黑体" w:eastAsia="黑体"/>
          <w:sz w:val="32"/>
          <w:szCs w:val="32"/>
        </w:rPr>
        <w:t>绩效</w:t>
      </w:r>
      <w:r>
        <w:rPr>
          <w:rFonts w:hint="eastAsia" w:ascii="黑体" w:hAnsi="黑体" w:eastAsia="黑体"/>
          <w:sz w:val="32"/>
          <w:szCs w:val="32"/>
          <w:lang w:eastAsia="zh-CN"/>
        </w:rPr>
        <w:t>目标实现情况及指标分析</w:t>
      </w:r>
    </w:p>
    <w:p>
      <w:pPr>
        <w:widowControl w:val="0"/>
        <w:numPr>
          <w:ilvl w:val="0"/>
          <w:numId w:val="3"/>
        </w:numPr>
        <w:wordWrap/>
        <w:spacing w:line="560" w:lineRule="exact"/>
        <w:ind w:left="0" w:leftChars="0" w:right="0" w:firstLine="643" w:firstLineChars="200"/>
        <w:textAlignment w:val="auto"/>
        <w:outlineLvl w:val="9"/>
        <w:rPr>
          <w:rFonts w:ascii="仿宋" w:hAnsi="仿宋" w:eastAsia="仿宋" w:cs="楷体_GB2312"/>
          <w:b/>
          <w:bCs/>
          <w:sz w:val="32"/>
          <w:szCs w:val="32"/>
        </w:rPr>
      </w:pPr>
      <w:r>
        <w:rPr>
          <w:rFonts w:hint="eastAsia" w:ascii="仿宋" w:hAnsi="仿宋" w:eastAsia="仿宋" w:cs="楷体_GB2312"/>
          <w:b/>
          <w:bCs/>
          <w:sz w:val="32"/>
          <w:szCs w:val="32"/>
          <w:lang w:eastAsia="zh-CN"/>
        </w:rPr>
        <w:t>总体绩效目标实现情况</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一年来，</w:t>
      </w:r>
      <w:r>
        <w:rPr>
          <w:rFonts w:hint="eastAsia" w:ascii="仿宋_GB2312" w:eastAsia="仿宋_GB2312"/>
          <w:sz w:val="32"/>
          <w:szCs w:val="32"/>
          <w:lang w:val="en-US" w:eastAsia="zh-CN"/>
        </w:rPr>
        <w:t>区</w:t>
      </w:r>
      <w:r>
        <w:rPr>
          <w:rFonts w:hint="eastAsia" w:ascii="仿宋_GB2312" w:eastAsia="仿宋_GB2312"/>
          <w:sz w:val="32"/>
          <w:szCs w:val="32"/>
        </w:rPr>
        <w:t>科协紧紧围绕全县中心工作，充分发挥党和政府联系科技工作者的桥梁和纽带作用，认真履行“四服务”工作职责，团结带领广大科技工作者，服务全</w:t>
      </w:r>
      <w:r>
        <w:rPr>
          <w:rFonts w:hint="eastAsia" w:ascii="仿宋_GB2312" w:eastAsia="仿宋_GB2312"/>
          <w:sz w:val="32"/>
          <w:szCs w:val="32"/>
          <w:lang w:val="en-US" w:eastAsia="zh-CN"/>
        </w:rPr>
        <w:t>区</w:t>
      </w:r>
      <w:r>
        <w:rPr>
          <w:rFonts w:hint="eastAsia" w:ascii="仿宋_GB2312" w:eastAsia="仿宋_GB2312"/>
          <w:sz w:val="32"/>
          <w:szCs w:val="32"/>
        </w:rPr>
        <w:t>经济社会发展，较好地完成了各项工作任务，取得了较好的成效。</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1、开展形式多样的科普宣传活动。发挥科协科普工作主要社会力量作用，动员广大科技工作者和社会力量，主动与有关部门协作，联合开展科普宣传及科技咨询活动，以“全国科普日”、“全国科技工作者日”</w:t>
      </w:r>
      <w:r>
        <w:rPr>
          <w:rFonts w:hint="eastAsia" w:ascii="仿宋_GB2312" w:eastAsia="仿宋_GB2312"/>
          <w:sz w:val="32"/>
          <w:szCs w:val="32"/>
          <w:lang w:eastAsia="zh-CN"/>
        </w:rPr>
        <w:t>、</w:t>
      </w:r>
      <w:r>
        <w:rPr>
          <w:rFonts w:hint="eastAsia" w:ascii="仿宋_GB2312" w:eastAsia="仿宋_GB2312"/>
          <w:sz w:val="32"/>
          <w:szCs w:val="32"/>
        </w:rPr>
        <w:t>“科技活动周”</w:t>
      </w:r>
      <w:r>
        <w:rPr>
          <w:rFonts w:hint="eastAsia" w:ascii="仿宋_GB2312" w:eastAsia="仿宋_GB2312"/>
          <w:sz w:val="32"/>
          <w:szCs w:val="32"/>
          <w:lang w:eastAsia="zh-CN"/>
        </w:rPr>
        <w:t>、</w:t>
      </w:r>
      <w:r>
        <w:rPr>
          <w:rFonts w:hint="eastAsia" w:ascii="仿宋_GB2312" w:eastAsia="仿宋_GB2312"/>
          <w:sz w:val="32"/>
          <w:szCs w:val="32"/>
        </w:rPr>
        <w:t>“防灾减灾日”等宣传活动为契机，在</w:t>
      </w:r>
      <w:r>
        <w:rPr>
          <w:rFonts w:hint="eastAsia" w:ascii="仿宋_GB2312" w:eastAsia="仿宋_GB2312"/>
          <w:sz w:val="32"/>
          <w:szCs w:val="32"/>
          <w:lang w:val="en-US" w:eastAsia="zh-CN"/>
        </w:rPr>
        <w:t>鹿泉区</w:t>
      </w:r>
      <w:r>
        <w:rPr>
          <w:rFonts w:hint="eastAsia" w:ascii="仿宋_GB2312" w:eastAsia="仿宋_GB2312"/>
          <w:sz w:val="32"/>
          <w:szCs w:val="32"/>
        </w:rPr>
        <w:t>及部分乡镇设置宣传点，联合相关部门为公众开展科学知识普及宣传，向群众发放了科普知识宣传手册、科技书刊、防灾减灾知识、农作物科学栽培、管理、病虫害防治措施、农药化肥科学合理使用、动物疫病防治等资料</w:t>
      </w:r>
      <w:r>
        <w:rPr>
          <w:rFonts w:hint="eastAsia" w:ascii="仿宋_GB2312" w:eastAsia="仿宋_GB2312"/>
          <w:sz w:val="32"/>
          <w:szCs w:val="32"/>
          <w:lang w:val="en-US" w:eastAsia="zh-CN"/>
        </w:rPr>
        <w:t>2000</w:t>
      </w:r>
      <w:r>
        <w:rPr>
          <w:rFonts w:hint="eastAsia" w:ascii="仿宋_GB2312" w:eastAsia="仿宋_GB2312"/>
          <w:sz w:val="32"/>
          <w:szCs w:val="32"/>
        </w:rPr>
        <w:t>份，接受群众咨询</w:t>
      </w:r>
      <w:r>
        <w:rPr>
          <w:rFonts w:hint="eastAsia" w:ascii="仿宋_GB2312" w:eastAsia="仿宋_GB2312"/>
          <w:sz w:val="32"/>
          <w:szCs w:val="32"/>
          <w:lang w:val="en-US" w:eastAsia="zh-CN"/>
        </w:rPr>
        <w:t>5000</w:t>
      </w:r>
      <w:r>
        <w:rPr>
          <w:rFonts w:hint="eastAsia" w:ascii="仿宋_GB2312" w:eastAsia="仿宋_GB2312"/>
          <w:sz w:val="32"/>
          <w:szCs w:val="32"/>
        </w:rPr>
        <w:t>人（次），受益群众达</w:t>
      </w:r>
      <w:r>
        <w:rPr>
          <w:rFonts w:hint="eastAsia" w:ascii="仿宋_GB2312" w:eastAsia="仿宋_GB2312"/>
          <w:sz w:val="32"/>
          <w:szCs w:val="32"/>
          <w:lang w:val="en-US" w:eastAsia="zh-CN"/>
        </w:rPr>
        <w:t>5000</w:t>
      </w:r>
      <w:r>
        <w:rPr>
          <w:rFonts w:hint="eastAsia" w:ascii="仿宋_GB2312" w:eastAsia="仿宋_GB2312"/>
          <w:sz w:val="32"/>
          <w:szCs w:val="32"/>
        </w:rPr>
        <w:t>人（次）。通过开展形式多样的科普宣传活动，丰富群众的科技文化生活，提高了各类科普宣传活动的吸引力和公众科普知识，促进了科技知识普及，不断提高群众科学文化素养。</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2.组织师生积极参加</w:t>
      </w:r>
      <w:r>
        <w:rPr>
          <w:rFonts w:hint="eastAsia" w:ascii="仿宋_GB2312" w:eastAsia="仿宋_GB2312"/>
          <w:sz w:val="32"/>
          <w:szCs w:val="32"/>
          <w:lang w:eastAsia="zh-CN"/>
        </w:rPr>
        <w:t>“</w:t>
      </w:r>
      <w:r>
        <w:rPr>
          <w:rFonts w:hint="eastAsia" w:ascii="仿宋_GB2312" w:eastAsia="仿宋_GB2312"/>
          <w:sz w:val="32"/>
          <w:szCs w:val="32"/>
          <w:lang w:val="en-US" w:eastAsia="zh-CN"/>
        </w:rPr>
        <w:t>科普进校园</w:t>
      </w:r>
      <w:r>
        <w:rPr>
          <w:rFonts w:hint="eastAsia" w:ascii="仿宋_GB2312" w:eastAsia="仿宋_GB2312"/>
          <w:sz w:val="32"/>
          <w:szCs w:val="32"/>
          <w:lang w:eastAsia="zh-CN"/>
        </w:rPr>
        <w:t>”</w:t>
      </w:r>
      <w:r>
        <w:rPr>
          <w:rFonts w:hint="eastAsia" w:ascii="仿宋_GB2312" w:eastAsia="仿宋_GB2312"/>
          <w:sz w:val="32"/>
          <w:szCs w:val="32"/>
        </w:rPr>
        <w:t>活动</w:t>
      </w:r>
      <w:r>
        <w:rPr>
          <w:rFonts w:hint="eastAsia" w:ascii="仿宋_GB2312" w:eastAsia="仿宋_GB2312"/>
          <w:sz w:val="32"/>
          <w:szCs w:val="32"/>
          <w:lang w:eastAsia="zh-CN"/>
        </w:rPr>
        <w:t>，</w:t>
      </w:r>
      <w:r>
        <w:rPr>
          <w:rFonts w:hint="eastAsia" w:ascii="仿宋_GB2312" w:eastAsia="仿宋_GB2312"/>
          <w:color w:val="auto"/>
          <w:sz w:val="32"/>
          <w:szCs w:val="32"/>
          <w:lang w:val="en-US" w:eastAsia="zh-CN"/>
        </w:rPr>
        <w:t>参与科普活动的同时有助于提高中小学生的创新意识</w:t>
      </w:r>
      <w:r>
        <w:rPr>
          <w:rFonts w:hint="eastAsia" w:ascii="仿宋_GB2312" w:eastAsia="仿宋_GB2312"/>
          <w:sz w:val="32"/>
          <w:szCs w:val="32"/>
        </w:rPr>
        <w:t>。</w:t>
      </w:r>
    </w:p>
    <w:p>
      <w:pPr>
        <w:adjustRightInd w:val="0"/>
        <w:snapToGrid w:val="0"/>
        <w:spacing w:line="520" w:lineRule="exact"/>
        <w:ind w:firstLine="640" w:firstLineChars="200"/>
        <w:rPr>
          <w:rFonts w:hint="default" w:ascii="仿宋_GB2312" w:eastAsia="仿宋_GB2312"/>
          <w:sz w:val="32"/>
          <w:szCs w:val="32"/>
          <w:lang w:val="en-US" w:eastAsia="zh-CN"/>
        </w:rPr>
      </w:pPr>
      <w:r>
        <w:rPr>
          <w:rFonts w:hint="eastAsia" w:ascii="仿宋_GB2312" w:eastAsia="仿宋_GB2312"/>
          <w:sz w:val="32"/>
          <w:szCs w:val="32"/>
          <w:lang w:val="en-US" w:eastAsia="zh-CN"/>
        </w:rPr>
        <w:t>3.及时维护鹿泉一中的科普画廊12期。</w:t>
      </w:r>
    </w:p>
    <w:p>
      <w:pPr>
        <w:widowControl w:val="0"/>
        <w:wordWrap/>
        <w:spacing w:line="560" w:lineRule="exact"/>
        <w:ind w:left="0" w:leftChars="0" w:right="0"/>
        <w:textAlignment w:val="auto"/>
        <w:outlineLvl w:val="9"/>
        <w:rPr>
          <w:rFonts w:hint="eastAsia" w:ascii="仿宋" w:hAnsi="仿宋" w:eastAsia="仿宋"/>
          <w:b/>
          <w:bCs/>
          <w:sz w:val="32"/>
          <w:szCs w:val="32"/>
          <w:lang w:eastAsia="zh-CN"/>
        </w:rPr>
      </w:pPr>
      <w:r>
        <w:rPr>
          <w:rFonts w:hint="eastAsia" w:ascii="仿宋" w:hAnsi="仿宋" w:eastAsia="仿宋"/>
          <w:b/>
          <w:bCs/>
          <w:sz w:val="32"/>
          <w:szCs w:val="32"/>
        </w:rPr>
        <w:t xml:space="preserve">   </w:t>
      </w:r>
      <w:r>
        <w:rPr>
          <w:rFonts w:hint="eastAsia" w:ascii="仿宋" w:hAnsi="仿宋" w:eastAsia="仿宋" w:cs="楷体_GB2312"/>
          <w:b/>
          <w:bCs/>
          <w:sz w:val="32"/>
          <w:szCs w:val="32"/>
        </w:rPr>
        <w:t xml:space="preserve"> （二）</w:t>
      </w:r>
      <w:r>
        <w:rPr>
          <w:rFonts w:hint="eastAsia" w:ascii="仿宋" w:hAnsi="仿宋" w:eastAsia="仿宋" w:cs="楷体_GB2312"/>
          <w:b/>
          <w:bCs/>
          <w:sz w:val="32"/>
          <w:szCs w:val="32"/>
          <w:lang w:eastAsia="zh-CN"/>
        </w:rPr>
        <w:t>分项绩效目标实现情况及指标分析</w:t>
      </w:r>
    </w:p>
    <w:p>
      <w:pPr>
        <w:pStyle w:val="8"/>
      </w:pPr>
      <w:r>
        <w:t>（一)科普活动成效明显，重点人群科学素质不断提升，提升居民科技创新能力。</w:t>
      </w:r>
    </w:p>
    <w:p>
      <w:pPr>
        <w:pStyle w:val="8"/>
      </w:pPr>
      <w:r>
        <w:t>绩效目标：我单位定期开展科普宣传活动，发放科技资料、图书，提高全民素养。</w:t>
      </w:r>
    </w:p>
    <w:p>
      <w:pPr>
        <w:pStyle w:val="8"/>
      </w:pPr>
      <w:r>
        <w:t>绩效指标：开展科普宣传活动6次，上半年3次，下半年3次，制作与发放的科普宣传资料不少于2000份。</w:t>
      </w:r>
    </w:p>
    <w:p>
      <w:pPr>
        <w:pStyle w:val="8"/>
      </w:pPr>
      <w:r>
        <w:rPr>
          <w:rFonts w:hint="eastAsia"/>
          <w:lang w:val="en-US" w:eastAsia="zh-CN"/>
        </w:rPr>
        <w:t>完成情况：</w:t>
      </w:r>
      <w:r>
        <w:t>展科普宣传活动6次，上半年3次，下半年3次，</w:t>
      </w:r>
      <w:r>
        <w:rPr>
          <w:rFonts w:hint="eastAsia"/>
          <w:lang w:val="en-US" w:eastAsia="zh-CN"/>
        </w:rPr>
        <w:t>每次活动持续时间为1天，</w:t>
      </w:r>
      <w:r>
        <w:t>制作与发放的科普宣传资</w:t>
      </w:r>
      <w:r>
        <w:rPr>
          <w:rFonts w:hint="eastAsia"/>
          <w:lang w:val="en-US" w:eastAsia="zh-CN"/>
        </w:rPr>
        <w:t>料</w:t>
      </w:r>
      <w:r>
        <w:t>2000份。</w:t>
      </w:r>
    </w:p>
    <w:p>
      <w:pPr>
        <w:pStyle w:val="8"/>
        <w:rPr>
          <w:rFonts w:hint="eastAsia" w:eastAsia="方正仿宋_GBK"/>
          <w:lang w:val="en-US" w:eastAsia="zh-CN"/>
        </w:rPr>
      </w:pPr>
    </w:p>
    <w:p>
      <w:pPr>
        <w:pStyle w:val="8"/>
      </w:pPr>
      <w:r>
        <w:t>（二）。由我单位组织“科普进校园”活动，提升青少年科技创新能力。</w:t>
      </w:r>
    </w:p>
    <w:p>
      <w:pPr>
        <w:pStyle w:val="8"/>
      </w:pPr>
      <w:r>
        <w:t>绩效目标：进行“科普进校园”活动，促进中小学生科技创新能力的提升。</w:t>
      </w:r>
    </w:p>
    <w:p>
      <w:pPr>
        <w:pStyle w:val="8"/>
      </w:pPr>
      <w:r>
        <w:t>绩效指标：“科普进校园”活动参与中小学不低于6所，发放科技资料、图书，</w:t>
      </w:r>
      <w:r>
        <w:rPr>
          <w:rFonts w:hint="eastAsia"/>
          <w:lang w:val="en-US" w:eastAsia="zh-CN"/>
        </w:rPr>
        <w:t>普及</w:t>
      </w:r>
      <w:r>
        <w:t>学生科学技术知识。</w:t>
      </w:r>
    </w:p>
    <w:p>
      <w:pPr>
        <w:pStyle w:val="8"/>
      </w:pPr>
      <w:r>
        <w:rPr>
          <w:rFonts w:hint="eastAsia"/>
          <w:lang w:val="en-US" w:eastAsia="zh-CN"/>
        </w:rPr>
        <w:t>完成情况：举行</w:t>
      </w:r>
      <w:r>
        <w:t>“科普进校园”活动</w:t>
      </w:r>
      <w:r>
        <w:rPr>
          <w:rFonts w:hint="eastAsia"/>
          <w:lang w:eastAsia="zh-CN"/>
        </w:rPr>
        <w:t>，</w:t>
      </w:r>
      <w:r>
        <w:rPr>
          <w:rFonts w:hint="eastAsia"/>
          <w:lang w:val="en-US" w:eastAsia="zh-CN"/>
        </w:rPr>
        <w:t>参与小学6所，</w:t>
      </w:r>
      <w:r>
        <w:t>发放科技资料、图书，</w:t>
      </w:r>
      <w:r>
        <w:rPr>
          <w:rFonts w:hint="eastAsia"/>
          <w:lang w:val="en-US" w:eastAsia="zh-CN"/>
        </w:rPr>
        <w:t>普及</w:t>
      </w:r>
      <w:r>
        <w:t>学生科学技术知识。</w:t>
      </w:r>
    </w:p>
    <w:p>
      <w:pPr>
        <w:pStyle w:val="8"/>
        <w:rPr>
          <w:rFonts w:hint="default" w:eastAsia="方正仿宋_GBK"/>
          <w:lang w:val="en-US" w:eastAsia="zh-CN"/>
        </w:rPr>
      </w:pPr>
    </w:p>
    <w:p>
      <w:pPr>
        <w:pStyle w:val="8"/>
      </w:pPr>
      <w:r>
        <w:t>（三）定期更换鹿泉一中科普橱窗。</w:t>
      </w:r>
    </w:p>
    <w:p>
      <w:pPr>
        <w:pStyle w:val="8"/>
      </w:pPr>
      <w:r>
        <w:t>绩效目标：定期更换鹿泉一中科普橱窗。由我单位负责联系广告公司，围绕鹿泉一中科普橱窗定期更改。</w:t>
      </w:r>
    </w:p>
    <w:p>
      <w:pPr>
        <w:pStyle w:val="8"/>
      </w:pPr>
      <w:r>
        <w:t>绩效指标：科普橱窗更新次数达到12次，保证一月一更换，保证科普橱窗展示最新内容。</w:t>
      </w:r>
    </w:p>
    <w:p>
      <w:pPr>
        <w:pStyle w:val="8"/>
        <w:rPr>
          <w:rFonts w:hint="default" w:eastAsia="方正仿宋_GBK"/>
          <w:lang w:val="en-US" w:eastAsia="zh-CN"/>
        </w:rPr>
      </w:pPr>
      <w:r>
        <w:rPr>
          <w:rFonts w:hint="eastAsia"/>
          <w:lang w:val="en-US" w:eastAsia="zh-CN"/>
        </w:rPr>
        <w:t>完成情况：</w:t>
      </w:r>
      <w:r>
        <w:t>科普橱窗更新</w:t>
      </w:r>
      <w:r>
        <w:rPr>
          <w:rFonts w:hint="eastAsia"/>
          <w:lang w:val="en-US" w:eastAsia="zh-CN"/>
        </w:rPr>
        <w:t>一月一次，一年总共更新12次。</w:t>
      </w:r>
    </w:p>
    <w:p>
      <w:pPr>
        <w:widowControl w:val="0"/>
        <w:wordWrap/>
        <w:spacing w:line="560" w:lineRule="exact"/>
        <w:ind w:left="0" w:leftChars="0" w:right="0" w:firstLine="640" w:firstLineChars="200"/>
        <w:textAlignment w:val="auto"/>
        <w:outlineLvl w:val="9"/>
        <w:rPr>
          <w:rFonts w:hint="eastAsia" w:ascii="仿宋" w:hAnsi="仿宋" w:eastAsia="仿宋"/>
          <w:sz w:val="32"/>
          <w:szCs w:val="32"/>
        </w:rPr>
      </w:pPr>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四、评价结论和评价等级</w:t>
      </w:r>
    </w:p>
    <w:p>
      <w:pPr>
        <w:pStyle w:val="2"/>
        <w:rPr>
          <w:rFonts w:hint="default" w:eastAsia="仿宋"/>
          <w:lang w:val="en-US" w:eastAsia="zh-CN"/>
        </w:rPr>
      </w:pPr>
      <w:r>
        <w:rPr>
          <w:rFonts w:hint="eastAsia" w:ascii="仿宋" w:hAnsi="仿宋" w:eastAsia="仿宋"/>
          <w:sz w:val="32"/>
          <w:szCs w:val="32"/>
          <w:lang w:val="en-US" w:eastAsia="zh-CN"/>
        </w:rPr>
        <w:t>根据项目执行情况和项目绩效情况，1.科普活动综合绩效评分为90分，优秀。2.老科协活动经费综合绩效评分为90分，优秀。3.关于下达2022年基层科普行动计划补助资金的通知综合绩效评分为90分，优秀。</w:t>
      </w:r>
      <w:bookmarkStart w:id="0" w:name="_GoBack"/>
      <w:bookmarkEnd w:id="0"/>
    </w:p>
    <w:p>
      <w:pPr>
        <w:widowControl w:val="0"/>
        <w:wordWrap/>
        <w:spacing w:line="560" w:lineRule="exact"/>
        <w:ind w:left="0" w:leftChars="0" w:right="0" w:firstLine="640" w:firstLineChars="200"/>
        <w:textAlignment w:val="auto"/>
        <w:outlineLvl w:val="9"/>
        <w:rPr>
          <w:rFonts w:ascii="黑体" w:hAnsi="黑体" w:eastAsia="黑体"/>
          <w:sz w:val="32"/>
          <w:szCs w:val="32"/>
        </w:rPr>
      </w:pPr>
      <w:r>
        <w:rPr>
          <w:rFonts w:hint="eastAsia" w:ascii="黑体" w:hAnsi="黑体" w:eastAsia="黑体"/>
          <w:sz w:val="32"/>
          <w:szCs w:val="32"/>
        </w:rPr>
        <w:t>五、存在的问题及改进措施</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（一）存在的主要问题</w:t>
      </w:r>
    </w:p>
    <w:p>
      <w:pPr>
        <w:widowControl w:val="0"/>
        <w:wordWrap/>
        <w:spacing w:line="560" w:lineRule="exact"/>
        <w:ind w:left="0" w:leftChars="0" w:right="0" w:firstLine="640" w:firstLineChars="200"/>
        <w:textAlignment w:val="auto"/>
        <w:outlineLvl w:val="9"/>
        <w:rPr>
          <w:rFonts w:hint="eastAsia" w:ascii="仿宋_GB2312" w:eastAsia="仿宋_GB2312"/>
          <w:sz w:val="32"/>
          <w:szCs w:val="32"/>
        </w:rPr>
      </w:pPr>
      <w:r>
        <w:rPr>
          <w:rFonts w:hint="eastAsia" w:ascii="仿宋_GB2312" w:eastAsia="仿宋_GB2312"/>
          <w:sz w:val="32"/>
          <w:szCs w:val="32"/>
        </w:rPr>
        <w:t>1、存在问题：（1）对科普工作认识不足。多数</w:t>
      </w:r>
      <w:r>
        <w:rPr>
          <w:rFonts w:hint="eastAsia" w:ascii="仿宋_GB2312" w:eastAsia="仿宋_GB2312"/>
          <w:sz w:val="32"/>
          <w:szCs w:val="32"/>
          <w:lang w:val="en-US" w:eastAsia="zh-CN"/>
        </w:rPr>
        <w:t>人员</w:t>
      </w:r>
      <w:r>
        <w:rPr>
          <w:rFonts w:hint="eastAsia" w:ascii="仿宋_GB2312" w:eastAsia="仿宋_GB2312"/>
          <w:sz w:val="32"/>
          <w:szCs w:val="32"/>
        </w:rPr>
        <w:t>认为，科普知识只对人们的思想认识起潜移默化的作用，不能立即转化为生产力。他们觉得，即使把科普工作抓得再好，也不能当饭吃，抓得不好，也不会对自己有什么影响，于是成天把更多的心思都放在如何把经济指标最大化上，而很少用心考虑如何把科普工作放在相应的位置。（2）基层科协组织工作开展不扎实。由于基层领导对科协工作认识不足，因此，在工作安排上，就很难把科普工作摆上议事日程。致使科普工作</w:t>
      </w:r>
      <w:r>
        <w:rPr>
          <w:rFonts w:hint="eastAsia" w:ascii="仿宋_GB2312" w:eastAsia="仿宋_GB2312"/>
          <w:sz w:val="32"/>
          <w:szCs w:val="32"/>
          <w:lang w:val="en-US" w:eastAsia="zh-CN"/>
        </w:rPr>
        <w:t>进行困难，制度不完善。</w:t>
      </w:r>
      <w:r>
        <w:rPr>
          <w:rFonts w:hint="eastAsia" w:ascii="仿宋_GB2312" w:eastAsia="仿宋_GB2312"/>
          <w:sz w:val="32"/>
          <w:szCs w:val="32"/>
        </w:rPr>
        <w:t>。</w:t>
      </w:r>
    </w:p>
    <w:p>
      <w:pPr>
        <w:widowControl w:val="0"/>
        <w:wordWrap/>
        <w:spacing w:line="560" w:lineRule="exact"/>
        <w:ind w:left="0" w:leftChars="0" w:right="0" w:firstLine="643" w:firstLineChars="200"/>
        <w:textAlignment w:val="auto"/>
        <w:outlineLvl w:val="9"/>
        <w:rPr>
          <w:rFonts w:hint="eastAsia" w:ascii="仿宋" w:hAnsi="仿宋" w:eastAsia="仿宋"/>
          <w:b/>
          <w:bCs/>
          <w:sz w:val="32"/>
          <w:szCs w:val="32"/>
        </w:rPr>
      </w:pPr>
      <w:r>
        <w:rPr>
          <w:rFonts w:hint="eastAsia" w:ascii="仿宋" w:hAnsi="仿宋" w:eastAsia="仿宋"/>
          <w:b/>
          <w:bCs/>
          <w:sz w:val="32"/>
          <w:szCs w:val="32"/>
        </w:rPr>
        <w:t>（二）针对问题提出具体的改进措施或建议</w:t>
      </w:r>
    </w:p>
    <w:p>
      <w:pPr>
        <w:adjustRightInd w:val="0"/>
        <w:snapToGrid w:val="0"/>
        <w:spacing w:line="520" w:lineRule="exact"/>
        <w:ind w:firstLine="640" w:firstLineChars="200"/>
        <w:rPr>
          <w:rFonts w:hint="eastAsia" w:ascii="仿宋_GB2312" w:eastAsia="仿宋_GB2312"/>
          <w:sz w:val="32"/>
          <w:szCs w:val="32"/>
        </w:rPr>
      </w:pPr>
      <w:r>
        <w:rPr>
          <w:rFonts w:hint="eastAsia" w:ascii="仿宋_GB2312" w:eastAsia="仿宋_GB2312"/>
          <w:sz w:val="32"/>
          <w:szCs w:val="32"/>
        </w:rPr>
        <w:t>（1）大力提高科普工作地位。一是要把贯彻落实《科普法》实行“一把手”负责制度。确实提高一把手的思想认识，要把农村科普工作为党和政府做好农村工作的重要举措和党委政府抓农村工作的重要内容，纳入工作重点，加强领导，统一部署，增强农村科普工作地位，推动农村科普工作的深入开展。二是要把科协工作纳于年终考核体系。只有这样才能使《科普法》的贯彻实施不流于形式，收到实际的效果。</w:t>
      </w:r>
    </w:p>
    <w:p>
      <w:pPr>
        <w:adjustRightInd w:val="0"/>
        <w:snapToGrid w:val="0"/>
        <w:spacing w:line="520" w:lineRule="exact"/>
        <w:ind w:firstLine="640" w:firstLineChars="200"/>
        <w:rPr>
          <w:rFonts w:hint="eastAsia" w:ascii="仿宋" w:hAnsi="仿宋" w:eastAsia="仿宋"/>
          <w:b/>
          <w:bCs/>
          <w:sz w:val="32"/>
          <w:szCs w:val="32"/>
        </w:rPr>
      </w:pPr>
      <w:r>
        <w:rPr>
          <w:rFonts w:hint="eastAsia" w:ascii="仿宋_GB2312" w:eastAsia="仿宋_GB2312"/>
          <w:sz w:val="32"/>
          <w:szCs w:val="32"/>
        </w:rPr>
        <w:t>（2）要加强队伍建设。一是要稳定乡镇科协干部，调动积极性；二是要加强农村科普员队伍建设，妥善解决好农村各类科技人才做农村科普工作的误工补贴问题，保护好农村科普队伍的积极性；三是要壮大农民专家科技服务团队伍，加强教育培训，给任务、给条件，扶持其发展，充分发挥其积极作用。</w:t>
      </w:r>
    </w:p>
    <w:p>
      <w:pPr>
        <w:widowControl w:val="0"/>
        <w:wordWrap/>
        <w:adjustRightInd w:val="0"/>
        <w:snapToGrid w:val="0"/>
        <w:spacing w:line="560" w:lineRule="exact"/>
        <w:ind w:left="0" w:leftChars="0" w:right="0" w:firstLine="640" w:firstLineChars="200"/>
        <w:textAlignment w:val="auto"/>
        <w:outlineLvl w:val="9"/>
        <w:rPr>
          <w:rFonts w:hint="eastAsia" w:ascii="黑体" w:hAnsi="黑体" w:eastAsia="黑体" w:cs="黑体"/>
          <w:sz w:val="32"/>
          <w:szCs w:val="32"/>
        </w:rPr>
      </w:pPr>
      <w:r>
        <w:rPr>
          <w:rFonts w:hint="eastAsia" w:ascii="黑体" w:hAnsi="黑体" w:eastAsia="黑体" w:cs="黑体"/>
          <w:sz w:val="32"/>
          <w:szCs w:val="32"/>
        </w:rPr>
        <w:t>六、评价工作组人员名单及签字（姓名、工作单位、职务、职称）</w:t>
      </w:r>
    </w:p>
    <w:p>
      <w:pPr>
        <w:pStyle w:val="2"/>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  科协主席：李爱永</w:t>
      </w:r>
    </w:p>
    <w:p>
      <w:pPr>
        <w:pStyle w:val="2"/>
        <w:ind w:firstLine="960" w:firstLineChars="300"/>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科协副主席：王涛</w:t>
      </w:r>
    </w:p>
    <w:p>
      <w:pPr>
        <w:pStyle w:val="2"/>
        <w:ind w:firstLine="960" w:firstLineChars="300"/>
        <w:rPr>
          <w:rFonts w:hint="default" w:ascii="黑体" w:hAnsi="黑体" w:eastAsia="黑体" w:cs="黑体"/>
          <w:sz w:val="32"/>
          <w:szCs w:val="32"/>
          <w:lang w:val="en-US" w:eastAsia="zh-CN"/>
        </w:rPr>
      </w:pPr>
      <w:r>
        <w:rPr>
          <w:rFonts w:hint="eastAsia" w:ascii="黑体" w:hAnsi="黑体" w:eastAsia="黑体" w:cs="黑体"/>
          <w:sz w:val="32"/>
          <w:szCs w:val="32"/>
          <w:lang w:val="en-US" w:eastAsia="zh-CN"/>
        </w:rPr>
        <w:t>科协副主席：朱永刚</w:t>
      </w:r>
    </w:p>
    <w:p>
      <w:pPr>
        <w:widowControl w:val="0"/>
        <w:wordWrap/>
        <w:spacing w:line="560" w:lineRule="exact"/>
        <w:ind w:left="0" w:leftChars="0" w:right="0"/>
        <w:textAlignment w:val="auto"/>
        <w:outlineLvl w:val="9"/>
        <w:rPr>
          <w:rFonts w:ascii="仿宋" w:hAnsi="仿宋" w:eastAsia="仿宋"/>
        </w:rPr>
      </w:pPr>
    </w:p>
    <w:sectPr>
      <w:footerReference r:id="rId3" w:type="default"/>
      <w:pgSz w:w="11906" w:h="16838"/>
      <w:pgMar w:top="1440" w:right="1474" w:bottom="1440" w:left="1587" w:header="851" w:footer="992" w:gutter="0"/>
      <w:pgNumType w:fmt="numberInDash"/>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仿宋_GB2312">
    <w:altName w:val="仿宋"/>
    <w:panose1 w:val="02010609030101010101"/>
    <w:charset w:val="86"/>
    <w:family w:val="auto"/>
    <w:pitch w:val="default"/>
    <w:sig w:usb0="00000000" w:usb1="00000000" w:usb2="00000000" w:usb3="00000000" w:csb0="00040000" w:csb1="00000000"/>
  </w:font>
  <w:font w:name="华文楷体">
    <w:altName w:val="宋体"/>
    <w:panose1 w:val="02010600040101010101"/>
    <w:charset w:val="86"/>
    <w:family w:val="auto"/>
    <w:pitch w:val="default"/>
    <w:sig w:usb0="00000000" w:usb1="00000000" w:usb2="00000000" w:usb3="00000000" w:csb0="0004009F" w:csb1="DFD70000"/>
  </w:font>
  <w:font w:name="仿宋">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auto"/>
    <w:pitch w:val="default"/>
    <w:sig w:usb0="00000000" w:usb1="0000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rFonts w:ascii="Calibri" w:hAnsi="Calibri" w:eastAsia="宋体" w:cs="黑体"/>
        <w:kern w:val="2"/>
        <w:sz w:val="18"/>
        <w:szCs w:val="22"/>
        <w:lang w:val="en-US" w:eastAsia="zh-CN" w:bidi="ar-SA"/>
      </w:rPr>
      <mc:AlternateContent>
        <mc:Choice Requires="wps">
          <w:drawing>
            <wp:anchor distT="0" distB="0" distL="114300" distR="114300" simplePos="0" relativeHeight="251658240"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Quad Arrow 307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wps:txbx>
                    <wps:bodyPr wrap="none" lIns="0" tIns="0" rIns="0" bIns="0" upright="1">
                      <a:spAutoFit/>
                    </wps:bodyPr>
                  </wps:wsp>
                </a:graphicData>
              </a:graphic>
            </wp:anchor>
          </w:drawing>
        </mc:Choice>
        <mc:Fallback>
          <w:pict>
            <v:shape id="Quad Arrow 3073" o:spid="_x0000_s1026" o:spt="202" type="#_x0000_t202" style="position:absolute;left:0pt;margin-top:0pt;height:144pt;width:144pt;mso-position-horizontal:center;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">
              <v:fill on="f" focussize="0,0"/>
              <v:stroke on="f"/>
              <v:imagedata o:title=""/>
              <o:lock v:ext="edit" aspectratio="f"/>
              <v:textbox inset="0mm,0mm,0mm,0mm" style="mso-fit-shape-to-text:t;">
                <w:txbxContent>
                  <w:p>
                    <w:pPr>
                      <w:snapToGrid w:val="0"/>
                      <w:rPr>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t>- 1 -</w:t>
                    </w:r>
                    <w:r>
                      <w:rPr>
                        <w:rFonts w:hint="eastAsia"/>
                        <w:sz w:val="18"/>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BA1A49E"/>
    <w:multiLevelType w:val="singleLevel"/>
    <w:tmpl w:val="BBA1A49E"/>
    <w:lvl w:ilvl="0" w:tentative="0">
      <w:start w:val="2"/>
      <w:numFmt w:val="chineseCounting"/>
      <w:suff w:val="nothing"/>
      <w:lvlText w:val="（%1）"/>
      <w:lvlJc w:val="left"/>
      <w:rPr>
        <w:rFonts w:hint="eastAsia"/>
      </w:rPr>
    </w:lvl>
  </w:abstractNum>
  <w:abstractNum w:abstractNumId="1">
    <w:nsid w:val="0516AA81"/>
    <w:multiLevelType w:val="singleLevel"/>
    <w:tmpl w:val="0516AA81"/>
    <w:lvl w:ilvl="0" w:tentative="0">
      <w:start w:val="2"/>
      <w:numFmt w:val="chineseCounting"/>
      <w:suff w:val="nothing"/>
      <w:lvlText w:val="（%1）"/>
      <w:lvlJc w:val="left"/>
      <w:pPr>
        <w:ind w:left="642" w:leftChars="0" w:firstLine="0" w:firstLineChars="0"/>
      </w:pPr>
      <w:rPr>
        <w:rFonts w:hint="eastAsia"/>
      </w:rPr>
    </w:lvl>
  </w:abstractNum>
  <w:abstractNum w:abstractNumId="2">
    <w:nsid w:val="5E68489B"/>
    <w:multiLevelType w:val="singleLevel"/>
    <w:tmpl w:val="5E68489B"/>
    <w:lvl w:ilvl="0" w:tentative="0">
      <w:start w:val="1"/>
      <w:numFmt w:val="chineseCounting"/>
      <w:suff w:val="nothing"/>
      <w:lvlText w:val="（%1）"/>
      <w:lvlJc w:val="left"/>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EBD2122"/>
    <w:rsid w:val="007E6C1F"/>
    <w:rsid w:val="00AF566A"/>
    <w:rsid w:val="00B6553A"/>
    <w:rsid w:val="01B104CA"/>
    <w:rsid w:val="02106AB0"/>
    <w:rsid w:val="02B43A28"/>
    <w:rsid w:val="046F331E"/>
    <w:rsid w:val="0588663E"/>
    <w:rsid w:val="07956271"/>
    <w:rsid w:val="09721397"/>
    <w:rsid w:val="0BB63BED"/>
    <w:rsid w:val="0BFC6621"/>
    <w:rsid w:val="0DB17C28"/>
    <w:rsid w:val="0EB97A43"/>
    <w:rsid w:val="0EBD2122"/>
    <w:rsid w:val="0F214EAE"/>
    <w:rsid w:val="11B71E6A"/>
    <w:rsid w:val="18DC3AD8"/>
    <w:rsid w:val="1AAF0063"/>
    <w:rsid w:val="1BE140DE"/>
    <w:rsid w:val="248C197D"/>
    <w:rsid w:val="252959AF"/>
    <w:rsid w:val="277A6671"/>
    <w:rsid w:val="292D35B7"/>
    <w:rsid w:val="2A594280"/>
    <w:rsid w:val="33EB6CFF"/>
    <w:rsid w:val="35A12947"/>
    <w:rsid w:val="37387040"/>
    <w:rsid w:val="3B625C0A"/>
    <w:rsid w:val="3CEE1963"/>
    <w:rsid w:val="4C9C27FE"/>
    <w:rsid w:val="512260B4"/>
    <w:rsid w:val="52BD6ACB"/>
    <w:rsid w:val="55537534"/>
    <w:rsid w:val="561A74F1"/>
    <w:rsid w:val="597244E8"/>
    <w:rsid w:val="5C5F4AA2"/>
    <w:rsid w:val="5EB71C30"/>
    <w:rsid w:val="66AF0CE5"/>
    <w:rsid w:val="6A6F091C"/>
    <w:rsid w:val="6AC537CF"/>
    <w:rsid w:val="6E5B14A6"/>
    <w:rsid w:val="711B255E"/>
    <w:rsid w:val="7317199D"/>
    <w:rsid w:val="7BB51E06"/>
    <w:rsid w:val="7C387F7C"/>
    <w:rsid w:val="7CA611F0"/>
    <w:rsid w:val="7FE8342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黑体"/>
      <w:kern w:val="2"/>
      <w:sz w:val="21"/>
      <w:szCs w:val="22"/>
      <w:lang w:val="en-US" w:eastAsia="zh-CN" w:bidi="ar-SA"/>
    </w:rPr>
  </w:style>
  <w:style w:type="character" w:default="1" w:styleId="6">
    <w:name w:val="Default Paragraph Font"/>
    <w:unhideWhenUsed/>
    <w:qFormat/>
    <w:uiPriority w:val="1"/>
  </w:style>
  <w:style w:type="table" w:default="1" w:styleId="5">
    <w:name w:val="Normal Table"/>
    <w:unhideWhenUsed/>
    <w:qFormat/>
    <w:uiPriority w:val="99"/>
    <w:tblPr>
      <w:tblCellMar>
        <w:top w:w="0" w:type="dxa"/>
        <w:left w:w="108" w:type="dxa"/>
        <w:bottom w:w="0" w:type="dxa"/>
        <w:right w:w="108" w:type="dxa"/>
      </w:tblCellMar>
    </w:tblPr>
  </w:style>
  <w:style w:type="paragraph" w:customStyle="1" w:styleId="2">
    <w:name w:val="Normal Indent1"/>
    <w:basedOn w:val="1"/>
    <w:qFormat/>
    <w:uiPriority w:val="99"/>
    <w:pPr>
      <w:ind w:firstLine="420" w:firstLineChars="200"/>
    </w:p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rFonts w:ascii="Times New Roman" w:hAnsi="Times New Roman"/>
      <w:sz w:val="18"/>
    </w:rPr>
  </w:style>
  <w:style w:type="paragraph" w:customStyle="1" w:styleId="7">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8">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1</Pages>
  <Words>160</Words>
  <Characters>916</Characters>
  <Lines>7</Lines>
  <Paragraphs>2</Paragraphs>
  <TotalTime>2</TotalTime>
  <ScaleCrop>false</ScaleCrop>
  <LinksUpToDate>false</LinksUpToDate>
  <CharactersWithSpaces>0</CharactersWithSpaces>
  <Application>WPS Office_11.8.2.8875_F1E327BC-269C-435d-A152-05C5408002CA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2020-02-04T03:46:00Z</dcterms:created>
  <dc:creator>欣欣大人</dc:creator>
  <cp:lastModifiedBy>Administrator</cp:lastModifiedBy>
  <cp:lastPrinted>2022-01-19T07:24:00Z</cp:lastPrinted>
  <dcterms:modified xsi:type="dcterms:W3CDTF">2023-09-26T01:54:10Z</dcterms:modified>
  <dc:title>附件3：</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