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12.odttf" ContentType="application/vnd.openxmlformats-officedocument.obfuscatedFont"/>
  <Override PartName="/word/fonts/font13.odttf" ContentType="application/vnd.openxmlformats-officedocument.obfuscatedFont"/>
  <Override PartName="/word/fonts/font14.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Theme="minorEastAsia" w:hAnsiTheme="minorEastAsia" w:eastAsiaTheme="minorEastAsia"/>
          <w:b/>
          <w:sz w:val="72"/>
          <w:szCs w:val="72"/>
        </w:rPr>
      </w:pPr>
      <w:bookmarkStart w:id="2" w:name="_GoBack"/>
      <w:bookmarkEnd w:id="2"/>
      <w:r>
        <w:rPr>
          <w:rFonts w:hint="eastAsia" w:hAnsi="宋体" w:asciiTheme="minorEastAsia" w:eastAsiaTheme="minorEastAsia"/>
          <w:color w:val="002060"/>
          <w:sz w:val="72"/>
          <w:szCs w:val="72"/>
        </w:rPr>
        <w:drawing>
          <wp:anchor distT="0" distB="0" distL="114300" distR="114300" simplePos="0" relativeHeight="251675648" behindDoc="1" locked="0" layoutInCell="1" allowOverlap="1">
            <wp:simplePos x="0" y="0"/>
            <wp:positionH relativeFrom="column">
              <wp:posOffset>-1009015</wp:posOffset>
            </wp:positionH>
            <wp:positionV relativeFrom="paragraph">
              <wp:posOffset>-632460</wp:posOffset>
            </wp:positionV>
            <wp:extent cx="7576820" cy="10796905"/>
            <wp:effectExtent l="0" t="0" r="5080" b="4445"/>
            <wp:wrapNone/>
            <wp:docPr id="7" name="图片 7" descr="wc 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wc ga"/>
                    <pic:cNvPicPr>
                      <a:picLocks noChangeAspect="1"/>
                    </pic:cNvPicPr>
                  </pic:nvPicPr>
                  <pic:blipFill>
                    <a:blip r:embed="rId6"/>
                    <a:stretch>
                      <a:fillRect/>
                    </a:stretch>
                  </pic:blipFill>
                  <pic:spPr>
                    <a:xfrm>
                      <a:off x="0" y="0"/>
                      <a:ext cx="7576820" cy="10796905"/>
                    </a:xfrm>
                    <a:prstGeom prst="rect">
                      <a:avLst/>
                    </a:prstGeom>
                  </pic:spPr>
                </pic:pic>
              </a:graphicData>
            </a:graphic>
          </wp:anchor>
        </w:drawing>
      </w:r>
    </w:p>
    <w:p>
      <w:pPr>
        <w:widowControl/>
        <w:jc w:val="center"/>
        <w:rPr>
          <w:rFonts w:asciiTheme="minorEastAsia" w:hAnsiTheme="minorEastAsia" w:eastAsiaTheme="minorEastAsia"/>
          <w:b/>
          <w:sz w:val="72"/>
          <w:szCs w:val="72"/>
        </w:rPr>
      </w:pPr>
    </w:p>
    <w:p>
      <w:pPr>
        <w:widowControl/>
        <w:jc w:val="center"/>
        <w:rPr>
          <w:rFonts w:hAnsi="宋体" w:asciiTheme="minorEastAsia" w:eastAsiaTheme="minorEastAsia"/>
          <w:color w:val="002060"/>
          <w:sz w:val="72"/>
          <w:szCs w:val="72"/>
        </w:rPr>
      </w:pPr>
      <w:r>
        <w:rPr>
          <w:sz w:val="72"/>
        </w:rPr>
        <mc:AlternateContent>
          <mc:Choice Requires="wps">
            <w:drawing>
              <wp:anchor distT="0" distB="0" distL="114300" distR="114300" simplePos="0" relativeHeight="251666432" behindDoc="0" locked="0" layoutInCell="1" allowOverlap="1">
                <wp:simplePos x="0" y="0"/>
                <wp:positionH relativeFrom="column">
                  <wp:posOffset>-1055370</wp:posOffset>
                </wp:positionH>
                <wp:positionV relativeFrom="paragraph">
                  <wp:posOffset>549275</wp:posOffset>
                </wp:positionV>
                <wp:extent cx="7571740" cy="2111375"/>
                <wp:effectExtent l="0" t="0" r="0" b="0"/>
                <wp:wrapNone/>
                <wp:docPr id="5" name="文本框 8"/>
                <wp:cNvGraphicFramePr/>
                <a:graphic xmlns:a="http://schemas.openxmlformats.org/drawingml/2006/main">
                  <a:graphicData uri="http://schemas.microsoft.com/office/word/2010/wordprocessingShape">
                    <wps:wsp>
                      <wps:cNvSpPr txBox="1"/>
                      <wps:spPr>
                        <a:xfrm>
                          <a:off x="1435100" y="2519045"/>
                          <a:ext cx="7571740" cy="211137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石家庄市鹿泉区广播电视台</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w:t>
                            </w:r>
                          </w:p>
                          <w:p>
                            <w:pPr>
                              <w:rPr>
                                <w:color w:val="FDEFBE"/>
                                <w:sz w:val="96"/>
                                <w:szCs w:val="96"/>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8" o:spid="_x0000_s1026" o:spt="202" type="#_x0000_t202" style="position:absolute;left:0pt;margin-left:-83.1pt;margin-top:43.25pt;height:166.25pt;width:596.2pt;z-index:251666432;mso-width-relative:page;mso-height-relative:page;" filled="f" stroked="f" coordsize="21600,21600" o:gfxdata="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">
                <v:fill on="f" focussize="0,0"/>
                <v:stroke on="f" weight="0.5pt"/>
                <v:imagedata o:title=""/>
                <o:lock v:ext="edit" aspectratio="f"/>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石家庄市鹿泉区广播电视台</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w:t>
                      </w:r>
                    </w:p>
                    <w:p>
                      <w:pPr>
                        <w:rPr>
                          <w:color w:val="FDEFBE"/>
                          <w:sz w:val="96"/>
                          <w:szCs w:val="96"/>
                        </w:rPr>
                      </w:pPr>
                    </w:p>
                  </w:txbxContent>
                </v:textbox>
              </v:shape>
            </w:pict>
          </mc:Fallback>
        </mc:AlternateContent>
      </w: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微软雅黑" w:hAnsi="微软雅黑" w:eastAsia="微软雅黑" w:cs="微软雅黑"/>
          <w:b/>
          <w:sz w:val="40"/>
          <w:szCs w:val="40"/>
        </w:rPr>
        <w:sectPr>
          <w:pgSz w:w="11906" w:h="16838"/>
          <w:pgMar w:top="2098" w:right="1474" w:bottom="1985" w:left="1588" w:header="851" w:footer="992" w:gutter="0"/>
          <w:cols w:space="425" w:num="1"/>
          <w:docGrid w:type="lines" w:linePitch="312" w:charSpace="0"/>
        </w:sectPr>
      </w:pPr>
      <w:r>
        <w:rPr>
          <w:rFonts w:hint="eastAsia" w:ascii="楷体_GB2312" w:hAnsi="楷体" w:eastAsia="楷体_GB2312" w:cs="楷体"/>
          <w:b/>
          <w:sz w:val="40"/>
          <w:szCs w:val="40"/>
        </w:rPr>
        <w:t>二</w:t>
      </w:r>
      <w:r>
        <w:rPr>
          <w:rFonts w:hint="eastAsia" w:ascii="宋体" w:hAnsi="宋体" w:cs="宋体"/>
          <w:b/>
          <w:sz w:val="40"/>
          <w:szCs w:val="40"/>
        </w:rPr>
        <w:t>〇</w:t>
      </w:r>
      <w:r>
        <w:rPr>
          <w:rFonts w:hint="eastAsia" w:ascii="楷体_GB2312" w:hAnsi="楷体_GB2312" w:eastAsia="楷体_GB2312" w:cs="楷体_GB2312"/>
          <w:b/>
          <w:sz w:val="40"/>
          <w:szCs w:val="40"/>
        </w:rPr>
        <w:t>一九年九</w:t>
      </w:r>
      <w:r>
        <w:rPr>
          <w:rFonts w:hint="eastAsia" w:ascii="楷体_GB2312" w:hAnsi="楷体" w:eastAsia="楷体_GB2312" w:cs="楷体"/>
          <w:b/>
          <w:sz w:val="40"/>
          <w:szCs w:val="40"/>
        </w:rPr>
        <w:t>月</w:t>
      </w:r>
    </w:p>
    <w:p>
      <w:pPr>
        <w:widowControl/>
        <w:rPr>
          <w:rFonts w:ascii="楷体_GB2312" w:hAnsi="楷体" w:cs="楷体" w:eastAsiaTheme="minorEastAsia"/>
          <w:b/>
          <w:sz w:val="40"/>
          <w:szCs w:val="40"/>
        </w:rPr>
        <w:sectPr>
          <w:pgSz w:w="11906" w:h="16838"/>
          <w:pgMar w:top="2098" w:right="1474" w:bottom="1985" w:left="1588" w:header="851" w:footer="992" w:gutter="0"/>
          <w:cols w:space="425" w:num="1"/>
          <w:docGrid w:type="lines" w:linePitch="312" w:charSpace="0"/>
        </w:sectPr>
      </w:pPr>
    </w:p>
    <w:p>
      <w:pPr>
        <w:widowControl/>
        <w:rPr>
          <w:rFonts w:ascii="楷体" w:hAnsi="楷体" w:eastAsia="楷体" w:cs="楷体"/>
          <w:b/>
          <w:sz w:val="40"/>
          <w:szCs w:val="40"/>
        </w:rPr>
      </w:pPr>
    </w:p>
    <w:p>
      <w:pPr>
        <w:spacing w:before="624" w:beforeLines="200" w:after="0" w:line="1000" w:lineRule="exact"/>
        <w:jc w:val="center"/>
        <w:rPr>
          <w:rFonts w:ascii="黑体" w:eastAsia="黑体"/>
          <w:sz w:val="48"/>
          <w:szCs w:val="48"/>
        </w:rPr>
      </w:pPr>
      <w:r>
        <w:rPr>
          <w:sz w:val="48"/>
          <w:szCs w:val="28"/>
        </w:rPr>
        <mc:AlternateContent>
          <mc:Choice Requires="wpg">
            <w:drawing>
              <wp:anchor distT="0" distB="0" distL="114300" distR="114300" simplePos="0" relativeHeight="251674624" behindDoc="0" locked="1" layoutInCell="1" allowOverlap="0">
                <wp:simplePos x="0" y="0"/>
                <wp:positionH relativeFrom="column">
                  <wp:posOffset>-1026160</wp:posOffset>
                </wp:positionH>
                <wp:positionV relativeFrom="page">
                  <wp:posOffset>507365</wp:posOffset>
                </wp:positionV>
                <wp:extent cx="3175635" cy="593090"/>
                <wp:effectExtent l="3175" t="0" r="2540" b="16510"/>
                <wp:wrapNone/>
                <wp:docPr id="26" name="组合 179"/>
                <wp:cNvGraphicFramePr/>
                <a:graphic xmlns:a="http://schemas.openxmlformats.org/drawingml/2006/main">
                  <a:graphicData uri="http://schemas.microsoft.com/office/word/2010/wordprocessingGroup">
                    <wpg:wgp>
                      <wpg:cNvGrpSpPr/>
                      <wpg:grpSpPr>
                        <a:xfrm>
                          <a:off x="0" y="0"/>
                          <a:ext cx="3175635" cy="593090"/>
                          <a:chOff x="4551" y="52615"/>
                          <a:chExt cx="8546" cy="1398"/>
                        </a:xfrm>
                      </wpg:grpSpPr>
                      <wps:wsp>
                        <wps:cNvPr id="24" name="矩形 13"/>
                        <wps:cNvSpPr/>
                        <wps:spPr>
                          <a:xfrm>
                            <a:off x="4551" y="52615"/>
                            <a:ext cx="8546" cy="1175"/>
                          </a:xfrm>
                          <a:prstGeom prst="rect">
                            <a:avLst/>
                          </a:prstGeom>
                          <a:solidFill>
                            <a:srgbClr val="D8D8D8"/>
                          </a:solidFill>
                          <a:ln w="25400">
                            <a:noFill/>
                          </a:ln>
                        </wps:spPr>
                        <wps:bodyPr anchor="ctr" anchorCtr="0" upright="1"/>
                      </wps:wsp>
                      <wps:wsp>
                        <wps:cNvPr id="25" name="矩形 14"/>
                        <wps:cNvSpPr/>
                        <wps:spPr>
                          <a:xfrm>
                            <a:off x="4577" y="52890"/>
                            <a:ext cx="8324" cy="1123"/>
                          </a:xfrm>
                          <a:prstGeom prst="rect">
                            <a:avLst/>
                          </a:prstGeom>
                          <a:solidFill>
                            <a:srgbClr val="AD002D"/>
                          </a:solidFill>
                          <a:ln w="25400" cap="flat" cmpd="sng">
                            <a:solidFill>
                              <a:srgbClr val="845209"/>
                            </a:solidFill>
                            <a:prstDash val="solid"/>
                            <a:miter/>
                            <a:headEnd type="none" w="med" len="med"/>
                            <a:tailEnd type="none" w="med" len="med"/>
                          </a:ln>
                        </wps:spPr>
                        <wps:txbx>
                          <w:txbxContent>
                            <w:p>
                              <w:pPr>
                                <w:widowControl/>
                                <w:jc w:val="left"/>
                                <w:rPr>
                                  <w:rFonts w:ascii="楷体" w:hAnsi="楷体" w:eastAsia="楷体" w:cs="楷体"/>
                                  <w:b/>
                                  <w:bCs/>
                                  <w:color w:val="FDEFBE"/>
                                  <w:sz w:val="36"/>
                                  <w:szCs w:val="36"/>
                                </w:rPr>
                              </w:pPr>
                              <w:r>
                                <w:rPr>
                                  <w:rFonts w:hint="eastAsia" w:ascii="楷体" w:hAnsi="楷体" w:eastAsia="楷体" w:cs="楷体"/>
                                  <w:b/>
                                  <w:bCs/>
                                  <w:color w:val="FDEFBE"/>
                                  <w:kern w:val="0"/>
                                  <w:sz w:val="36"/>
                                  <w:szCs w:val="36"/>
                                </w:rPr>
                                <w:t>2018年度部门决算☞目 录</w:t>
                              </w:r>
                            </w:p>
                            <w:p>
                              <w:pPr>
                                <w:jc w:val="center"/>
                              </w:pPr>
                            </w:p>
                          </w:txbxContent>
                        </wps:txbx>
                        <wps:bodyPr anchor="ctr" anchorCtr="0" upright="1"/>
                      </wps:wsp>
                    </wpg:wgp>
                  </a:graphicData>
                </a:graphic>
              </wp:anchor>
            </w:drawing>
          </mc:Choice>
          <mc:Fallback>
            <w:pict>
              <v:group id="组合 179" o:spid="_x0000_s1026" o:spt="203" style="position:absolute;left:0pt;margin-left:-80.8pt;margin-top:39.95pt;height:46.7pt;width:250.05pt;mso-position-vertical-relative:page;z-index:251674624;mso-width-relative:page;mso-height-relative:page;" coordorigin="4551,52615" coordsize="8546,1398" o:allowoverlap="f" o:gfxdata="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">
                <o:lock v:ext="edit" aspectratio="f"/>
                <v:rect id="矩形 13" o:spid="_x0000_s1026" o:spt="1" style="position:absolute;left:4551;top:52615;height:1175;width:8546;v-text-anchor:middle;" fillcolor="#D8D8D8" filled="t" stroked="f" coordsize="21600,21600" o:gfxdata="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QHlnivQAA&#10;ANsAAAAPAAAAAAAAAAEAIAAAACIAAABkcnMvZG93bnJldi54bWxQSwECFAAUAAAACACHTuJAMy8F&#10;njsAAAA5AAAAEAAAAAAAAAABACAAAAAMAQAAZHJzL3NoYXBleG1sLnhtbFBLBQYAAAAABgAGAFsB&#10;AAC2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ifOm470AAADb&#10;AAAADwAAAGRycy9kb3ducmV2LnhtbEWPQWsCMRSE74L/ITyhN80qdJHVKCKIrSBSu0W8PTbPzeLm&#10;Zdmkav31piB4HGbmG2Y6v9laXKj1lWMFw0ECgrhwuuJSQf696o9B+ICssXZMCv7Iw3zW7Uwx0+7K&#10;X3TZh1JECPsMFZgQmkxKXxiy6AeuIY7eybUWQ5RtKXWL1wi3tRwlSSotVhwXDDa0NFSc979WwS43&#10;xzVu6GC3m/NPvqgwvX+mSr31hskERKBbeIWf7Q+tYPQO/1/iD5Cz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J86bjvQAA&#10;ANsAAAAPAAAAAAAAAAEAIAAAACIAAABkcnMvZG93bnJldi54bWxQSwECFAAUAAAACACHTuJAMy8F&#10;njsAAAA5AAAAEAAAAAAAAAABACAAAAAMAQAAZHJzL3NoYXBleG1sLnhtbFBLBQYAAAAABgAGAFsB&#10;AAC2AwAAAAA=&#10;">
                  <v:fill on="t" focussize="0,0"/>
                  <v:stroke weight="2pt" color="#845209" joinstyle="miter"/>
                  <v:imagedata o:title=""/>
                  <o:lock v:ext="edit" aspectratio="f"/>
                  <v:textbox>
                    <w:txbxContent>
                      <w:p>
                        <w:pPr>
                          <w:widowControl/>
                          <w:jc w:val="left"/>
                          <w:rPr>
                            <w:rFonts w:ascii="楷体" w:hAnsi="楷体" w:eastAsia="楷体" w:cs="楷体"/>
                            <w:b/>
                            <w:bCs/>
                            <w:color w:val="FDEFBE"/>
                            <w:sz w:val="36"/>
                            <w:szCs w:val="36"/>
                          </w:rPr>
                        </w:pPr>
                        <w:r>
                          <w:rPr>
                            <w:rFonts w:hint="eastAsia" w:ascii="楷体" w:hAnsi="楷体" w:eastAsia="楷体" w:cs="楷体"/>
                            <w:b/>
                            <w:bCs/>
                            <w:color w:val="FDEFBE"/>
                            <w:kern w:val="0"/>
                            <w:sz w:val="36"/>
                            <w:szCs w:val="36"/>
                          </w:rPr>
                          <w:t>2018年度部门决算☞目 录</w:t>
                        </w:r>
                      </w:p>
                      <w:p>
                        <w:pPr>
                          <w:jc w:val="center"/>
                        </w:pPr>
                      </w:p>
                    </w:txbxContent>
                  </v:textbox>
                </v:rect>
                <w10:anchorlock/>
              </v:group>
            </w:pict>
          </mc:Fallback>
        </mc:AlternateContent>
      </w:r>
      <w:r>
        <w:rPr>
          <w:rFonts w:hint="eastAsia" w:ascii="黑体" w:eastAsia="黑体"/>
          <w:sz w:val="48"/>
          <w:szCs w:val="48"/>
        </w:rPr>
        <w:t>目    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rPr>
      </w:pPr>
      <w:r>
        <w:rPr>
          <w:rFonts w:eastAsia="黑体"/>
          <w:sz w:val="32"/>
          <w:szCs w:val="32"/>
        </w:rPr>
        <w:t>第一部分部门概况</w:t>
      </w:r>
    </w:p>
    <w:p>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pPr>
        <w:widowControl/>
        <w:spacing w:line="580" w:lineRule="exact"/>
        <w:ind w:firstLine="1273" w:firstLineChars="398"/>
        <w:rPr>
          <w:rFonts w:eastAsia="仿宋_GB2312"/>
          <w:sz w:val="32"/>
          <w:szCs w:val="32"/>
        </w:rPr>
      </w:pPr>
      <w:r>
        <w:rPr>
          <w:rFonts w:eastAsia="仿宋_GB2312"/>
          <w:sz w:val="32"/>
          <w:szCs w:val="32"/>
        </w:rPr>
        <w:t>二、</w:t>
      </w:r>
      <w:r>
        <w:rPr>
          <w:rFonts w:hint="eastAsia" w:eastAsia="仿宋_GB2312"/>
          <w:sz w:val="32"/>
          <w:szCs w:val="32"/>
        </w:rPr>
        <w:t>机构设置</w:t>
      </w:r>
    </w:p>
    <w:p>
      <w:pPr>
        <w:widowControl/>
        <w:spacing w:line="580" w:lineRule="exact"/>
        <w:ind w:firstLine="640" w:firstLineChars="200"/>
        <w:rPr>
          <w:rFonts w:eastAsia="仿宋_GB2312"/>
          <w:sz w:val="20"/>
          <w:szCs w:val="32"/>
        </w:rPr>
      </w:pPr>
      <w:r>
        <w:rPr>
          <w:rFonts w:eastAsia="黑体"/>
          <w:sz w:val="32"/>
          <w:szCs w:val="32"/>
        </w:rPr>
        <w:t>第二部分   201</w:t>
      </w:r>
      <w:r>
        <w:rPr>
          <w:rFonts w:hint="eastAsia" w:eastAsia="黑体"/>
          <w:sz w:val="32"/>
          <w:szCs w:val="32"/>
        </w:rPr>
        <w:t>8</w:t>
      </w:r>
      <w:r>
        <w:rPr>
          <w:rFonts w:eastAsia="黑体"/>
          <w:sz w:val="32"/>
          <w:szCs w:val="32"/>
        </w:rPr>
        <w:t>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六、一般公共预算财政拨款基本支出决算表</w:t>
      </w:r>
    </w:p>
    <w:p>
      <w:pPr>
        <w:widowControl/>
        <w:spacing w:line="580" w:lineRule="exact"/>
        <w:ind w:left="640" w:firstLine="640" w:firstLineChars="200"/>
        <w:rPr>
          <w:rFonts w:eastAsia="仿宋_GB2312"/>
          <w:sz w:val="32"/>
          <w:szCs w:val="32"/>
        </w:rPr>
      </w:pPr>
      <w:r>
        <w:rPr>
          <w:rFonts w:eastAsia="仿宋_GB2312"/>
          <w:sz w:val="32"/>
          <w:szCs w:val="32"/>
        </w:rPr>
        <w:t>七、</w:t>
      </w:r>
      <w:r>
        <w:rPr>
          <w:rFonts w:hint="eastAsia" w:eastAsia="仿宋_GB2312"/>
          <w:sz w:val="32"/>
          <w:szCs w:val="32"/>
        </w:rPr>
        <w:t>一般公共预算财政拨款</w:t>
      </w:r>
      <w:r>
        <w:rPr>
          <w:rFonts w:eastAsia="仿宋_GB2312"/>
          <w:sz w:val="32"/>
          <w:szCs w:val="32"/>
        </w:rPr>
        <w:t>“三公”经费</w:t>
      </w:r>
      <w:r>
        <w:rPr>
          <w:rFonts w:hint="eastAsia"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八、</w:t>
      </w:r>
      <w:r>
        <w:rPr>
          <w:rFonts w:eastAsia="仿宋_GB2312"/>
          <w:sz w:val="32"/>
          <w:szCs w:val="32"/>
        </w:rPr>
        <w:t>政府性基金预算财政拨款收入支出决算表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九</w:t>
      </w:r>
      <w:r>
        <w:rPr>
          <w:rFonts w:eastAsia="仿宋_GB2312"/>
          <w:sz w:val="32"/>
          <w:szCs w:val="32"/>
        </w:rPr>
        <w:t>、国有资本经营预算</w:t>
      </w:r>
      <w:r>
        <w:rPr>
          <w:rFonts w:hint="eastAsia" w:eastAsia="仿宋_GB2312"/>
          <w:sz w:val="32"/>
          <w:szCs w:val="32"/>
        </w:rPr>
        <w:t>财政拨款</w:t>
      </w:r>
      <w:r>
        <w:rPr>
          <w:rFonts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十</w:t>
      </w:r>
      <w:r>
        <w:rPr>
          <w:rFonts w:eastAsia="仿宋_GB2312"/>
          <w:sz w:val="32"/>
          <w:szCs w:val="32"/>
        </w:rPr>
        <w:t>、政府采购情况表</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r>
        <w:rPr>
          <w:rFonts w:eastAsia="黑体"/>
          <w:sz w:val="32"/>
          <w:szCs w:val="32"/>
        </w:rPr>
        <w:t>第三部分  201</w:t>
      </w:r>
      <w:r>
        <w:rPr>
          <w:rFonts w:hint="eastAsia" w:eastAsia="黑体"/>
          <w:sz w:val="32"/>
          <w:szCs w:val="32"/>
        </w:rPr>
        <w:t>8</w:t>
      </w:r>
      <w:r>
        <w:rPr>
          <w:rFonts w:eastAsia="黑体"/>
          <w:sz w:val="32"/>
          <w:szCs w:val="32"/>
        </w:rPr>
        <w:t>年部门决算情况说明</w:t>
      </w:r>
      <w:r>
        <w:rPr>
          <w:sz w:val="44"/>
        </w:rPr>
        <mc:AlternateContent>
          <mc:Choice Requires="wpg">
            <w:drawing>
              <wp:anchor distT="0" distB="0" distL="114300" distR="114300" simplePos="0" relativeHeight="251673600" behindDoc="0" locked="1" layoutInCell="1" allowOverlap="1">
                <wp:simplePos x="0" y="0"/>
                <wp:positionH relativeFrom="column">
                  <wp:posOffset>-1026160</wp:posOffset>
                </wp:positionH>
                <wp:positionV relativeFrom="page">
                  <wp:posOffset>494665</wp:posOffset>
                </wp:positionV>
                <wp:extent cx="2829560" cy="593090"/>
                <wp:effectExtent l="3810" t="0" r="5080" b="16510"/>
                <wp:wrapNone/>
                <wp:docPr id="23" name="组合 176"/>
                <wp:cNvGraphicFramePr/>
                <a:graphic xmlns:a="http://schemas.openxmlformats.org/drawingml/2006/main">
                  <a:graphicData uri="http://schemas.microsoft.com/office/word/2010/wordprocessingGroup">
                    <wpg:wgp>
                      <wpg:cNvGrpSpPr/>
                      <wpg:grpSpPr>
                        <a:xfrm>
                          <a:off x="0" y="0"/>
                          <a:ext cx="2829560" cy="593090"/>
                          <a:chOff x="4551" y="52615"/>
                          <a:chExt cx="8546" cy="1398"/>
                        </a:xfrm>
                      </wpg:grpSpPr>
                      <wps:wsp>
                        <wps:cNvPr id="19" name="矩形 13"/>
                        <wps:cNvSpPr/>
                        <wps:spPr>
                          <a:xfrm>
                            <a:off x="4551" y="52615"/>
                            <a:ext cx="8546" cy="1175"/>
                          </a:xfrm>
                          <a:prstGeom prst="rect">
                            <a:avLst/>
                          </a:prstGeom>
                          <a:solidFill>
                            <a:srgbClr val="D8D8D8"/>
                          </a:solidFill>
                          <a:ln w="25400">
                            <a:noFill/>
                          </a:ln>
                        </wps:spPr>
                        <wps:bodyPr anchor="ctr" anchorCtr="0" upright="1"/>
                      </wps:wsp>
                      <wps:wsp>
                        <wps:cNvPr id="20" name="矩形 14"/>
                        <wps:cNvSpPr/>
                        <wps:spPr>
                          <a:xfrm>
                            <a:off x="4577" y="52890"/>
                            <a:ext cx="8324" cy="1123"/>
                          </a:xfrm>
                          <a:prstGeom prst="rect">
                            <a:avLst/>
                          </a:prstGeom>
                          <a:solidFill>
                            <a:srgbClr val="AD002D"/>
                          </a:solidFill>
                          <a:ln w="25400" cap="flat" cmpd="sng">
                            <a:solidFill>
                              <a:srgbClr val="845209"/>
                            </a:solidFill>
                            <a:prstDash val="solid"/>
                            <a:miter/>
                            <a:headEnd type="none" w="med" len="med"/>
                            <a:tailEnd type="none" w="med" len="med"/>
                          </a:ln>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2018年度部门决算☞目 录</w:t>
                              </w:r>
                            </w:p>
                            <w:p>
                              <w:pPr>
                                <w:jc w:val="center"/>
                              </w:pPr>
                            </w:p>
                          </w:txbxContent>
                        </wps:txbx>
                        <wps:bodyPr anchor="ctr" anchorCtr="0" upright="1"/>
                      </wps:wsp>
                    </wpg:wgp>
                  </a:graphicData>
                </a:graphic>
              </wp:anchor>
            </w:drawing>
          </mc:Choice>
          <mc:Fallback>
            <w:pict>
              <v:group id="组合 176" o:spid="_x0000_s1026" o:spt="203" style="position:absolute;left:0pt;margin-left:-80.8pt;margin-top:38.95pt;height:46.7pt;width:222.8pt;mso-position-vertical-relative:page;z-index:251673600;mso-width-relative:page;mso-height-relative:page;" coordorigin="4551,52615" coordsize="8546,1398" o:gfxdata="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">
                <o:lock v:ext="edit" aspectratio="f"/>
                <v:rect id="矩形 13" o:spid="_x0000_s1026" o:spt="1" style="position:absolute;left:4551;top:52615;height:1175;width:8546;v-text-anchor:middle;" fillcolor="#D8D8D8" filled="t" stroked="f" coordsize="21600,21600" o:gfxdata="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wczzBugAAANsA&#10;AAAPAAAAAAAAAAEAIAAAACIAAABkcnMvZG93bnJldi54bWxQSwECFAAUAAAACACHTuJAMy8FnjsA&#10;AAA5AAAAEAAAAAAAAAABACAAAAAJAQAAZHJzL3NoYXBleG1sLnhtbFBLBQYAAAAABgAGAFsBAACz&#10;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mYQFe7wAAADb&#10;AAAADwAAAGRycy9kb3ducmV2LnhtbEVPy2rCQBTdF/yH4Qrd1YkugqSZiBSKDyhSTRF3l8w1E8zc&#10;CZnRpP36zqLQ5eG889VoW/Gg3jeOFcxnCQjiyumGawXl6f1lCcIHZI2tY1LwTR5WxeQpx0y7gT/p&#10;cQy1iCHsM1RgQugyKX1lyKKfuY44clfXWwwR9rXUPQ4x3LZykSSptNhwbDDY0Zuh6na8WwWH0lw2&#10;uKez/djfvsp1g+nPLlXqeTpPXkEEGsO/+M+91QoWcX38En+ALH4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mEBXu8AAAA&#10;2wAAAA8AAAAAAAAAAQAgAAAAIgAAAGRycy9kb3ducmV2LnhtbFBLAQIUABQAAAAIAIdO4kAzLwWe&#10;OwAAADkAAAAQAAAAAAAAAAEAIAAAAAsBAABkcnMvc2hhcGV4bWwueG1sUEsFBgAAAAAGAAYAWwEA&#10;ALUDAAAAAA==&#10;">
                  <v:fill on="t" focussize="0,0"/>
                  <v:stroke weight="2pt" color="#845209" joinstyle="miter"/>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2018年度部门决算☞目 录</w:t>
                        </w:r>
                      </w:p>
                      <w:p>
                        <w:pPr>
                          <w:jc w:val="center"/>
                        </w:pPr>
                      </w:p>
                    </w:txbxContent>
                  </v:textbox>
                </v:rect>
                <w10:anchorlock/>
              </v:group>
            </w:pict>
          </mc:Fallback>
        </mc:AlternateConten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五、一般公共预算财政拨款</w:t>
      </w:r>
      <w:r>
        <w:rPr>
          <w:rFonts w:eastAsia="仿宋_GB2312"/>
          <w:sz w:val="32"/>
          <w:szCs w:val="32"/>
        </w:rPr>
        <w:t>“三公”经费支出决算情况说明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六</w:t>
      </w:r>
      <w:r>
        <w:rPr>
          <w:rFonts w:eastAsia="仿宋_GB2312"/>
          <w:sz w:val="32"/>
          <w:szCs w:val="32"/>
        </w:rPr>
        <w:t>、预算绩效情况说明</w:t>
      </w:r>
    </w:p>
    <w:p>
      <w:pPr>
        <w:widowControl/>
        <w:spacing w:line="580" w:lineRule="exact"/>
        <w:ind w:left="640" w:firstLine="640" w:firstLineChars="200"/>
        <w:rPr>
          <w:rFonts w:eastAsia="仿宋_GB2312"/>
          <w:sz w:val="32"/>
          <w:szCs w:val="32"/>
        </w:rPr>
      </w:pPr>
      <w:r>
        <w:rPr>
          <w:rFonts w:hint="eastAsia" w:eastAsia="仿宋_GB2312"/>
          <w:sz w:val="32"/>
          <w:szCs w:val="32"/>
        </w:rPr>
        <w:t>七</w:t>
      </w:r>
      <w:r>
        <w:rPr>
          <w:rFonts w:eastAsia="仿宋_GB2312"/>
          <w:sz w:val="32"/>
          <w:szCs w:val="32"/>
        </w:rPr>
        <w:t>、其他重要事项的说明</w:t>
      </w:r>
    </w:p>
    <w:p>
      <w:pPr>
        <w:widowControl/>
        <w:spacing w:line="580" w:lineRule="exact"/>
        <w:ind w:firstLine="640" w:firstLineChars="200"/>
        <w:rPr>
          <w:rFonts w:eastAsia="黑体"/>
          <w:sz w:val="32"/>
          <w:szCs w:val="32"/>
        </w:rPr>
      </w:pPr>
      <w:r>
        <w:rPr>
          <w:rFonts w:eastAsia="黑体"/>
          <w:sz w:val="32"/>
          <w:szCs w:val="32"/>
        </w:rPr>
        <w:t>第四部分名词解释</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br w:type="page"/>
      </w:r>
    </w:p>
    <w:p>
      <w:r>
        <w:rPr>
          <w:rFonts w:hint="eastAsia" w:ascii="宋体" w:hAnsi="宋体" w:cs="ArialUnicodeMS"/>
          <w:color w:val="000000"/>
          <w:kern w:val="0"/>
        </w:rPr>
        <w:drawing>
          <wp:anchor distT="0" distB="0" distL="114300" distR="114300" simplePos="0" relativeHeight="251659264" behindDoc="1" locked="0" layoutInCell="1" allowOverlap="1">
            <wp:simplePos x="0" y="0"/>
            <wp:positionH relativeFrom="column">
              <wp:posOffset>-1024890</wp:posOffset>
            </wp:positionH>
            <wp:positionV relativeFrom="paragraph">
              <wp:posOffset>-1351915</wp:posOffset>
            </wp:positionV>
            <wp:extent cx="7585710" cy="10727055"/>
            <wp:effectExtent l="0" t="0" r="15240" b="17145"/>
            <wp:wrapNone/>
            <wp:docPr id="12" name="图片 1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2"/>
                    <pic:cNvPicPr>
                      <a:picLocks noChangeAspect="1"/>
                    </pic:cNvPicPr>
                  </pic:nvPicPr>
                  <pic:blipFill>
                    <a:blip r:embed="rId7"/>
                    <a:stretch>
                      <a:fillRect/>
                    </a:stretch>
                  </pic:blipFill>
                  <pic:spPr>
                    <a:xfrm>
                      <a:off x="0" y="0"/>
                      <a:ext cx="7585710" cy="10727055"/>
                    </a:xfrm>
                    <a:prstGeom prst="rect">
                      <a:avLst/>
                    </a:prstGeom>
                  </pic:spPr>
                </pic:pic>
              </a:graphicData>
            </a:graphic>
          </wp:anchor>
        </w:drawing>
      </w:r>
      <w:r>
        <w:rPr>
          <w:sz w:val="72"/>
        </w:rPr>
        <mc:AlternateContent>
          <mc:Choice Requires="wps">
            <w:drawing>
              <wp:anchor distT="0" distB="0" distL="114300" distR="114300" simplePos="0" relativeHeight="251671552" behindDoc="0" locked="0" layoutInCell="1" allowOverlap="1">
                <wp:simplePos x="0" y="0"/>
                <wp:positionH relativeFrom="column">
                  <wp:posOffset>-1235710</wp:posOffset>
                </wp:positionH>
                <wp:positionV relativeFrom="paragraph">
                  <wp:posOffset>3290570</wp:posOffset>
                </wp:positionV>
                <wp:extent cx="7793355" cy="1037590"/>
                <wp:effectExtent l="0" t="0" r="0" b="0"/>
                <wp:wrapNone/>
                <wp:docPr id="118" name="文本框 118"/>
                <wp:cNvGraphicFramePr/>
                <a:graphic xmlns:a="http://schemas.openxmlformats.org/drawingml/2006/main">
                  <a:graphicData uri="http://schemas.microsoft.com/office/word/2010/wordprocessingShape">
                    <wps:wsp>
                      <wps:cNvSpPr txBox="1"/>
                      <wps:spPr>
                        <a:xfrm>
                          <a:off x="0" y="0"/>
                          <a:ext cx="7793355" cy="103759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pPr>
                              <w:widowControl/>
                              <w:jc w:val="center"/>
                              <w:rPr>
                                <w:color w:val="FDEFBE"/>
                                <w:sz w:val="96"/>
                                <w:szCs w:val="96"/>
                              </w:rPr>
                            </w:pPr>
                            <w:r>
                              <w:rPr>
                                <w:rFonts w:hint="eastAsia" w:hAnsi="宋体" w:asciiTheme="minorEastAsia" w:eastAsiaTheme="minorEastAsia"/>
                                <w:color w:val="FDEFBE"/>
                                <w:sz w:val="96"/>
                                <w:szCs w:val="96"/>
                              </w:rPr>
                              <w:t>第一部分  部门概况</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97.3pt;margin-top:259.1pt;height:81.7pt;width:613.65pt;z-index:251671552;mso-width-relative:page;mso-height-relative:page;" filled="f" stroked="f" coordsize="21600,21600" o:gfxdata="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">
                <v:fill on="f" focussize="0,0"/>
                <v:stroke on="f" weight="0.5pt"/>
                <v:imagedata o:title=""/>
                <o:lock v:ext="edit" aspectratio="f"/>
                <v:textbox>
                  <w:txbxContent>
                    <w:p>
                      <w:pPr>
                        <w:widowControl/>
                        <w:jc w:val="center"/>
                        <w:rPr>
                          <w:color w:val="FDEFBE"/>
                          <w:sz w:val="96"/>
                          <w:szCs w:val="96"/>
                        </w:rPr>
                      </w:pPr>
                      <w:r>
                        <w:rPr>
                          <w:rFonts w:hint="eastAsia" w:hAnsi="宋体" w:asciiTheme="minorEastAsia" w:eastAsiaTheme="minorEastAsia"/>
                          <w:color w:val="FDEFBE"/>
                          <w:sz w:val="96"/>
                          <w:szCs w:val="96"/>
                        </w:rPr>
                        <w:t>第一部分  部门概况</w:t>
                      </w:r>
                    </w:p>
                  </w:txbxContent>
                </v:textbox>
              </v:shape>
            </w:pict>
          </mc:Fallback>
        </mc:AlternateContent>
      </w:r>
    </w:p>
    <w:p/>
    <w:p/>
    <w:p/>
    <w:p/>
    <w:p/>
    <w:p/>
    <w:p/>
    <w:p/>
    <w:p/>
    <w:p/>
    <w:p/>
    <w:p/>
    <w:p/>
    <w:p/>
    <w:p/>
    <w:p>
      <w:pPr>
        <w:pStyle w:val="2"/>
        <w:spacing w:before="0" w:after="0" w:line="600" w:lineRule="exact"/>
        <w:jc w:val="left"/>
        <w:rPr>
          <w:rFonts w:ascii="黑体" w:eastAsia="黑体" w:cs="黑体" w:hAnsiTheme="minorHAnsi"/>
          <w:b w:val="0"/>
          <w:bCs w:val="0"/>
          <w:kern w:val="0"/>
          <w:sz w:val="32"/>
          <w:szCs w:val="32"/>
        </w:rPr>
      </w:pPr>
      <w:r>
        <w:rPr>
          <w:b w:val="0"/>
          <w:bCs w:val="0"/>
          <w:sz w:val="32"/>
          <w:szCs w:val="32"/>
        </w:rPr>
        <mc:AlternateContent>
          <mc:Choice Requires="wpg">
            <w:drawing>
              <wp:anchor distT="0" distB="0" distL="114300" distR="114300" simplePos="0" relativeHeight="251667456" behindDoc="0" locked="1" layoutInCell="1" allowOverlap="1">
                <wp:simplePos x="0" y="0"/>
                <wp:positionH relativeFrom="column">
                  <wp:posOffset>-1026160</wp:posOffset>
                </wp:positionH>
                <wp:positionV relativeFrom="page">
                  <wp:posOffset>501650</wp:posOffset>
                </wp:positionV>
                <wp:extent cx="3114675" cy="593090"/>
                <wp:effectExtent l="3175" t="0" r="6350" b="16510"/>
                <wp:wrapNone/>
                <wp:docPr id="11" name="组合 15"/>
                <wp:cNvGraphicFramePr/>
                <a:graphic xmlns:a="http://schemas.openxmlformats.org/drawingml/2006/main">
                  <a:graphicData uri="http://schemas.microsoft.com/office/word/2010/wordprocessingGroup">
                    <wpg:wgp>
                      <wpg:cNvGrpSpPr/>
                      <wpg:grpSpPr>
                        <a:xfrm>
                          <a:off x="0" y="0"/>
                          <a:ext cx="3114675" cy="593090"/>
                          <a:chOff x="4551" y="52615"/>
                          <a:chExt cx="8546" cy="1398"/>
                        </a:xfrm>
                      </wpg:grpSpPr>
                      <wps:wsp>
                        <wps:cNvPr id="9" name="矩形 13"/>
                        <wps:cNvSpPr/>
                        <wps:spPr>
                          <a:xfrm>
                            <a:off x="4551" y="52615"/>
                            <a:ext cx="8546" cy="1175"/>
                          </a:xfrm>
                          <a:prstGeom prst="rect">
                            <a:avLst/>
                          </a:prstGeom>
                          <a:solidFill>
                            <a:srgbClr val="D8D8D8"/>
                          </a:solidFill>
                          <a:ln w="25400">
                            <a:noFill/>
                          </a:ln>
                        </wps:spPr>
                        <wps:bodyPr anchor="ctr" anchorCtr="0" upright="1"/>
                      </wps:wsp>
                      <wps:wsp>
                        <wps:cNvPr id="10" name="矩形 14"/>
                        <wps:cNvSpPr/>
                        <wps:spPr>
                          <a:xfrm>
                            <a:off x="4577" y="52890"/>
                            <a:ext cx="8324" cy="1123"/>
                          </a:xfrm>
                          <a:prstGeom prst="rect">
                            <a:avLst/>
                          </a:prstGeom>
                          <a:solidFill>
                            <a:srgbClr val="AD002D"/>
                          </a:solidFill>
                          <a:ln w="25400" cap="flat" cmpd="sng">
                            <a:solidFill>
                              <a:srgbClr val="845209"/>
                            </a:solidFill>
                            <a:prstDash val="solid"/>
                            <a:miter/>
                            <a:headEnd type="none" w="med" len="med"/>
                            <a:tailEnd type="none" w="med" len="med"/>
                          </a:ln>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2018年度部门决算☞部门概况</w:t>
                              </w:r>
                            </w:p>
                            <w:p>
                              <w:pPr>
                                <w:jc w:val="center"/>
                              </w:pPr>
                            </w:p>
                          </w:txbxContent>
                        </wps:txbx>
                        <wps:bodyPr anchor="ctr" anchorCtr="0" upright="1"/>
                      </wps:wsp>
                    </wpg:wgp>
                  </a:graphicData>
                </a:graphic>
              </wp:anchor>
            </w:drawing>
          </mc:Choice>
          <mc:Fallback>
            <w:pict>
              <v:group id="组合 15" o:spid="_x0000_s1026" o:spt="203" style="position:absolute;left:0pt;margin-left:-80.8pt;margin-top:39.5pt;height:46.7pt;width:245.25pt;mso-position-vertical-relative:page;z-index:251667456;mso-width-relative:page;mso-height-relative:page;" coordorigin="4551,52615" coordsize="8546,1398" o:gfxdata="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">
                <o:lock v:ext="edit" aspectratio="f"/>
                <v:rect id="矩形 13" o:spid="_x0000_s1026" o:spt="1" style="position:absolute;left:4551;top:52615;height:1175;width:8546;v-text-anchor:middle;" fillcolor="#D8D8D8" filled="t" stroked="f" coordsize="21600,21600" o:gfxdata="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MhQxO8AAAA&#10;2gAAAA8AAAAAAAAAAQAgAAAAIgAAAGRycy9kb3ducmV2LnhtbFBLAQIUABQAAAAIAIdO4kAzLwWe&#10;OwAAADkAAAAQAAAAAAAAAAEAIAAAAAsBAABkcnMvc2hhcGV4bWwueG1sUEsFBgAAAAAGAAYAWwEA&#10;ALUDA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V+jPxr4AAADb&#10;AAAADwAAAGRycy9kb3ducmV2LnhtbEWPT2vCQBDF7wW/wzKCt7qxh1BSVxFBrIKU2oh4G7JjNpid&#10;Ddn1T/vpO4dCbzO8N+/9Zjp/+FbdqI9NYAOTcQaKuAq24dpA+bV6fgUVE7LFNjAZ+KYI89ngaYqF&#10;DXf+pNs+1UpCOBZowKXUFVrHypHHOA4dsWjn0HtMsva1tj3eJdy3+iXLcu2xYWlw2NHSUXXZX72B&#10;j9Kd1rilo99tL4dy0WD+s8mNGQ0n2RuoRI/0b/67freCL/TyiwygZ7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jPxr4A&#10;AADbAAAADwAAAAAAAAABACAAAAAiAAAAZHJzL2Rvd25yZXYueG1sUEsBAhQAFAAAAAgAh07iQDMv&#10;BZ47AAAAOQAAABAAAAAAAAAAAQAgAAAADQEAAGRycy9zaGFwZXhtbC54bWxQSwUGAAAAAAYABgBb&#10;AQAAtwMAAAAA&#10;">
                  <v:fill on="t" focussize="0,0"/>
                  <v:stroke weight="2pt" color="#845209" joinstyle="miter"/>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2018年度部门决算☞部门概况</w:t>
                        </w:r>
                      </w:p>
                      <w:p>
                        <w:pPr>
                          <w:jc w:val="center"/>
                        </w:pPr>
                      </w:p>
                    </w:txbxContent>
                  </v:textbox>
                </v:rect>
                <w10:anchorlock/>
              </v:group>
            </w:pict>
          </mc:Fallback>
        </mc:AlternateContent>
      </w:r>
      <w:r>
        <w:rPr>
          <w:rFonts w:hint="eastAsia" w:ascii="黑体" w:eastAsia="黑体" w:cs="黑体" w:hAnsiTheme="minorHAnsi"/>
          <w:b w:val="0"/>
          <w:bCs w:val="0"/>
          <w:kern w:val="0"/>
          <w:sz w:val="32"/>
          <w:szCs w:val="32"/>
        </w:rPr>
        <w:t>一、部门职责</w:t>
      </w:r>
    </w:p>
    <w:p>
      <w:pPr>
        <w:spacing w:after="0" w:line="560" w:lineRule="exact"/>
        <w:ind w:firstLine="480" w:firstLineChars="150"/>
        <w:rPr>
          <w:rFonts w:ascii="仿宋" w:hAnsi="仿宋" w:eastAsia="仿宋" w:cs="ArialUnicodeMS"/>
          <w:kern w:val="0"/>
          <w:sz w:val="32"/>
          <w:szCs w:val="32"/>
        </w:rPr>
      </w:pPr>
      <w:r>
        <w:rPr>
          <w:rFonts w:hint="eastAsia" w:ascii="仿宋" w:hAnsi="仿宋" w:eastAsia="仿宋" w:cs="ArialUnicodeMS"/>
          <w:kern w:val="0"/>
          <w:sz w:val="32"/>
          <w:szCs w:val="32"/>
        </w:rPr>
        <w:t>1、宣传党的路线、方针、政策和区委、区政府的工作部署，坚持正确舆论导向，发挥主流媒体作用；开展新闻宣传，办好各类广播电视节目；配合上级台完成我区的采访报道工作并提供各类节目；承担区委、区政府形象宣传片及专题片的创作生产。负责相关设备的正常运行和维护。</w:t>
      </w:r>
    </w:p>
    <w:p>
      <w:pPr>
        <w:spacing w:after="0" w:line="560" w:lineRule="exact"/>
        <w:ind w:firstLine="480" w:firstLineChars="150"/>
        <w:rPr>
          <w:rFonts w:ascii="仿宋" w:hAnsi="仿宋" w:eastAsia="仿宋" w:cs="ArialUnicodeMS"/>
          <w:kern w:val="0"/>
          <w:sz w:val="32"/>
          <w:szCs w:val="32"/>
        </w:rPr>
      </w:pPr>
      <w:r>
        <w:rPr>
          <w:rFonts w:hint="eastAsia" w:ascii="仿宋" w:hAnsi="仿宋" w:eastAsia="仿宋" w:cs="ArialUnicodeMS"/>
          <w:kern w:val="0"/>
          <w:sz w:val="32"/>
          <w:szCs w:val="32"/>
        </w:rPr>
        <w:t>2、做好各类广播电视节目的采编、制作、播出，组织开展节目创优。建立广播电视安全播出保障体系，加强安全播出管理。负责广播电视网络设施的建设、管理、维护及广播电视新技术应用工作。组织实施重大公益工程和公益活动。</w:t>
      </w:r>
    </w:p>
    <w:p>
      <w:pPr>
        <w:spacing w:after="0" w:line="560" w:lineRule="exact"/>
        <w:ind w:firstLine="480" w:firstLineChars="150"/>
        <w:rPr>
          <w:rFonts w:ascii="仿宋" w:hAnsi="仿宋" w:eastAsia="仿宋" w:cs="ArialUnicodeMS"/>
          <w:kern w:val="0"/>
          <w:sz w:val="32"/>
          <w:szCs w:val="32"/>
        </w:rPr>
      </w:pPr>
      <w:r>
        <w:rPr>
          <w:rFonts w:hint="eastAsia" w:ascii="仿宋" w:hAnsi="仿宋" w:eastAsia="仿宋" w:cs="ArialUnicodeMS"/>
          <w:kern w:val="0"/>
          <w:sz w:val="32"/>
          <w:szCs w:val="32"/>
        </w:rPr>
        <w:t>3、负责系统综合业务管理和机关综合事务管理。拟定广播电视产业发展规划；广播电视节目内容和质量监督管理；负责市场经营活动的监督管理工作。</w:t>
      </w:r>
    </w:p>
    <w:p>
      <w:pPr>
        <w:pStyle w:val="2"/>
        <w:spacing w:before="0" w:after="0" w:line="600" w:lineRule="exact"/>
        <w:jc w:val="left"/>
        <w:rPr>
          <w:rFonts w:ascii="黑体" w:eastAsia="黑体" w:cs="黑体" w:hAnsiTheme="minorHAnsi"/>
          <w:b w:val="0"/>
          <w:bCs w:val="0"/>
          <w:kern w:val="0"/>
          <w:sz w:val="32"/>
          <w:szCs w:val="32"/>
        </w:rPr>
      </w:pPr>
      <w:r>
        <w:rPr>
          <w:rFonts w:hint="eastAsia" w:ascii="黑体" w:eastAsia="黑体" w:cs="黑体" w:hAnsiTheme="minorHAnsi"/>
          <w:b w:val="0"/>
          <w:bCs w:val="0"/>
          <w:kern w:val="0"/>
          <w:sz w:val="32"/>
          <w:szCs w:val="32"/>
        </w:rPr>
        <w:t>二、机构设置</w:t>
      </w:r>
    </w:p>
    <w:p>
      <w:pPr>
        <w:spacing w:after="0" w:line="560" w:lineRule="exac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从决算编报单位构成看，纳入2018 年度本部门决算汇编范围的独立核算单位（以下简称“单位”）共1个，具体情况如下：</w:t>
      </w:r>
    </w:p>
    <w:tbl>
      <w:tblPr>
        <w:tblStyle w:val="14"/>
        <w:tblpPr w:leftFromText="180" w:rightFromText="180" w:vertAnchor="text" w:horzAnchor="page" w:tblpXSpec="center" w:tblpY="10"/>
        <w:tblOverlap w:val="never"/>
        <w:tblW w:w="946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7"/>
        <w:gridCol w:w="3686"/>
        <w:gridCol w:w="2551"/>
        <w:gridCol w:w="241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817"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序号</w:t>
            </w:r>
          </w:p>
        </w:tc>
        <w:tc>
          <w:tcPr>
            <w:tcW w:w="3686"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单位名称</w:t>
            </w:r>
          </w:p>
        </w:tc>
        <w:tc>
          <w:tcPr>
            <w:tcW w:w="2551"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单位基本性质</w:t>
            </w:r>
          </w:p>
        </w:tc>
        <w:tc>
          <w:tcPr>
            <w:tcW w:w="2410"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817"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1</w:t>
            </w:r>
          </w:p>
        </w:tc>
        <w:tc>
          <w:tcPr>
            <w:tcW w:w="3686" w:type="dxa"/>
          </w:tcPr>
          <w:p>
            <w:pPr>
              <w:spacing w:after="0" w:line="560" w:lineRule="exact"/>
              <w:rPr>
                <w:rFonts w:ascii="微软雅黑" w:hAnsi="微软雅黑" w:eastAsia="微软雅黑" w:cs="微软雅黑"/>
                <w:kern w:val="0"/>
                <w:sz w:val="28"/>
                <w:szCs w:val="28"/>
              </w:rPr>
            </w:pPr>
            <w:r>
              <w:rPr>
                <w:rFonts w:hint="eastAsia" w:ascii="仿宋_GB2312" w:eastAsia="仿宋_GB2312" w:cs="ArialUnicodeMS" w:hAnsiTheme="minorHAnsi"/>
                <w:kern w:val="0"/>
                <w:sz w:val="28"/>
                <w:szCs w:val="28"/>
              </w:rPr>
              <w:t>石家</w:t>
            </w:r>
            <w:r>
              <w:rPr>
                <w:rFonts w:hint="eastAsia" w:ascii="仿宋" w:hAnsi="仿宋" w:eastAsia="仿宋" w:cs="ArialUnicodeMS"/>
                <w:kern w:val="0"/>
                <w:sz w:val="28"/>
                <w:szCs w:val="28"/>
              </w:rPr>
              <w:t>庄市鹿泉区</w:t>
            </w:r>
            <w:r>
              <w:rPr>
                <w:rFonts w:hint="eastAsia" w:ascii="仿宋" w:hAnsi="仿宋" w:eastAsia="仿宋" w:cs="微软雅黑"/>
                <w:kern w:val="0"/>
                <w:sz w:val="28"/>
                <w:szCs w:val="28"/>
              </w:rPr>
              <w:t>广播</w:t>
            </w:r>
            <w:r>
              <w:rPr>
                <w:rFonts w:hint="eastAsia" w:ascii="仿宋" w:hAnsi="仿宋" w:eastAsia="仿宋" w:cs="___WRD_EMBED_SUB_48"/>
                <w:kern w:val="0"/>
                <w:sz w:val="28"/>
                <w:szCs w:val="28"/>
              </w:rPr>
              <w:t>电</w:t>
            </w:r>
            <w:r>
              <w:rPr>
                <w:rFonts w:hint="eastAsia" w:ascii="仿宋" w:hAnsi="仿宋" w:eastAsia="仿宋" w:cs="微软雅黑"/>
                <w:kern w:val="0"/>
                <w:sz w:val="28"/>
                <w:szCs w:val="28"/>
              </w:rPr>
              <w:t>视</w:t>
            </w:r>
            <w:r>
              <w:rPr>
                <w:rFonts w:hint="eastAsia" w:ascii="仿宋" w:hAnsi="仿宋" w:eastAsia="仿宋" w:cs="___WRD_EMBED_SUB_48"/>
                <w:kern w:val="0"/>
                <w:sz w:val="28"/>
                <w:szCs w:val="28"/>
              </w:rPr>
              <w:t>台</w:t>
            </w:r>
          </w:p>
        </w:tc>
        <w:tc>
          <w:tcPr>
            <w:tcW w:w="2551"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财政补助事业单位</w:t>
            </w:r>
          </w:p>
        </w:tc>
        <w:tc>
          <w:tcPr>
            <w:tcW w:w="2410" w:type="dxa"/>
          </w:tcPr>
          <w:p>
            <w:pPr>
              <w:spacing w:after="0" w:line="560" w:lineRule="exact"/>
              <w:jc w:val="center"/>
              <w:rPr>
                <w:rFonts w:ascii="Calibri" w:hAnsi="Calibri" w:eastAsia="仿宋_GB2312" w:cs="ArialUnicodeMS"/>
                <w:kern w:val="0"/>
                <w:sz w:val="28"/>
                <w:szCs w:val="28"/>
              </w:rPr>
            </w:pPr>
            <w:r>
              <w:rPr>
                <w:rFonts w:hint="eastAsia" w:ascii="Calibri" w:hAnsi="Calibri" w:eastAsia="仿宋_GB2312" w:cs="ArialUnicodeMS"/>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464" w:type="dxa"/>
            <w:gridSpan w:val="4"/>
            <w:tcBorders>
              <w:top w:val="single" w:color="auto" w:sz="4" w:space="0"/>
              <w:left w:val="nil"/>
              <w:bottom w:val="nil"/>
              <w:right w:val="nil"/>
            </w:tcBorders>
          </w:tcPr>
          <w:p>
            <w:pPr>
              <w:spacing w:after="0" w:line="560" w:lineRule="exact"/>
              <w:ind w:firstLine="560" w:firstLineChars="200"/>
              <w:jc w:val="left"/>
              <w:rPr>
                <w:rFonts w:ascii="仿宋_GB2312" w:eastAsia="仿宋_GB2312" w:cs="ArialUnicodeMS" w:hAnsiTheme="minorHAnsi"/>
                <w:kern w:val="0"/>
                <w:sz w:val="28"/>
                <w:szCs w:val="28"/>
              </w:rPr>
            </w:pPr>
          </w:p>
        </w:tc>
      </w:tr>
    </w:tbl>
    <w:p>
      <w:pPr>
        <w:spacing w:after="0" w:line="560" w:lineRule="exact"/>
        <w:rPr>
          <w:rFonts w:ascii="仿宋_GB2312" w:eastAsia="仿宋_GB2312" w:cs="ArialUnicodeMS" w:hAnsiTheme="minorHAnsi"/>
          <w:kern w:val="0"/>
          <w:sz w:val="32"/>
          <w:szCs w:val="32"/>
        </w:rPr>
      </w:pPr>
    </w:p>
    <w:p>
      <w:pPr>
        <w:widowControl/>
        <w:spacing w:line="560" w:lineRule="exact"/>
        <w:jc w:val="center"/>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pPr>
    </w:p>
    <w:p>
      <w:pPr>
        <w:widowControl/>
        <w:spacing w:line="560" w:lineRule="exact"/>
        <w:rPr>
          <w:rFonts w:ascii="黑体" w:eastAsia="黑体" w:cs="MS-UIGothic,Bold" w:hAnsiTheme="minorHAnsi"/>
          <w:bCs/>
          <w:kern w:val="0"/>
          <w:sz w:val="52"/>
          <w:szCs w:val="52"/>
        </w:rPr>
        <w:sectPr>
          <w:pgSz w:w="11906" w:h="16838"/>
          <w:pgMar w:top="2098" w:right="1474" w:bottom="1984" w:left="1588" w:header="851" w:footer="992" w:gutter="0"/>
          <w:cols w:space="0" w:num="1"/>
          <w:docGrid w:type="lines" w:linePitch="312" w:charSpace="0"/>
        </w:sectPr>
      </w:pPr>
    </w:p>
    <w:p>
      <w:pPr>
        <w:widowControl/>
        <w:spacing w:line="560" w:lineRule="exact"/>
        <w:jc w:val="center"/>
        <w:rPr>
          <w:rFonts w:ascii="黑体" w:eastAsia="黑体" w:cs="MS-UIGothic,Bold" w:hAnsiTheme="minorHAnsi"/>
          <w:bCs/>
          <w:kern w:val="0"/>
          <w:sz w:val="52"/>
          <w:szCs w:val="52"/>
        </w:rPr>
      </w:pPr>
      <w:r>
        <w:rPr>
          <w:rFonts w:hint="eastAsia" w:ascii="宋体" w:hAnsi="宋体" w:cs="ArialUnicodeMS"/>
          <w:color w:val="000000"/>
          <w:kern w:val="0"/>
        </w:rPr>
        <w:drawing>
          <wp:anchor distT="0" distB="0" distL="114300" distR="114300" simplePos="0" relativeHeight="251660288" behindDoc="1" locked="0" layoutInCell="1" allowOverlap="1">
            <wp:simplePos x="0" y="0"/>
            <wp:positionH relativeFrom="column">
              <wp:posOffset>-1023620</wp:posOffset>
            </wp:positionH>
            <wp:positionV relativeFrom="paragraph">
              <wp:posOffset>-1327150</wp:posOffset>
            </wp:positionV>
            <wp:extent cx="7571105" cy="10680065"/>
            <wp:effectExtent l="0" t="0" r="10795" b="6985"/>
            <wp:wrapNone/>
            <wp:docPr id="16" name="图片 16"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2"/>
                    <pic:cNvPicPr>
                      <a:picLocks noChangeAspect="1"/>
                    </pic:cNvPicPr>
                  </pic:nvPicPr>
                  <pic:blipFill>
                    <a:blip r:embed="rId7"/>
                    <a:stretch>
                      <a:fillRect/>
                    </a:stretch>
                  </pic:blipFill>
                  <pic:spPr>
                    <a:xfrm>
                      <a:off x="0" y="0"/>
                      <a:ext cx="7571105" cy="10680065"/>
                    </a:xfrm>
                    <a:prstGeom prst="rect">
                      <a:avLst/>
                    </a:prstGeom>
                  </pic:spPr>
                </pic:pic>
              </a:graphicData>
            </a:graphic>
          </wp:anchor>
        </w:drawing>
      </w:r>
    </w:p>
    <w:p>
      <w:pPr>
        <w:widowControl/>
        <w:spacing w:line="560" w:lineRule="exact"/>
        <w:jc w:val="center"/>
        <w:rPr>
          <w:rFonts w:ascii="黑体" w:eastAsia="黑体" w:cs="MS-UIGothic,Bold" w:hAnsiTheme="minorHAnsi"/>
          <w:bCs/>
          <w:kern w:val="0"/>
          <w:sz w:val="52"/>
          <w:szCs w:val="52"/>
        </w:rPr>
      </w:pPr>
    </w:p>
    <w:p>
      <w:pPr>
        <w:rPr>
          <w:rFonts w:ascii="宋体" w:hAnsi="宋体" w:cs="ArialUnicodeMS"/>
          <w:color w:val="000000"/>
          <w:kern w:val="0"/>
        </w:r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sz w:val="72"/>
        </w:rPr>
        <mc:AlternateContent>
          <mc:Choice Requires="wps">
            <w:drawing>
              <wp:anchor distT="0" distB="0" distL="114300" distR="114300" simplePos="0" relativeHeight="251668480" behindDoc="0" locked="0" layoutInCell="1" allowOverlap="1">
                <wp:simplePos x="0" y="0"/>
                <wp:positionH relativeFrom="column">
                  <wp:posOffset>-942340</wp:posOffset>
                </wp:positionH>
                <wp:positionV relativeFrom="paragraph">
                  <wp:posOffset>1527810</wp:posOffset>
                </wp:positionV>
                <wp:extent cx="7571740" cy="2020570"/>
                <wp:effectExtent l="0" t="0" r="0" b="0"/>
                <wp:wrapNone/>
                <wp:docPr id="17" name="文本框 17"/>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第二部分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4.2pt;margin-top:120.3pt;height:159.1pt;width:596.2pt;z-index:251668480;mso-width-relative:page;mso-height-relative:page;" filled="f" stroked="f" coordsize="21600,21600" o:gfxdata="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">
                <v:fill on="f" focussize="0,0"/>
                <v:stroke on="f" weight="0.5pt"/>
                <v:imagedata o:title=""/>
                <o:lock v:ext="edit" aspectratio="f"/>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第二部分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2018年度部门决算报表</w:t>
                      </w:r>
                    </w:p>
                  </w:txbxContent>
                </v:textbox>
              </v:shape>
            </w:pict>
          </mc:Fallback>
        </mc:AlternateContent>
      </w:r>
    </w:p>
    <w:tbl>
      <w:tblPr>
        <w:tblStyle w:val="13"/>
        <w:tblW w:w="9300" w:type="dxa"/>
        <w:jc w:val="center"/>
        <w:tblLayout w:type="fixed"/>
        <w:tblCellMar>
          <w:top w:w="0" w:type="dxa"/>
          <w:left w:w="0" w:type="dxa"/>
          <w:bottom w:w="0" w:type="dxa"/>
          <w:right w:w="0" w:type="dxa"/>
        </w:tblCellMar>
      </w:tblPr>
      <w:tblGrid>
        <w:gridCol w:w="2700"/>
        <w:gridCol w:w="567"/>
        <w:gridCol w:w="1336"/>
        <w:gridCol w:w="2700"/>
        <w:gridCol w:w="567"/>
        <w:gridCol w:w="1430"/>
      </w:tblGrid>
      <w:tr>
        <w:tblPrEx>
          <w:tblCellMar>
            <w:top w:w="0" w:type="dxa"/>
            <w:left w:w="0" w:type="dxa"/>
            <w:bottom w:w="0" w:type="dxa"/>
            <w:right w:w="0" w:type="dxa"/>
          </w:tblCellMar>
        </w:tblPrEx>
        <w:trPr>
          <w:trHeight w:val="567" w:hRule="atLeast"/>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pPr>
              <w:widowControl/>
              <w:spacing w:after="0" w:line="440" w:lineRule="exact"/>
              <w:jc w:val="center"/>
              <w:textAlignment w:val="center"/>
              <w:rPr>
                <w:rFonts w:ascii="黑体" w:hAnsi="宋体" w:eastAsia="黑体" w:cs="黑体"/>
                <w:color w:val="000000"/>
                <w:sz w:val="40"/>
                <w:szCs w:val="40"/>
              </w:rPr>
            </w:pPr>
            <w:r>
              <w:rPr>
                <w:sz w:val="44"/>
              </w:rPr>
              <mc:AlternateContent>
                <mc:Choice Requires="wpg">
                  <w:drawing>
                    <wp:anchor distT="0" distB="0" distL="114300" distR="114300" simplePos="0" relativeHeight="251675648" behindDoc="0" locked="1" layoutInCell="1" allowOverlap="1">
                      <wp:simplePos x="0" y="0"/>
                      <wp:positionH relativeFrom="column">
                        <wp:posOffset>-892175</wp:posOffset>
                      </wp:positionH>
                      <wp:positionV relativeFrom="page">
                        <wp:posOffset>-1039495</wp:posOffset>
                      </wp:positionV>
                      <wp:extent cx="3088640" cy="523240"/>
                      <wp:effectExtent l="3175" t="0" r="13335" b="29210"/>
                      <wp:wrapNone/>
                      <wp:docPr id="29" name="组合 10"/>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27" name="矩形 13"/>
                              <wps:cNvSpPr/>
                              <wps:spPr>
                                <a:xfrm>
                                  <a:off x="4551" y="52615"/>
                                  <a:ext cx="8546" cy="1175"/>
                                </a:xfrm>
                                <a:prstGeom prst="rect">
                                  <a:avLst/>
                                </a:prstGeom>
                                <a:solidFill>
                                  <a:srgbClr val="D8D8D8"/>
                                </a:solidFill>
                                <a:ln w="25400">
                                  <a:noFill/>
                                </a:ln>
                              </wps:spPr>
                              <wps:bodyPr anchor="ctr" anchorCtr="0" upright="1"/>
                            </wps:wsp>
                            <wps:wsp>
                              <wps:cNvPr id="28" name="矩形 14"/>
                              <wps:cNvSpPr/>
                              <wps:spPr>
                                <a:xfrm>
                                  <a:off x="4577" y="52890"/>
                                  <a:ext cx="8324" cy="1123"/>
                                </a:xfrm>
                                <a:prstGeom prst="rect">
                                  <a:avLst/>
                                </a:prstGeom>
                                <a:solidFill>
                                  <a:srgbClr val="AD002D"/>
                                </a:solidFill>
                                <a:ln w="25400" cap="flat" cmpd="sng">
                                  <a:solidFill>
                                    <a:srgbClr val="845209"/>
                                  </a:solidFill>
                                  <a:prstDash val="solid"/>
                                  <a:miter/>
                                  <a:headEnd type="none" w="med" len="med"/>
                                  <a:tailEnd type="none" w="med" len="med"/>
                                </a:ln>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wps:txbx>
                              <wps:bodyPr anchor="ctr" anchorCtr="0" upright="1"/>
                            </wps:wsp>
                          </wpg:wgp>
                        </a:graphicData>
                      </a:graphic>
                    </wp:anchor>
                  </w:drawing>
                </mc:Choice>
                <mc:Fallback>
                  <w:pict>
                    <v:group id="组合 10" o:spid="_x0000_s1026" o:spt="203" style="position:absolute;left:0pt;margin-left:-70.25pt;margin-top:-81.85pt;height:41.2pt;width:243.2pt;mso-position-vertical-relative:page;z-index:251675648;mso-width-relative:page;mso-height-relative:page;" coordorigin="4551,52615" coordsize="8546,1398" o:gfxdata="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">
                      <o:lock v:ext="edit" aspectratio="f"/>
                      <v:rect id="矩形 13" o:spid="_x0000_s1026" o:spt="1" style="position:absolute;left:4551;top:52615;height:1175;width:8546;v-text-anchor:middle;" fillcolor="#D8D8D8" filled="t" stroked="f" coordsize="21600,21600" o:gfxdata="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gzMeVvQAA&#10;ANsAAAAPAAAAAAAAAAEAIAAAACIAAABkcnMvZG93bnJldi54bWxQSwECFAAUAAAACACHTuJAMy8F&#10;njsAAAA5AAAAEAAAAAAAAAABACAAAAAMAQAAZHJzL3NoYXBleG1sLnhtbFBLBQYAAAAABgAGAFsB&#10;AAC2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Z/IJfbwAAADb&#10;AAAADwAAAGRycy9kb3ducmV2LnhtbEVPy2rCQBTdF/yH4Qrd1YkugqSZiBSKDyhSTRF3l8w1E8zc&#10;CZnRpP36zqLQ5eG889VoW/Gg3jeOFcxnCQjiyumGawXl6f1lCcIHZI2tY1LwTR5WxeQpx0y7gT/p&#10;cQy1iCHsM1RgQugyKX1lyKKfuY44clfXWwwR9rXUPQ4x3LZykSSptNhwbDDY0Zuh6na8WwWH0lw2&#10;uKez/djfvsp1g+nPLlXqeTpPXkEEGsO/+M+91QoWcWz8En+ALH4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GfyCX28AAAA&#10;2wAAAA8AAAAAAAAAAQAgAAAAIgAAAGRycy9kb3ducmV2LnhtbFBLAQIUABQAAAAIAIdO4kAzLwWe&#10;OwAAADkAAAAQAAAAAAAAAAEAIAAAAAsBAABkcnMvc2hhcGV4bWwueG1sUEsFBgAAAAAGAAYAWwEA&#10;ALUDAAAAAA==&#10;">
                        <v:fill on="t" focussize="0,0"/>
                        <v:stroke weight="2pt" color="#845209" joinstyle="miter"/>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rect>
                      <w10:anchorlock/>
                    </v:group>
                  </w:pict>
                </mc:Fallback>
              </mc:AlternateContent>
            </w:r>
            <w:r>
              <w:rPr>
                <w:rFonts w:hint="eastAsia" w:ascii="黑体" w:hAnsi="宋体" w:eastAsia="黑体" w:cs="黑体"/>
                <w:color w:val="000000"/>
                <w:kern w:val="0"/>
                <w:sz w:val="40"/>
                <w:szCs w:val="40"/>
              </w:rPr>
              <w:t>收入支出决算总表</w:t>
            </w:r>
          </w:p>
        </w:tc>
      </w:tr>
      <w:tr>
        <w:tblPrEx>
          <w:tblCellMar>
            <w:top w:w="0" w:type="dxa"/>
            <w:left w:w="0" w:type="dxa"/>
            <w:bottom w:w="0" w:type="dxa"/>
            <w:right w:w="0" w:type="dxa"/>
          </w:tblCellMar>
        </w:tblPrEx>
        <w:trPr>
          <w:trHeight w:val="321" w:hRule="atLeast"/>
          <w:jc w:val="center"/>
        </w:trPr>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336"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43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rPr>
              <w:t>公开01表</w:t>
            </w:r>
          </w:p>
        </w:tc>
      </w:tr>
      <w:tr>
        <w:tblPrEx>
          <w:tblCellMar>
            <w:top w:w="0" w:type="dxa"/>
            <w:left w:w="0" w:type="dxa"/>
            <w:bottom w:w="0" w:type="dxa"/>
            <w:right w:w="0" w:type="dxa"/>
          </w:tblCellMar>
        </w:tblPrEx>
        <w:trPr>
          <w:trHeight w:val="418" w:hRule="atLeast"/>
          <w:jc w:val="center"/>
        </w:trPr>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部门：石家庄市鹿泉区广播电视台</w:t>
            </w: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1336"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143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295" w:hRule="atLeast"/>
          <w:jc w:val="center"/>
        </w:trPr>
        <w:tc>
          <w:tcPr>
            <w:tcW w:w="460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收入</w:t>
            </w:r>
          </w:p>
        </w:tc>
        <w:tc>
          <w:tcPr>
            <w:tcW w:w="4697"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支出</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行次</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金额</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行次</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金额</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r>
      <w:tr>
        <w:tblPrEx>
          <w:tblCellMar>
            <w:top w:w="0" w:type="dxa"/>
            <w:left w:w="0" w:type="dxa"/>
            <w:bottom w:w="0" w:type="dxa"/>
            <w:right w:w="0" w:type="dxa"/>
          </w:tblCellMar>
        </w:tblPrEx>
        <w:trPr>
          <w:trHeight w:val="36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一、财政拨款收入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854.72</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一、一般公共服务支出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28</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二、上级补助收入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二、外交支出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29</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三、事业收入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三、国防支出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30</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四、经营收入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四、公共安全支出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31</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五、附属单位上缴收入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五、教育支出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32</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六、其他收入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6</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28.29</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六、科学技术支出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33</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7</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七、文化体育与传媒支出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34</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721.38</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8</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八、社会保障和就业支出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35</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42.68</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9</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九、医疗卫生与计划生育支出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36</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35.59</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10</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十、节能环保支出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37</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11</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十一、城乡社区支出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38</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12</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十二、农林水支出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39</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13</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十三、交通运输支出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40</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14</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十四、资源勘探信息等支出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41</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15</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十五、商业服务业等支出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42</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16</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十六、金融支出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43</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17</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十七、援助其他地区支出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44</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18</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十八、国土海洋气象等支出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45</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19</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十九、住房保障支出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46</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41.56</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20</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二十、粮油物资储备支出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47</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21</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二十一、其他支出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48</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22</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二十二、债务还本支出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49</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23</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二十三、债务付息支出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50</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24</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883.01</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本年支出合计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51</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841.21</w:t>
            </w:r>
          </w:p>
        </w:tc>
      </w:tr>
      <w:tr>
        <w:tblPrEx>
          <w:tblCellMar>
            <w:top w:w="0" w:type="dxa"/>
            <w:left w:w="0" w:type="dxa"/>
            <w:bottom w:w="0" w:type="dxa"/>
            <w:right w:w="0" w:type="dxa"/>
          </w:tblCellMar>
        </w:tblPrEx>
        <w:trPr>
          <w:trHeight w:val="38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用事业基金弥补收支差额</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25</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18"/>
                <w:szCs w:val="18"/>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结余分配</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52</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年初结转和结余</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26</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0.08</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年末结转和结余</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53</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41.88</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27</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883.09</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54</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883.09</w:t>
            </w:r>
          </w:p>
        </w:tc>
      </w:tr>
      <w:tr>
        <w:tblPrEx>
          <w:tblCellMar>
            <w:top w:w="0" w:type="dxa"/>
            <w:left w:w="0" w:type="dxa"/>
            <w:bottom w:w="0" w:type="dxa"/>
            <w:right w:w="0" w:type="dxa"/>
          </w:tblCellMar>
        </w:tblPrEx>
        <w:trPr>
          <w:trHeight w:val="417" w:hRule="atLeast"/>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Cs w:val="21"/>
              </w:rPr>
            </w:pPr>
            <w:r>
              <w:rPr>
                <w:rFonts w:hint="eastAsia" w:ascii="宋体" w:hAnsi="宋体" w:cs="宋体"/>
                <w:color w:val="000000"/>
                <w:kern w:val="0"/>
                <w:szCs w:val="21"/>
              </w:rPr>
              <w:t>注：本表反映部门本年度的总收支和年末结转结余情况。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3"/>
        <w:tblW w:w="8800" w:type="dxa"/>
        <w:jc w:val="center"/>
        <w:tblLayout w:type="fixed"/>
        <w:tblCellMar>
          <w:top w:w="0" w:type="dxa"/>
          <w:left w:w="0" w:type="dxa"/>
          <w:bottom w:w="0" w:type="dxa"/>
          <w:right w:w="0" w:type="dxa"/>
        </w:tblCellMar>
      </w:tblPr>
      <w:tblGrid>
        <w:gridCol w:w="335"/>
        <w:gridCol w:w="179"/>
        <w:gridCol w:w="520"/>
        <w:gridCol w:w="1318"/>
        <w:gridCol w:w="533"/>
        <w:gridCol w:w="260"/>
        <w:gridCol w:w="127"/>
        <w:gridCol w:w="688"/>
        <w:gridCol w:w="232"/>
        <w:gridCol w:w="584"/>
        <w:gridCol w:w="337"/>
        <w:gridCol w:w="478"/>
        <w:gridCol w:w="442"/>
        <w:gridCol w:w="373"/>
        <w:gridCol w:w="548"/>
        <w:gridCol w:w="920"/>
        <w:gridCol w:w="926"/>
      </w:tblGrid>
      <w:tr>
        <w:tblPrEx>
          <w:tblCellMar>
            <w:top w:w="0" w:type="dxa"/>
            <w:left w:w="0" w:type="dxa"/>
            <w:bottom w:w="0" w:type="dxa"/>
            <w:right w:w="0" w:type="dxa"/>
          </w:tblCellMar>
        </w:tblPrEx>
        <w:trPr>
          <w:trHeight w:val="770" w:hRule="atLeast"/>
          <w:jc w:val="center"/>
        </w:trPr>
        <w:tc>
          <w:tcPr>
            <w:tcW w:w="8800" w:type="dxa"/>
            <w:gridSpan w:val="17"/>
            <w:tcBorders>
              <w:top w:val="nil"/>
              <w:left w:val="nil"/>
              <w:bottom w:val="nil"/>
              <w:right w:val="nil"/>
            </w:tcBorders>
            <w:shd w:val="clear" w:color="auto" w:fill="auto"/>
            <w:tcMar>
              <w:top w:w="15" w:type="dxa"/>
              <w:left w:w="15" w:type="dxa"/>
              <w:right w:w="15" w:type="dxa"/>
            </w:tcMar>
            <w:vAlign w:val="bottom"/>
          </w:tcPr>
          <w:p>
            <w:pPr>
              <w:widowControl/>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收入决</w:t>
            </w:r>
            <w:r>
              <w:rPr>
                <w:sz w:val="44"/>
              </w:rPr>
              <mc:AlternateContent>
                <mc:Choice Requires="wpg">
                  <w:drawing>
                    <wp:anchor distT="0" distB="0" distL="114300" distR="114300" simplePos="0" relativeHeight="251675648" behindDoc="0" locked="1" layoutInCell="1" allowOverlap="1">
                      <wp:simplePos x="0" y="0"/>
                      <wp:positionH relativeFrom="column">
                        <wp:posOffset>-1050925</wp:posOffset>
                      </wp:positionH>
                      <wp:positionV relativeFrom="page">
                        <wp:posOffset>-1029970</wp:posOffset>
                      </wp:positionV>
                      <wp:extent cx="3088640" cy="523240"/>
                      <wp:effectExtent l="3175" t="0" r="13335" b="29210"/>
                      <wp:wrapNone/>
                      <wp:docPr id="32" name="组合 34"/>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30" name="矩形 13"/>
                              <wps:cNvSpPr/>
                              <wps:spPr>
                                <a:xfrm>
                                  <a:off x="4551" y="52615"/>
                                  <a:ext cx="8546" cy="1175"/>
                                </a:xfrm>
                                <a:prstGeom prst="rect">
                                  <a:avLst/>
                                </a:prstGeom>
                                <a:solidFill>
                                  <a:srgbClr val="D8D8D8"/>
                                </a:solidFill>
                                <a:ln w="25400">
                                  <a:noFill/>
                                </a:ln>
                              </wps:spPr>
                              <wps:bodyPr anchor="ctr" anchorCtr="0" upright="1"/>
                            </wps:wsp>
                            <wps:wsp>
                              <wps:cNvPr id="31" name="矩形 14"/>
                              <wps:cNvSpPr/>
                              <wps:spPr>
                                <a:xfrm>
                                  <a:off x="4577" y="52890"/>
                                  <a:ext cx="8324" cy="1123"/>
                                </a:xfrm>
                                <a:prstGeom prst="rect">
                                  <a:avLst/>
                                </a:prstGeom>
                                <a:solidFill>
                                  <a:srgbClr val="AD002D"/>
                                </a:solidFill>
                                <a:ln w="25400" cap="flat" cmpd="sng">
                                  <a:solidFill>
                                    <a:srgbClr val="845209"/>
                                  </a:solidFill>
                                  <a:prstDash val="solid"/>
                                  <a:miter/>
                                  <a:headEnd type="none" w="med" len="med"/>
                                  <a:tailEnd type="none" w="med" len="med"/>
                                </a:ln>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wps:txbx>
                              <wps:bodyPr anchor="ctr" anchorCtr="0" upright="1"/>
                            </wps:wsp>
                          </wpg:wgp>
                        </a:graphicData>
                      </a:graphic>
                    </wp:anchor>
                  </w:drawing>
                </mc:Choice>
                <mc:Fallback>
                  <w:pict>
                    <v:group id="组合 34" o:spid="_x0000_s1026" o:spt="203" style="position:absolute;left:0pt;margin-left:-82.75pt;margin-top:-81.1pt;height:41.2pt;width:243.2pt;mso-position-vertical-relative:page;z-index:251675648;mso-width-relative:page;mso-height-relative:page;" coordorigin="4551,52615" coordsize="8546,1398" o:gfxdata="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">
                      <o:lock v:ext="edit" aspectratio="f"/>
                      <v:rect id="矩形 13" o:spid="_x0000_s1026" o:spt="1" style="position:absolute;left:4551;top:52615;height:1175;width:8546;v-text-anchor:middle;" fillcolor="#D8D8D8" filled="t" stroked="f" coordsize="21600,21600" o:gfxdata="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q/Mk8ugAAANsA&#10;AAAPAAAAAAAAAAEAIAAAACIAAABkcnMvZG93bnJldi54bWxQSwECFAAUAAAACACHTuJAMy8FnjsA&#10;AAA5AAAAEAAAAAAAAAABACAAAAAJAQAAZHJzL3NoYXBleG1sLnhtbFBLBQYAAAAABgAGAFsBAACz&#10;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cxE2Pb4AAADb&#10;AAAADwAAAGRycy9kb3ducmV2LnhtbEWPQWvCQBSE70L/w/IK3nSTFkJJXaUUSq1QRE0Rb4/sazYk&#10;+zZkV6P99a5Q8DjMzDfMbHG2rThR72vHCtJpAoK4dLrmSkGx+5i8gPABWWPrmBRcyMNi/jCaYa7d&#10;wBs6bUMlIoR9jgpMCF0upS8NWfRT1xFH79f1FkOUfSV1j0OE21Y+JUkmLdYcFwx29G6obLZHq2Bd&#10;mMMnrmhvv1fNT/FWY/b3lSk1fkyTVxCBzuEe/m8vtYLnFG5f4g+Q8yt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cxE2Pb4A&#10;AADbAAAADwAAAAAAAAABACAAAAAiAAAAZHJzL2Rvd25yZXYueG1sUEsBAhQAFAAAAAgAh07iQDMv&#10;BZ47AAAAOQAAABAAAAAAAAAAAQAgAAAADQEAAGRycy9zaGFwZXhtbC54bWxQSwUGAAAAAAYABgBb&#10;AQAAtwMAAAAA&#10;">
                        <v:fill on="t" focussize="0,0"/>
                        <v:stroke weight="2pt" color="#845209" joinstyle="miter"/>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rect>
                      <w10:anchorlock/>
                    </v:group>
                  </w:pict>
                </mc:Fallback>
              </mc:AlternateContent>
            </w:r>
            <w:r>
              <w:rPr>
                <w:rFonts w:hint="eastAsia" w:ascii="黑体" w:hAnsi="宋体" w:eastAsia="黑体" w:cs="黑体"/>
                <w:color w:val="000000"/>
                <w:kern w:val="0"/>
                <w:sz w:val="40"/>
                <w:szCs w:val="40"/>
              </w:rPr>
              <w:t>算表</w:t>
            </w:r>
          </w:p>
        </w:tc>
      </w:tr>
      <w:tr>
        <w:tblPrEx>
          <w:tblCellMar>
            <w:top w:w="0" w:type="dxa"/>
            <w:left w:w="0" w:type="dxa"/>
            <w:bottom w:w="0" w:type="dxa"/>
            <w:right w:w="0" w:type="dxa"/>
          </w:tblCellMar>
        </w:tblPrEx>
        <w:trPr>
          <w:trHeight w:val="362" w:hRule="atLeast"/>
          <w:jc w:val="center"/>
        </w:trPr>
        <w:tc>
          <w:tcPr>
            <w:tcW w:w="335"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79"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52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318"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533"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6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6"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394" w:type="dxa"/>
            <w:gridSpan w:val="3"/>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公开02表</w:t>
            </w:r>
          </w:p>
        </w:tc>
      </w:tr>
      <w:tr>
        <w:tblPrEx>
          <w:tblCellMar>
            <w:top w:w="0" w:type="dxa"/>
            <w:left w:w="0" w:type="dxa"/>
            <w:bottom w:w="0" w:type="dxa"/>
            <w:right w:w="0" w:type="dxa"/>
          </w:tblCellMar>
        </w:tblPrEx>
        <w:trPr>
          <w:trHeight w:val="362" w:hRule="atLeast"/>
          <w:jc w:val="center"/>
        </w:trPr>
        <w:tc>
          <w:tcPr>
            <w:tcW w:w="2885" w:type="dxa"/>
            <w:gridSpan w:val="5"/>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w:t>
            </w:r>
            <w:r>
              <w:rPr>
                <w:rFonts w:hint="eastAsia" w:ascii="宋体" w:hAnsi="宋体" w:cs="宋体"/>
                <w:color w:val="000000"/>
                <w:kern w:val="0"/>
                <w:sz w:val="20"/>
                <w:szCs w:val="20"/>
              </w:rPr>
              <w:t>石家庄市鹿泉区广播电视台</w:t>
            </w:r>
          </w:p>
        </w:tc>
        <w:tc>
          <w:tcPr>
            <w:tcW w:w="26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6"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394" w:type="dxa"/>
            <w:gridSpan w:val="3"/>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25" w:hRule="atLeast"/>
          <w:jc w:val="center"/>
        </w:trPr>
        <w:tc>
          <w:tcPr>
            <w:tcW w:w="2352" w:type="dxa"/>
            <w:gridSpan w:val="4"/>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项目</w:t>
            </w:r>
          </w:p>
        </w:tc>
        <w:tc>
          <w:tcPr>
            <w:tcW w:w="920" w:type="dxa"/>
            <w:gridSpan w:val="3"/>
            <w:vMerge w:val="restart"/>
            <w:tcBorders>
              <w:top w:val="single" w:color="auto" w:sz="4" w:space="0"/>
              <w:left w:val="single" w:color="auto" w:sz="4" w:space="0"/>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920"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财政拨款收入</w:t>
            </w:r>
          </w:p>
        </w:tc>
        <w:tc>
          <w:tcPr>
            <w:tcW w:w="921"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上级补助收入</w:t>
            </w:r>
          </w:p>
        </w:tc>
        <w:tc>
          <w:tcPr>
            <w:tcW w:w="920"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事业收入</w:t>
            </w:r>
          </w:p>
        </w:tc>
        <w:tc>
          <w:tcPr>
            <w:tcW w:w="921"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经营收入</w:t>
            </w:r>
          </w:p>
        </w:tc>
        <w:tc>
          <w:tcPr>
            <w:tcW w:w="920" w:type="dxa"/>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附属单位上缴收入</w:t>
            </w:r>
          </w:p>
        </w:tc>
        <w:tc>
          <w:tcPr>
            <w:tcW w:w="926" w:type="dxa"/>
            <w:vMerge w:val="restart"/>
            <w:tcBorders>
              <w:top w:val="single" w:color="auto" w:sz="4" w:space="0"/>
              <w:left w:val="nil"/>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其他收入</w:t>
            </w:r>
          </w:p>
        </w:tc>
      </w:tr>
      <w:tr>
        <w:tblPrEx>
          <w:tblCellMar>
            <w:top w:w="0" w:type="dxa"/>
            <w:left w:w="0" w:type="dxa"/>
            <w:bottom w:w="0" w:type="dxa"/>
            <w:right w:w="0" w:type="dxa"/>
          </w:tblCellMar>
        </w:tblPrEx>
        <w:trPr>
          <w:trHeight w:val="626"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功能分类科目编码</w:t>
            </w:r>
          </w:p>
        </w:tc>
        <w:tc>
          <w:tcPr>
            <w:tcW w:w="1318"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科目名称</w:t>
            </w:r>
          </w:p>
        </w:tc>
        <w:tc>
          <w:tcPr>
            <w:tcW w:w="920" w:type="dxa"/>
            <w:gridSpan w:val="3"/>
            <w:vMerge w:val="continue"/>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p>
        </w:tc>
        <w:tc>
          <w:tcPr>
            <w:tcW w:w="920"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1"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0"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1"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0" w:type="dxa"/>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6" w:type="dxa"/>
            <w:vMerge w:val="continue"/>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r>
      <w:tr>
        <w:tblPrEx>
          <w:tblCellMar>
            <w:top w:w="0" w:type="dxa"/>
            <w:left w:w="0" w:type="dxa"/>
            <w:bottom w:w="0" w:type="dxa"/>
            <w:right w:w="0" w:type="dxa"/>
          </w:tblCellMar>
        </w:tblPrEx>
        <w:trPr>
          <w:trHeight w:val="391" w:hRule="atLeast"/>
          <w:jc w:val="center"/>
        </w:trPr>
        <w:tc>
          <w:tcPr>
            <w:tcW w:w="235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92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9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92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9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c>
          <w:tcPr>
            <w:tcW w:w="92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w:t>
            </w:r>
          </w:p>
        </w:tc>
        <w:tc>
          <w:tcPr>
            <w:tcW w:w="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6</w:t>
            </w:r>
          </w:p>
        </w:tc>
        <w:tc>
          <w:tcPr>
            <w:tcW w:w="9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7</w:t>
            </w:r>
          </w:p>
        </w:tc>
      </w:tr>
      <w:tr>
        <w:tblPrEx>
          <w:tblCellMar>
            <w:top w:w="0" w:type="dxa"/>
            <w:left w:w="0" w:type="dxa"/>
            <w:bottom w:w="0" w:type="dxa"/>
            <w:right w:w="0" w:type="dxa"/>
          </w:tblCellMar>
        </w:tblPrEx>
        <w:trPr>
          <w:trHeight w:val="90" w:hRule="atLeast"/>
          <w:jc w:val="center"/>
        </w:trPr>
        <w:tc>
          <w:tcPr>
            <w:tcW w:w="235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合计</w:t>
            </w:r>
          </w:p>
        </w:tc>
        <w:tc>
          <w:tcPr>
            <w:tcW w:w="920"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r>
              <w:rPr>
                <w:rFonts w:hint="eastAsia" w:ascii="宋体" w:hAnsi="宋体" w:cs="宋体"/>
                <w:b/>
                <w:color w:val="000000"/>
                <w:sz w:val="18"/>
                <w:szCs w:val="18"/>
              </w:rPr>
              <w:t>883.01</w:t>
            </w:r>
          </w:p>
        </w:tc>
        <w:tc>
          <w:tcPr>
            <w:tcW w:w="920"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r>
              <w:rPr>
                <w:rFonts w:hint="eastAsia" w:ascii="宋体" w:hAnsi="宋体" w:cs="宋体"/>
                <w:b/>
                <w:color w:val="000000"/>
                <w:sz w:val="18"/>
                <w:szCs w:val="18"/>
              </w:rPr>
              <w:t>854.72</w:t>
            </w:r>
          </w:p>
        </w:tc>
        <w:tc>
          <w:tcPr>
            <w:tcW w:w="921"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0"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1"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6"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r>
              <w:rPr>
                <w:rFonts w:hint="eastAsia" w:ascii="宋体" w:hAnsi="宋体" w:cs="宋体"/>
                <w:b/>
                <w:color w:val="000000"/>
                <w:sz w:val="18"/>
                <w:szCs w:val="18"/>
              </w:rPr>
              <w:t>28.29</w:t>
            </w: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207</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文化体育与传媒支出</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743.94</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724.63</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19.31</w:t>
            </w: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20704</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新闻出版广播影视</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743.94</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724.63</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19.31</w:t>
            </w: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2070405</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电视</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743.94</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724.63</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19.31</w:t>
            </w: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社会保障和就业支出</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56.54</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56.13</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0.41</w:t>
            </w: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20805</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行政事业单位离退休</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54.08</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54.08</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2080505</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机关事业单位基本养老保险缴费支出</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54.08</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54.08</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20809</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退役安置</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2.46</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2.05</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0.41</w:t>
            </w: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2080901</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退役士兵安置</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2.46</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2.05</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0.41</w:t>
            </w: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210</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医疗卫生与计划生育支出</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40.97</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40.97</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21011</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行政事业单位医疗</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40.97</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40.97</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2101102</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事业单位医疗</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40.97</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40.97</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221</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住房保障支出</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41.56</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32.99</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8.57</w:t>
            </w: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22102</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住房改革支出</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41.56</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32.99</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8.57</w:t>
            </w: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2210201</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住房公积金</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41.56</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32.99</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8.57</w:t>
            </w:r>
          </w:p>
        </w:tc>
      </w:tr>
      <w:tr>
        <w:tblPrEx>
          <w:tblCellMar>
            <w:top w:w="0" w:type="dxa"/>
            <w:left w:w="0" w:type="dxa"/>
            <w:bottom w:w="0" w:type="dxa"/>
            <w:right w:w="0" w:type="dxa"/>
          </w:tblCellMar>
        </w:tblPrEx>
        <w:trPr>
          <w:trHeight w:val="481" w:hRule="atLeast"/>
          <w:jc w:val="center"/>
        </w:trPr>
        <w:tc>
          <w:tcPr>
            <w:tcW w:w="8800" w:type="dxa"/>
            <w:gridSpan w:val="17"/>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注：本表反映部门本年度取得的各项收入情况。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3"/>
        <w:tblW w:w="9000" w:type="dxa"/>
        <w:tblInd w:w="0" w:type="dxa"/>
        <w:tblLayout w:type="fixed"/>
        <w:tblCellMar>
          <w:top w:w="0" w:type="dxa"/>
          <w:left w:w="0" w:type="dxa"/>
          <w:bottom w:w="0" w:type="dxa"/>
          <w:right w:w="0" w:type="dxa"/>
        </w:tblCellMar>
      </w:tblPr>
      <w:tblGrid>
        <w:gridCol w:w="290"/>
        <w:gridCol w:w="289"/>
        <w:gridCol w:w="803"/>
        <w:gridCol w:w="1117"/>
        <w:gridCol w:w="647"/>
        <w:gridCol w:w="436"/>
        <w:gridCol w:w="682"/>
        <w:gridCol w:w="402"/>
        <w:gridCol w:w="718"/>
        <w:gridCol w:w="365"/>
        <w:gridCol w:w="753"/>
        <w:gridCol w:w="331"/>
        <w:gridCol w:w="789"/>
        <w:gridCol w:w="294"/>
        <w:gridCol w:w="1084"/>
      </w:tblGrid>
      <w:tr>
        <w:tblPrEx>
          <w:tblCellMar>
            <w:top w:w="0" w:type="dxa"/>
            <w:left w:w="0" w:type="dxa"/>
            <w:bottom w:w="0" w:type="dxa"/>
            <w:right w:w="0" w:type="dxa"/>
          </w:tblCellMar>
        </w:tblPrEx>
        <w:trPr>
          <w:trHeight w:val="798" w:hRule="atLeast"/>
        </w:trPr>
        <w:tc>
          <w:tcPr>
            <w:tcW w:w="9000" w:type="dxa"/>
            <w:gridSpan w:val="15"/>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center"/>
              <w:rPr>
                <w:rFonts w:ascii="黑体" w:hAnsi="宋体" w:eastAsia="黑体" w:cs="黑体"/>
                <w:color w:val="000000"/>
                <w:sz w:val="40"/>
                <w:szCs w:val="40"/>
              </w:rPr>
            </w:pPr>
            <w:r>
              <w:rPr>
                <w:rFonts w:hint="eastAsia" w:ascii="黑体" w:hAnsi="宋体" w:eastAsia="黑体" w:cs="黑体"/>
                <w:color w:val="000000"/>
                <w:kern w:val="0"/>
                <w:sz w:val="40"/>
                <w:szCs w:val="40"/>
              </w:rPr>
              <w:t>支出决算</w:t>
            </w:r>
            <w:r>
              <w:rPr>
                <w:sz w:val="44"/>
              </w:rPr>
              <mc:AlternateContent>
                <mc:Choice Requires="wpg">
                  <w:drawing>
                    <wp:anchor distT="0" distB="0" distL="114300" distR="114300" simplePos="0" relativeHeight="251676672" behindDoc="0" locked="1" layoutInCell="1" allowOverlap="1">
                      <wp:simplePos x="0" y="0"/>
                      <wp:positionH relativeFrom="column">
                        <wp:posOffset>-1027430</wp:posOffset>
                      </wp:positionH>
                      <wp:positionV relativeFrom="page">
                        <wp:posOffset>-1029970</wp:posOffset>
                      </wp:positionV>
                      <wp:extent cx="3088640" cy="523240"/>
                      <wp:effectExtent l="3175" t="0" r="13335" b="29210"/>
                      <wp:wrapNone/>
                      <wp:docPr id="35" name="组合 38"/>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33" name="矩形 13"/>
                              <wps:cNvSpPr/>
                              <wps:spPr>
                                <a:xfrm>
                                  <a:off x="4551" y="52615"/>
                                  <a:ext cx="8546" cy="1175"/>
                                </a:xfrm>
                                <a:prstGeom prst="rect">
                                  <a:avLst/>
                                </a:prstGeom>
                                <a:solidFill>
                                  <a:srgbClr val="D8D8D8"/>
                                </a:solidFill>
                                <a:ln w="25400">
                                  <a:noFill/>
                                </a:ln>
                              </wps:spPr>
                              <wps:bodyPr anchor="ctr" anchorCtr="0" upright="1"/>
                            </wps:wsp>
                            <wps:wsp>
                              <wps:cNvPr id="34" name="矩形 14"/>
                              <wps:cNvSpPr/>
                              <wps:spPr>
                                <a:xfrm>
                                  <a:off x="4577" y="52890"/>
                                  <a:ext cx="8324" cy="1123"/>
                                </a:xfrm>
                                <a:prstGeom prst="rect">
                                  <a:avLst/>
                                </a:prstGeom>
                                <a:solidFill>
                                  <a:srgbClr val="AD002D"/>
                                </a:solidFill>
                                <a:ln w="25400" cap="flat" cmpd="sng">
                                  <a:solidFill>
                                    <a:srgbClr val="845209"/>
                                  </a:solidFill>
                                  <a:prstDash val="solid"/>
                                  <a:miter/>
                                  <a:headEnd type="none" w="med" len="med"/>
                                  <a:tailEnd type="none" w="med" len="med"/>
                                </a:ln>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wps:txbx>
                              <wps:bodyPr anchor="ctr" anchorCtr="0" upright="1"/>
                            </wps:wsp>
                          </wpg:wgp>
                        </a:graphicData>
                      </a:graphic>
                    </wp:anchor>
                  </w:drawing>
                </mc:Choice>
                <mc:Fallback>
                  <w:pict>
                    <v:group id="组合 38" o:spid="_x0000_s1026" o:spt="203" style="position:absolute;left:0pt;margin-left:-80.9pt;margin-top:-81.1pt;height:41.2pt;width:243.2pt;mso-position-vertical-relative:page;z-index:251676672;mso-width-relative:page;mso-height-relative:page;" coordorigin="4551,52615" coordsize="8546,1398"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">
                      <o:lock v:ext="edit" aspectratio="f"/>
                      <v:rect id="矩形 13" o:spid="_x0000_s1026" o:spt="1" style="position:absolute;left:4551;top:52615;height:1175;width:8546;v-text-anchor:middle;" fillcolor="#D8D8D8" filled="t" stroked="f" coordsize="21600,21600" o:gfxdata="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aLldLvQAA&#10;ANsAAAAPAAAAAAAAAAEAIAAAACIAAABkcnMvZG93bnJldi54bWxQSwECFAAUAAAACACHTuJAMy8F&#10;njsAAAA5AAAAEAAAAAAAAAABACAAAAAMAQAAZHJzL3NoYXBleG1sLnhtbFBLBQYAAAAABgAGAFsB&#10;AAC2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Y2aVpb8AAADb&#10;AAAADwAAAGRycy9kb3ducmV2LnhtbEWP3WrCQBSE7wu+w3IKvasbWwkS3YQilLaCFG2KeHfIHrPB&#10;7NmQ3fr39K5Q8HKYmW+YWXGyrThQ7xvHCkbDBARx5XTDtYLy5/15AsIHZI2tY1JwJg9FPniYYabd&#10;kVd0WIdaRAj7DBWYELpMSl8ZsuiHriOO3s71FkOUfS11j8cIt618SZJUWmw4LhjsaG6o2q//rILv&#10;0mw/cEEbu1zsf8u3BtPLV6rU0+MomYIIdAr38H/7Uyt4HcPtS/wBMr8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GNmlaW/&#10;AAAA2wAAAA8AAAAAAAAAAQAgAAAAIgAAAGRycy9kb3ducmV2LnhtbFBLAQIUABQAAAAIAIdO4kAz&#10;LwWeOwAAADkAAAAQAAAAAAAAAAEAIAAAAA4BAABkcnMvc2hhcGV4bWwueG1sUEsFBgAAAAAGAAYA&#10;WwEAALgDAAAAAA==&#10;">
                        <v:fill on="t" focussize="0,0"/>
                        <v:stroke weight="2pt" color="#845209" joinstyle="miter"/>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rect>
                      <w10:anchorlock/>
                    </v:group>
                  </w:pict>
                </mc:Fallback>
              </mc:AlternateContent>
            </w:r>
            <w:r>
              <w:rPr>
                <w:rFonts w:hint="eastAsia" w:ascii="黑体" w:hAnsi="宋体" w:eastAsia="黑体" w:cs="黑体"/>
                <w:color w:val="000000"/>
                <w:kern w:val="0"/>
                <w:sz w:val="40"/>
                <w:szCs w:val="40"/>
              </w:rPr>
              <w:t>表</w:t>
            </w:r>
          </w:p>
        </w:tc>
      </w:tr>
      <w:tr>
        <w:tblPrEx>
          <w:tblCellMar>
            <w:top w:w="0" w:type="dxa"/>
            <w:left w:w="0" w:type="dxa"/>
            <w:bottom w:w="0" w:type="dxa"/>
            <w:right w:w="0" w:type="dxa"/>
          </w:tblCellMar>
        </w:tblPrEx>
        <w:trPr>
          <w:trHeight w:val="404" w:hRule="atLeast"/>
        </w:trPr>
        <w:tc>
          <w:tcPr>
            <w:tcW w:w="29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89"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03"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1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64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37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公开03表</w:t>
            </w:r>
          </w:p>
        </w:tc>
      </w:tr>
      <w:tr>
        <w:tblPrEx>
          <w:tblCellMar>
            <w:top w:w="0" w:type="dxa"/>
            <w:left w:w="0" w:type="dxa"/>
            <w:bottom w:w="0" w:type="dxa"/>
            <w:right w:w="0" w:type="dxa"/>
          </w:tblCellMar>
        </w:tblPrEx>
        <w:trPr>
          <w:trHeight w:val="380" w:hRule="atLeast"/>
        </w:trPr>
        <w:tc>
          <w:tcPr>
            <w:tcW w:w="3146" w:type="dxa"/>
            <w:gridSpan w:val="5"/>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w:t>
            </w:r>
            <w:r>
              <w:rPr>
                <w:rFonts w:hint="eastAsia" w:ascii="宋体" w:hAnsi="宋体" w:cs="宋体"/>
                <w:color w:val="000000"/>
                <w:kern w:val="0"/>
                <w:sz w:val="20"/>
                <w:szCs w:val="20"/>
              </w:rPr>
              <w:t>石家庄市鹿泉区广播电视台</w:t>
            </w:r>
          </w:p>
        </w:tc>
        <w:tc>
          <w:tcPr>
            <w:tcW w:w="111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498" w:type="dxa"/>
            <w:gridSpan w:val="4"/>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837" w:hRule="atLeast"/>
        </w:trPr>
        <w:tc>
          <w:tcPr>
            <w:tcW w:w="2499"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1083"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本年支出合计</w:t>
            </w:r>
          </w:p>
        </w:tc>
        <w:tc>
          <w:tcPr>
            <w:tcW w:w="1084"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083"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项目支出</w:t>
            </w:r>
          </w:p>
        </w:tc>
        <w:tc>
          <w:tcPr>
            <w:tcW w:w="1084"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上缴上级支出</w:t>
            </w:r>
          </w:p>
        </w:tc>
        <w:tc>
          <w:tcPr>
            <w:tcW w:w="1083"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经营支出</w:t>
            </w:r>
          </w:p>
        </w:tc>
        <w:tc>
          <w:tcPr>
            <w:tcW w:w="1084" w:type="dxa"/>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对附属单位补助支出</w:t>
            </w:r>
          </w:p>
        </w:tc>
      </w:tr>
      <w:tr>
        <w:tblPrEx>
          <w:tblCellMar>
            <w:top w:w="0" w:type="dxa"/>
            <w:left w:w="0" w:type="dxa"/>
            <w:bottom w:w="0" w:type="dxa"/>
            <w:right w:w="0" w:type="dxa"/>
          </w:tblCellMar>
        </w:tblPrEx>
        <w:trPr>
          <w:trHeight w:val="782"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083"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3"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3"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95" w:hRule="atLeast"/>
        </w:trPr>
        <w:tc>
          <w:tcPr>
            <w:tcW w:w="2499"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440" w:hRule="atLeast"/>
        </w:trPr>
        <w:tc>
          <w:tcPr>
            <w:tcW w:w="2499"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841.21</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841.21</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207</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文化体育与传媒支出</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721.38</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721.38</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20704</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新闻出版广播影视</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721.38</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721.38</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2070405</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电视</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721.38</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721.38</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社会保障和就业支出</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42.68</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42.68</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20805</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行政事业单位离退休</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40.23</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40.23</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2080505</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机关事业单位基本养老保险缴费支出</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40.23</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40.23</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20809</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退役安置</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2.46</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2.46</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2080901</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退役士兵安置</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2.46</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2.46</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210</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医疗卫生与计划生育支出</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35.59</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35.59</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21011</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行政事业单位医疗</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35.59</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35.59</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2101102</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事业单位医疗</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35.59</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35.59</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221</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住房保障支出</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41.56</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41.56</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22102</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住房改革支出</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41.56</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41.56</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2210201</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住房公积金</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41.56</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41.56</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748" w:hRule="atLeast"/>
        </w:trPr>
        <w:tc>
          <w:tcPr>
            <w:tcW w:w="9000" w:type="dxa"/>
            <w:gridSpan w:val="15"/>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注：本表反映部门本年度各项支出情况。</w:t>
            </w:r>
          </w:p>
        </w:tc>
      </w:tr>
    </w:tbl>
    <w:p>
      <w:pPr>
        <w:widowControl/>
        <w:spacing w:after="0" w:line="560" w:lineRule="exact"/>
        <w:ind w:firstLine="562" w:firstLineChars="200"/>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3"/>
        <w:tblW w:w="8940" w:type="dxa"/>
        <w:tblInd w:w="0" w:type="dxa"/>
        <w:tblLayout w:type="fixed"/>
        <w:tblCellMar>
          <w:top w:w="0" w:type="dxa"/>
          <w:left w:w="0" w:type="dxa"/>
          <w:bottom w:w="0" w:type="dxa"/>
          <w:right w:w="0" w:type="dxa"/>
        </w:tblCellMar>
      </w:tblPr>
      <w:tblGrid>
        <w:gridCol w:w="1717"/>
        <w:gridCol w:w="745"/>
        <w:gridCol w:w="325"/>
        <w:gridCol w:w="850"/>
        <w:gridCol w:w="2124"/>
        <w:gridCol w:w="191"/>
        <w:gridCol w:w="360"/>
        <w:gridCol w:w="650"/>
        <w:gridCol w:w="226"/>
        <w:gridCol w:w="599"/>
        <w:gridCol w:w="277"/>
        <w:gridCol w:w="876"/>
      </w:tblGrid>
      <w:tr>
        <w:tblPrEx>
          <w:tblCellMar>
            <w:top w:w="0" w:type="dxa"/>
            <w:left w:w="0" w:type="dxa"/>
            <w:bottom w:w="0" w:type="dxa"/>
            <w:right w:w="0" w:type="dxa"/>
          </w:tblCellMar>
        </w:tblPrEx>
        <w:trPr>
          <w:trHeight w:val="152" w:hRule="atLeast"/>
        </w:trPr>
        <w:tc>
          <w:tcPr>
            <w:tcW w:w="8940" w:type="dxa"/>
            <w:gridSpan w:val="1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财政拨款收入支出决</w:t>
            </w:r>
            <w:r>
              <w:rPr>
                <w:sz w:val="44"/>
              </w:rPr>
              <mc:AlternateContent>
                <mc:Choice Requires="wpg">
                  <w:drawing>
                    <wp:anchor distT="0" distB="0" distL="114300" distR="114300" simplePos="0" relativeHeight="251677696" behindDoc="0" locked="1" layoutInCell="1" allowOverlap="1">
                      <wp:simplePos x="0" y="0"/>
                      <wp:positionH relativeFrom="column">
                        <wp:posOffset>-1027430</wp:posOffset>
                      </wp:positionH>
                      <wp:positionV relativeFrom="page">
                        <wp:posOffset>-1029970</wp:posOffset>
                      </wp:positionV>
                      <wp:extent cx="3088640" cy="523240"/>
                      <wp:effectExtent l="3175" t="0" r="13335" b="29210"/>
                      <wp:wrapNone/>
                      <wp:docPr id="38" name="组合 43"/>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36" name="矩形 13"/>
                              <wps:cNvSpPr/>
                              <wps:spPr>
                                <a:xfrm>
                                  <a:off x="4551" y="52615"/>
                                  <a:ext cx="8546" cy="1175"/>
                                </a:xfrm>
                                <a:prstGeom prst="rect">
                                  <a:avLst/>
                                </a:prstGeom>
                                <a:solidFill>
                                  <a:srgbClr val="D8D8D8"/>
                                </a:solidFill>
                                <a:ln w="25400">
                                  <a:noFill/>
                                </a:ln>
                              </wps:spPr>
                              <wps:bodyPr anchor="ctr" anchorCtr="0" upright="1"/>
                            </wps:wsp>
                            <wps:wsp>
                              <wps:cNvPr id="37" name="矩形 14"/>
                              <wps:cNvSpPr/>
                              <wps:spPr>
                                <a:xfrm>
                                  <a:off x="4577" y="52890"/>
                                  <a:ext cx="8324" cy="1123"/>
                                </a:xfrm>
                                <a:prstGeom prst="rect">
                                  <a:avLst/>
                                </a:prstGeom>
                                <a:solidFill>
                                  <a:srgbClr val="AD002D"/>
                                </a:solidFill>
                                <a:ln w="25400" cap="flat" cmpd="sng">
                                  <a:solidFill>
                                    <a:srgbClr val="845209"/>
                                  </a:solidFill>
                                  <a:prstDash val="solid"/>
                                  <a:miter/>
                                  <a:headEnd type="none" w="med" len="med"/>
                                  <a:tailEnd type="none" w="med" len="med"/>
                                </a:ln>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wps:txbx>
                              <wps:bodyPr anchor="ctr" anchorCtr="0" upright="1"/>
                            </wps:wsp>
                          </wpg:wgp>
                        </a:graphicData>
                      </a:graphic>
                    </wp:anchor>
                  </w:drawing>
                </mc:Choice>
                <mc:Fallback>
                  <w:pict>
                    <v:group id="组合 43" o:spid="_x0000_s1026" o:spt="203" style="position:absolute;left:0pt;margin-left:-80.9pt;margin-top:-81.1pt;height:41.2pt;width:243.2pt;mso-position-vertical-relative:page;z-index:251677696;mso-width-relative:page;mso-height-relative:page;" coordorigin="4551,52615" coordsize="8546,1398"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">
                      <o:lock v:ext="edit" aspectratio="f"/>
                      <v:rect id="矩形 13" o:spid="_x0000_s1026" o:spt="1" style="position:absolute;left:4551;top:52615;height:1175;width:8546;v-text-anchor:middle;" fillcolor="#D8D8D8" filled="t" stroked="f" coordsize="21600,21600" o:gfxdata="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KWfTTvQAA&#10;ANsAAAAPAAAAAAAAAAEAIAAAACIAAABkcnMvZG93bnJldi54bWxQSwECFAAUAAAACACHTuJAMy8F&#10;njsAAAA5AAAAEAAAAAAAAAABACAAAAAMAQAAZHJzL3NoYXBleG1sLnhtbFBLBQYAAAAABgAGAFsB&#10;AAC2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k7QL0r4AAADb&#10;AAAADwAAAGRycy9kb3ducmV2LnhtbEWP3WoCMRSE7wXfIZxC7zSrhVVWoxRBWgUp2i3i3WFz3Cxu&#10;TpZN/Gmf3hQEL4eZ+YaZzm+2FhdqfeVYwaCfgCAunK64VJB/L3tjED4ga6wdk4Jf8jCfdTtTzLS7&#10;8pYuu1CKCGGfoQITQpNJ6QtDFn3fNcTRO7rWYoiyLaVu8RrhtpbDJEmlxYrjgsGGFoaK0+5sFXzl&#10;5vCBa9rbzfr0k79XmP6tUqVeXwbJBESgW3iGH+1PreBtBP9f4g+Qszt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k7QL0r4A&#10;AADbAAAADwAAAAAAAAABACAAAAAiAAAAZHJzL2Rvd25yZXYueG1sUEsBAhQAFAAAAAgAh07iQDMv&#10;BZ47AAAAOQAAABAAAAAAAAAAAQAgAAAADQEAAGRycy9zaGFwZXhtbC54bWxQSwUGAAAAAAYABgBb&#10;AQAAtwMAAAAA&#10;">
                        <v:fill on="t" focussize="0,0"/>
                        <v:stroke weight="2pt" color="#845209" joinstyle="miter"/>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rect>
                      <w10:anchorlock/>
                    </v:group>
                  </w:pict>
                </mc:Fallback>
              </mc:AlternateContent>
            </w:r>
            <w:r>
              <w:rPr>
                <w:rFonts w:hint="eastAsia" w:ascii="黑体" w:hAnsi="宋体" w:eastAsia="黑体" w:cs="黑体"/>
                <w:color w:val="000000"/>
                <w:kern w:val="0"/>
                <w:sz w:val="40"/>
                <w:szCs w:val="40"/>
              </w:rPr>
              <w:t>算总表</w:t>
            </w:r>
          </w:p>
        </w:tc>
      </w:tr>
      <w:tr>
        <w:tblPrEx>
          <w:tblCellMar>
            <w:top w:w="0" w:type="dxa"/>
            <w:left w:w="0" w:type="dxa"/>
            <w:bottom w:w="0" w:type="dxa"/>
            <w:right w:w="0" w:type="dxa"/>
          </w:tblCellMar>
        </w:tblPrEx>
        <w:trPr>
          <w:trHeight w:val="90" w:hRule="atLeast"/>
        </w:trPr>
        <w:tc>
          <w:tcPr>
            <w:tcW w:w="171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745"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325"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2974"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551"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65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82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153"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rPr>
              <w:t>公开04表</w:t>
            </w:r>
          </w:p>
        </w:tc>
      </w:tr>
      <w:tr>
        <w:tblPrEx>
          <w:tblCellMar>
            <w:top w:w="0" w:type="dxa"/>
            <w:left w:w="0" w:type="dxa"/>
            <w:bottom w:w="0" w:type="dxa"/>
            <w:right w:w="0" w:type="dxa"/>
          </w:tblCellMar>
        </w:tblPrEx>
        <w:trPr>
          <w:trHeight w:val="152" w:hRule="atLeast"/>
        </w:trPr>
        <w:tc>
          <w:tcPr>
            <w:tcW w:w="6312" w:type="dxa"/>
            <w:gridSpan w:val="7"/>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20"/>
                <w:szCs w:val="20"/>
              </w:rPr>
            </w:pPr>
            <w:r>
              <w:rPr>
                <w:rFonts w:hint="eastAsia" w:ascii="宋体" w:hAnsi="宋体" w:cs="宋体"/>
                <w:color w:val="000000"/>
                <w:kern w:val="0"/>
                <w:sz w:val="20"/>
                <w:szCs w:val="20"/>
              </w:rPr>
              <w:t>部门：石家庄市鹿泉区广播电视台</w:t>
            </w:r>
          </w:p>
        </w:tc>
        <w:tc>
          <w:tcPr>
            <w:tcW w:w="65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978" w:type="dxa"/>
            <w:gridSpan w:val="4"/>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90" w:hRule="atLeast"/>
        </w:trPr>
        <w:tc>
          <w:tcPr>
            <w:tcW w:w="278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收     入</w:t>
            </w:r>
          </w:p>
        </w:tc>
        <w:tc>
          <w:tcPr>
            <w:tcW w:w="6153" w:type="dxa"/>
            <w:gridSpan w:val="9"/>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支     出</w:t>
            </w:r>
          </w:p>
        </w:tc>
      </w:tr>
      <w:tr>
        <w:tblPrEx>
          <w:tblCellMar>
            <w:top w:w="0" w:type="dxa"/>
            <w:left w:w="0" w:type="dxa"/>
            <w:bottom w:w="0" w:type="dxa"/>
            <w:right w:w="0" w:type="dxa"/>
          </w:tblCellMar>
        </w:tblPrEx>
        <w:trPr>
          <w:trHeight w:val="17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项目</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行次</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金额</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项目</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行次</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合计</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一般公共预算财政拨款</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政府性基金预算财政拨款</w:t>
            </w: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一、一般公共预算财政拨款</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854.72</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一、一般公共服务支出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29</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二、政府性基金预算财政拨款</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二、外交支出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30</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三、国防支出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31</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四、公共安全支出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32</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五、教育支出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33</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6</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六、科学技术支出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34</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7</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七、文化体育与传媒支出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35</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701.98</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701.98</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8</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八、社会保障和就业支出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36</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42.28</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42.28</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9</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6"/>
                <w:szCs w:val="16"/>
              </w:rPr>
              <w:t>九、医疗卫生与计划生育支出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37</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35.59</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35.59</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10</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十、节能环保支出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38</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11</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十一、城乡社区支出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39</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12</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十二、农林水支出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40</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13</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十三、交通运输支出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41</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14</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十四、资源勘探信息等支出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42</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15</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十五、商业服务业等支出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43</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16</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十六、金融支出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44</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17</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十七、援助其他地区支出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45</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18</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十八、国土海洋气象等支出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46</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19</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十九、住房保障支出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47</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32.99</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32.99</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20</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二十、粮油物资储备支出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48</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21</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二十一、其他支出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49</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22</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二十二、债务还本支出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50</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23</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二十三、债务付息支出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51</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本年收入合计</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24</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854.72</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本年支出合计</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52</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812.84</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812.84</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年初财政拨款结转和结余</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25</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年末财政拨款结转和结余</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53</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41.88</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41.88</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一般公共预算财政拨款</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26</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54</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政府性基金预算财政拨款</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27</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55</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总计</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28</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854.72</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总计</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56</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854.72</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854.72</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55" w:hRule="atLeast"/>
        </w:trPr>
        <w:tc>
          <w:tcPr>
            <w:tcW w:w="8940" w:type="dxa"/>
            <w:gridSpan w:val="1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注：本表反映部门本年度一般公共预算财政拨款和政府性基金预算财政拨款的总收支和年末结转结余情况。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3"/>
        <w:tblW w:w="8860" w:type="dxa"/>
        <w:tblInd w:w="0" w:type="dxa"/>
        <w:tblLayout w:type="fixed"/>
        <w:tblCellMar>
          <w:top w:w="0" w:type="dxa"/>
          <w:left w:w="0" w:type="dxa"/>
          <w:bottom w:w="0" w:type="dxa"/>
          <w:right w:w="0" w:type="dxa"/>
        </w:tblCellMar>
      </w:tblPr>
      <w:tblGrid>
        <w:gridCol w:w="317"/>
        <w:gridCol w:w="319"/>
        <w:gridCol w:w="357"/>
        <w:gridCol w:w="2109"/>
        <w:gridCol w:w="745"/>
        <w:gridCol w:w="1174"/>
        <w:gridCol w:w="718"/>
        <w:gridCol w:w="1201"/>
        <w:gridCol w:w="1920"/>
      </w:tblGrid>
      <w:tr>
        <w:tblPrEx>
          <w:tblCellMar>
            <w:top w:w="0" w:type="dxa"/>
            <w:left w:w="0" w:type="dxa"/>
            <w:bottom w:w="0" w:type="dxa"/>
            <w:right w:w="0" w:type="dxa"/>
          </w:tblCellMar>
        </w:tblPrEx>
        <w:trPr>
          <w:trHeight w:val="600" w:hRule="atLeast"/>
        </w:trPr>
        <w:tc>
          <w:tcPr>
            <w:tcW w:w="8860" w:type="dxa"/>
            <w:gridSpan w:val="9"/>
            <w:tcBorders>
              <w:top w:val="nil"/>
              <w:left w:val="nil"/>
              <w:bottom w:val="nil"/>
              <w:right w:val="nil"/>
            </w:tcBorders>
            <w:shd w:val="clear" w:color="auto" w:fill="auto"/>
            <w:tcMar>
              <w:top w:w="15" w:type="dxa"/>
              <w:left w:w="15" w:type="dxa"/>
              <w:right w:w="15" w:type="dxa"/>
            </w:tcMar>
            <w:vAlign w:val="bottom"/>
          </w:tcPr>
          <w:p>
            <w:pPr>
              <w:widowControl/>
              <w:spacing w:after="0" w:line="240" w:lineRule="auto"/>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w:t>
            </w:r>
            <w:r>
              <w:rPr>
                <w:sz w:val="44"/>
              </w:rPr>
              <mc:AlternateContent>
                <mc:Choice Requires="wpg">
                  <w:drawing>
                    <wp:anchor distT="0" distB="0" distL="114300" distR="114300" simplePos="0" relativeHeight="251678720" behindDoc="0" locked="1" layoutInCell="1" allowOverlap="1">
                      <wp:simplePos x="0" y="0"/>
                      <wp:positionH relativeFrom="column">
                        <wp:posOffset>-1027430</wp:posOffset>
                      </wp:positionH>
                      <wp:positionV relativeFrom="page">
                        <wp:posOffset>-1029970</wp:posOffset>
                      </wp:positionV>
                      <wp:extent cx="3088640" cy="523240"/>
                      <wp:effectExtent l="3175" t="0" r="13335" b="29210"/>
                      <wp:wrapNone/>
                      <wp:docPr id="41" name="组合 46"/>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39" name="矩形 13"/>
                              <wps:cNvSpPr/>
                              <wps:spPr>
                                <a:xfrm>
                                  <a:off x="4551" y="52615"/>
                                  <a:ext cx="8546" cy="1175"/>
                                </a:xfrm>
                                <a:prstGeom prst="rect">
                                  <a:avLst/>
                                </a:prstGeom>
                                <a:solidFill>
                                  <a:srgbClr val="D8D8D8"/>
                                </a:solidFill>
                                <a:ln w="25400">
                                  <a:noFill/>
                                </a:ln>
                              </wps:spPr>
                              <wps:bodyPr anchor="ctr" anchorCtr="0" upright="1"/>
                            </wps:wsp>
                            <wps:wsp>
                              <wps:cNvPr id="40" name="矩形 14"/>
                              <wps:cNvSpPr/>
                              <wps:spPr>
                                <a:xfrm>
                                  <a:off x="4577" y="52890"/>
                                  <a:ext cx="8324" cy="1123"/>
                                </a:xfrm>
                                <a:prstGeom prst="rect">
                                  <a:avLst/>
                                </a:prstGeom>
                                <a:solidFill>
                                  <a:srgbClr val="AD002D"/>
                                </a:solidFill>
                                <a:ln w="25400" cap="flat" cmpd="sng">
                                  <a:solidFill>
                                    <a:srgbClr val="845209"/>
                                  </a:solidFill>
                                  <a:prstDash val="solid"/>
                                  <a:miter/>
                                  <a:headEnd type="none" w="med" len="med"/>
                                  <a:tailEnd type="none" w="med" len="med"/>
                                </a:ln>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wps:txbx>
                              <wps:bodyPr anchor="ctr" anchorCtr="0" upright="1"/>
                            </wps:wsp>
                          </wpg:wgp>
                        </a:graphicData>
                      </a:graphic>
                    </wp:anchor>
                  </w:drawing>
                </mc:Choice>
                <mc:Fallback>
                  <w:pict>
                    <v:group id="组合 46" o:spid="_x0000_s1026" o:spt="203" style="position:absolute;left:0pt;margin-left:-80.9pt;margin-top:-81.1pt;height:41.2pt;width:243.2pt;mso-position-vertical-relative:page;z-index:251678720;mso-width-relative:page;mso-height-relative:page;" coordorigin="4551,52615" coordsize="8546,1398"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">
                      <o:lock v:ext="edit" aspectratio="f"/>
                      <v:rect id="矩形 13" o:spid="_x0000_s1026" o:spt="1" style="position:absolute;left:4551;top:52615;height:1175;width:8546;v-text-anchor:middle;" fillcolor="#D8D8D8" filled="t" stroked="f" coordsize="21600,21600" o:gfxdata="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7xmChvQAA&#10;ANsAAAAPAAAAAAAAAAEAIAAAACIAAABkcnMvZG93bnJldi54bWxQSwECFAAUAAAACACHTuJAMy8F&#10;njsAAAA5AAAAEAAAAAAAAAABACAAAAAMAQAAZHJzL3NoYXBleG1sLnhtbFBLBQYAAAAABgAGAFsB&#10;AAC2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RFvg27oAAADb&#10;AAAADwAAAGRycy9kb3ducmV2LnhtbEVPy4rCMBTdC/MP4Q6401SRItUow4DoCDKoFXF3aa5Nsbkp&#10;TcbX15vFgMvDeU/nd1uLK7W+cqxg0E9AEBdOV1wqyPeL3hiED8gaa8ek4EEe5rOPzhQz7W68pesu&#10;lCKGsM9QgQmhyaT0hSGLvu8a4sidXWsxRNiWUrd4i+G2lsMkSaXFimODwYa+DRWX3Z9V8Jub0xLX&#10;dLSb9eWQf1WYPn9Spbqfg2QCItA9vMX/7pVWMIrr45f4A+TsB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EW+DbugAAANsA&#10;AAAPAAAAAAAAAAEAIAAAACIAAABkcnMvZG93bnJldi54bWxQSwECFAAUAAAACACHTuJAMy8FnjsA&#10;AAA5AAAAEAAAAAAAAAABACAAAAAJAQAAZHJzL3NoYXBleG1sLnhtbFBLBQYAAAAABgAGAFsBAACz&#10;AwAAAAA=&#10;">
                        <v:fill on="t" focussize="0,0"/>
                        <v:stroke weight="2pt" color="#845209" joinstyle="miter"/>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rect>
                      <w10:anchorlock/>
                    </v:group>
                  </w:pict>
                </mc:Fallback>
              </mc:AlternateContent>
            </w:r>
            <w:r>
              <w:rPr>
                <w:rFonts w:hint="eastAsia" w:ascii="黑体" w:hAnsi="宋体" w:eastAsia="黑体" w:cs="黑体"/>
                <w:color w:val="000000"/>
                <w:kern w:val="0"/>
                <w:sz w:val="40"/>
                <w:szCs w:val="40"/>
              </w:rPr>
              <w:t>款支出决算表</w:t>
            </w:r>
          </w:p>
        </w:tc>
      </w:tr>
      <w:tr>
        <w:tblPrEx>
          <w:tblCellMar>
            <w:top w:w="0" w:type="dxa"/>
            <w:left w:w="0" w:type="dxa"/>
            <w:bottom w:w="0" w:type="dxa"/>
            <w:right w:w="0" w:type="dxa"/>
          </w:tblCellMar>
        </w:tblPrEx>
        <w:trPr>
          <w:trHeight w:val="334" w:hRule="atLeast"/>
        </w:trPr>
        <w:tc>
          <w:tcPr>
            <w:tcW w:w="31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319"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35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109"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745"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892"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公开05表</w:t>
            </w:r>
          </w:p>
        </w:tc>
      </w:tr>
      <w:tr>
        <w:tblPrEx>
          <w:tblCellMar>
            <w:top w:w="0" w:type="dxa"/>
            <w:left w:w="0" w:type="dxa"/>
            <w:bottom w:w="0" w:type="dxa"/>
            <w:right w:w="0" w:type="dxa"/>
          </w:tblCellMar>
        </w:tblPrEx>
        <w:trPr>
          <w:trHeight w:val="334" w:hRule="atLeast"/>
        </w:trPr>
        <w:tc>
          <w:tcPr>
            <w:tcW w:w="3847" w:type="dxa"/>
            <w:gridSpan w:val="5"/>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w:t>
            </w:r>
            <w:r>
              <w:rPr>
                <w:rFonts w:hint="eastAsia" w:ascii="宋体" w:hAnsi="宋体" w:cs="宋体"/>
                <w:color w:val="000000"/>
                <w:kern w:val="0"/>
                <w:sz w:val="20"/>
                <w:szCs w:val="20"/>
              </w:rPr>
              <w:t>石家庄市鹿泉区广播电视台</w:t>
            </w:r>
          </w:p>
        </w:tc>
        <w:tc>
          <w:tcPr>
            <w:tcW w:w="1892"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51" w:hRule="atLeast"/>
        </w:trPr>
        <w:tc>
          <w:tcPr>
            <w:tcW w:w="3102"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5758" w:type="dxa"/>
            <w:gridSpan w:val="5"/>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本年支出</w:t>
            </w:r>
          </w:p>
        </w:tc>
      </w:tr>
      <w:tr>
        <w:tblPrEx>
          <w:tblCellMar>
            <w:top w:w="0" w:type="dxa"/>
            <w:left w:w="0" w:type="dxa"/>
            <w:bottom w:w="0" w:type="dxa"/>
            <w:right w:w="0" w:type="dxa"/>
          </w:tblCellMar>
        </w:tblPrEx>
        <w:trPr>
          <w:trHeight w:val="334" w:hRule="atLeast"/>
        </w:trPr>
        <w:tc>
          <w:tcPr>
            <w:tcW w:w="993"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210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91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91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92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项目支出</w:t>
            </w:r>
          </w:p>
        </w:tc>
      </w:tr>
      <w:tr>
        <w:tblPrEx>
          <w:tblCellMar>
            <w:top w:w="0" w:type="dxa"/>
            <w:left w:w="0" w:type="dxa"/>
            <w:bottom w:w="0" w:type="dxa"/>
            <w:right w:w="0" w:type="dxa"/>
          </w:tblCellMar>
        </w:tblPrEx>
        <w:trPr>
          <w:trHeight w:val="334" w:hRule="atLeast"/>
        </w:trPr>
        <w:tc>
          <w:tcPr>
            <w:tcW w:w="993"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210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12" w:hRule="atLeast"/>
        </w:trPr>
        <w:tc>
          <w:tcPr>
            <w:tcW w:w="993"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210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310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3</w:t>
            </w:r>
          </w:p>
        </w:tc>
      </w:tr>
      <w:tr>
        <w:tblPrEx>
          <w:tblCellMar>
            <w:top w:w="0" w:type="dxa"/>
            <w:left w:w="0" w:type="dxa"/>
            <w:bottom w:w="0" w:type="dxa"/>
            <w:right w:w="0" w:type="dxa"/>
          </w:tblCellMar>
        </w:tblPrEx>
        <w:trPr>
          <w:trHeight w:val="368" w:hRule="atLeast"/>
        </w:trPr>
        <w:tc>
          <w:tcPr>
            <w:tcW w:w="310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812.84</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812.84</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207</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文化体育与传媒支出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701.98</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701.98</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20704</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新闻出版广播影视</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701.98</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701.98</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2070405</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电视</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701.98</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701.98</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社会保障和就业支出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42.28</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42.28</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20805</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行政事业单位离退休</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40.23</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40.23</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2080505</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机关事业单位基本养老保险缴费支出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40.23</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40.23</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20809</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退役安置</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2.05</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2.05</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2080901</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退役士兵安置</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2.05</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2.05</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210</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医疗卫生与计划生育支出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35.59</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35.59</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21011</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行政事业单位医疗</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35.59</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35.59</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2101102</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事业单位医疗</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35.59</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35.59</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221</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住房保障支出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32.99</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32.99</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22102</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住房改革支出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32.99</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32.99</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2210201</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住房公积金</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32.99</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32.99</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8860" w:type="dxa"/>
            <w:gridSpan w:val="9"/>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注：本表反映部门本年度一般公共预算财政拨款收入及支出情况。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3"/>
        <w:tblW w:w="9180" w:type="dxa"/>
        <w:jc w:val="center"/>
        <w:tblLayout w:type="fixed"/>
        <w:tblCellMar>
          <w:top w:w="0" w:type="dxa"/>
          <w:left w:w="0" w:type="dxa"/>
          <w:bottom w:w="0" w:type="dxa"/>
          <w:right w:w="0" w:type="dxa"/>
        </w:tblCellMar>
      </w:tblPr>
      <w:tblGrid>
        <w:gridCol w:w="558"/>
        <w:gridCol w:w="1597"/>
        <w:gridCol w:w="840"/>
        <w:gridCol w:w="477"/>
        <w:gridCol w:w="1763"/>
        <w:gridCol w:w="740"/>
        <w:gridCol w:w="560"/>
        <w:gridCol w:w="1788"/>
        <w:gridCol w:w="857"/>
      </w:tblGrid>
      <w:tr>
        <w:tblPrEx>
          <w:tblCellMar>
            <w:top w:w="0" w:type="dxa"/>
            <w:left w:w="0" w:type="dxa"/>
            <w:bottom w:w="0" w:type="dxa"/>
            <w:right w:w="0" w:type="dxa"/>
          </w:tblCellMar>
        </w:tblPrEx>
        <w:trPr>
          <w:trHeight w:val="526" w:hRule="atLeast"/>
          <w:jc w:val="center"/>
        </w:trPr>
        <w:tc>
          <w:tcPr>
            <w:tcW w:w="9180" w:type="dxa"/>
            <w:gridSpan w:val="9"/>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一般公共预算财政拨款基本支出决算表</w:t>
            </w:r>
          </w:p>
        </w:tc>
      </w:tr>
      <w:tr>
        <w:tblPrEx>
          <w:tblCellMar>
            <w:top w:w="0" w:type="dxa"/>
            <w:left w:w="0" w:type="dxa"/>
            <w:bottom w:w="0" w:type="dxa"/>
            <w:right w:w="0" w:type="dxa"/>
          </w:tblCellMar>
        </w:tblPrEx>
        <w:trPr>
          <w:trHeight w:val="269" w:hRule="atLeast"/>
          <w:jc w:val="center"/>
        </w:trPr>
        <w:tc>
          <w:tcPr>
            <w:tcW w:w="558"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59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84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47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763"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74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公开06表</w:t>
            </w:r>
          </w:p>
        </w:tc>
      </w:tr>
      <w:tr>
        <w:tblPrEx>
          <w:tblCellMar>
            <w:top w:w="0" w:type="dxa"/>
            <w:left w:w="0" w:type="dxa"/>
            <w:bottom w:w="0" w:type="dxa"/>
            <w:right w:w="0" w:type="dxa"/>
          </w:tblCellMar>
        </w:tblPrEx>
        <w:trPr>
          <w:trHeight w:val="269" w:hRule="atLeast"/>
          <w:jc w:val="center"/>
        </w:trPr>
        <w:tc>
          <w:tcPr>
            <w:tcW w:w="5235" w:type="dxa"/>
            <w:gridSpan w:val="5"/>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部门：</w:t>
            </w:r>
            <w:r>
              <w:rPr>
                <w:rFonts w:hint="eastAsia" w:ascii="宋体" w:hAnsi="宋体" w:cs="宋体"/>
                <w:color w:val="000000"/>
                <w:kern w:val="0"/>
                <w:sz w:val="20"/>
                <w:szCs w:val="20"/>
              </w:rPr>
              <w:t>石家庄市鹿泉区广播电视台</w:t>
            </w:r>
            <w:r>
              <w:rPr>
                <w:sz w:val="44"/>
              </w:rPr>
              <mc:AlternateContent>
                <mc:Choice Requires="wpg">
                  <w:drawing>
                    <wp:anchor distT="0" distB="0" distL="114300" distR="114300" simplePos="0" relativeHeight="251679744" behindDoc="0" locked="1" layoutInCell="1" allowOverlap="1">
                      <wp:simplePos x="0" y="0"/>
                      <wp:positionH relativeFrom="column">
                        <wp:posOffset>-930275</wp:posOffset>
                      </wp:positionH>
                      <wp:positionV relativeFrom="page">
                        <wp:posOffset>-1643380</wp:posOffset>
                      </wp:positionV>
                      <wp:extent cx="3088640" cy="523240"/>
                      <wp:effectExtent l="3175" t="0" r="13335" b="29210"/>
                      <wp:wrapNone/>
                      <wp:docPr id="44" name="组合 49"/>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42" name="矩形 13"/>
                              <wps:cNvSpPr/>
                              <wps:spPr>
                                <a:xfrm>
                                  <a:off x="4551" y="52615"/>
                                  <a:ext cx="8546" cy="1175"/>
                                </a:xfrm>
                                <a:prstGeom prst="rect">
                                  <a:avLst/>
                                </a:prstGeom>
                                <a:solidFill>
                                  <a:srgbClr val="D8D8D8"/>
                                </a:solidFill>
                                <a:ln w="25400">
                                  <a:noFill/>
                                </a:ln>
                              </wps:spPr>
                              <wps:bodyPr anchor="ctr" anchorCtr="0" upright="1"/>
                            </wps:wsp>
                            <wps:wsp>
                              <wps:cNvPr id="43" name="矩形 14"/>
                              <wps:cNvSpPr/>
                              <wps:spPr>
                                <a:xfrm>
                                  <a:off x="4577" y="52890"/>
                                  <a:ext cx="8324" cy="1123"/>
                                </a:xfrm>
                                <a:prstGeom prst="rect">
                                  <a:avLst/>
                                </a:prstGeom>
                                <a:solidFill>
                                  <a:srgbClr val="AD002D"/>
                                </a:solidFill>
                                <a:ln w="25400" cap="flat" cmpd="sng">
                                  <a:solidFill>
                                    <a:srgbClr val="845209"/>
                                  </a:solidFill>
                                  <a:prstDash val="solid"/>
                                  <a:miter/>
                                  <a:headEnd type="none" w="med" len="med"/>
                                  <a:tailEnd type="none" w="med" len="med"/>
                                </a:ln>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wps:txbx>
                              <wps:bodyPr anchor="ctr" anchorCtr="0" upright="1"/>
                            </wps:wsp>
                          </wpg:wgp>
                        </a:graphicData>
                      </a:graphic>
                    </wp:anchor>
                  </w:drawing>
                </mc:Choice>
                <mc:Fallback>
                  <w:pict>
                    <v:group id="组合 49" o:spid="_x0000_s1026" o:spt="203" style="position:absolute;left:0pt;margin-left:-73.25pt;margin-top:-129.4pt;height:41.2pt;width:243.2pt;mso-position-vertical-relative:page;z-index:251679744;mso-width-relative:page;mso-height-relative:page;" coordorigin="4551,52615" coordsize="8546,1398" o:gfxdata="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">
                      <o:lock v:ext="edit" aspectratio="f"/>
                      <v:rect id="矩形 13" o:spid="_x0000_s1026" o:spt="1" style="position:absolute;left:4551;top:52615;height:1175;width:8546;v-text-anchor:middle;" fillcolor="#D8D8D8" filled="t" stroked="f" coordsize="21600,21600" o:gfxdata="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tZIGtvQAA&#10;ANsAAAAPAAAAAAAAAAEAIAAAACIAAABkcnMvZG93bnJldi54bWxQSwECFAAUAAAACACHTuJAMy8F&#10;njsAAAA5AAAAEAAAAAAAAAABACAAAAAMAQAAZHJzL3NoYXBleG1sLnhtbFBLBQYAAAAABgAGAFsB&#10;AAC2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tIl+rL8AAADb&#10;AAAADwAAAGRycy9kb3ducmV2LnhtbEWP3WrCQBSE7wu+w3IKvasbWwkS3YQilLaCFG2KeHfIHrPB&#10;7NmQ3fr39K5Q8HKYmW+YWXGyrThQ7xvHCkbDBARx5XTDtYLy5/15AsIHZI2tY1JwJg9FPniYYabd&#10;kVd0WIdaRAj7DBWYELpMSl8ZsuiHriOO3s71FkOUfS11j8cIt618SZJUWmw4LhjsaG6o2q//rILv&#10;0mw/cEEbu1zsf8u3BtPLV6rU0+MomYIIdAr38H/7UysYv8LtS/wBMr8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LSJfqy/&#10;AAAA2wAAAA8AAAAAAAAAAQAgAAAAIgAAAGRycy9kb3ducmV2LnhtbFBLAQIUABQAAAAIAIdO4kAz&#10;LwWeOwAAADkAAAAQAAAAAAAAAAEAIAAAAA4BAABkcnMvc2hhcGV4bWwueG1sUEsFBgAAAAAGAAYA&#10;WwEAALgDAAAAAA==&#10;">
                        <v:fill on="t" focussize="0,0"/>
                        <v:stroke weight="2pt" color="#845209" joinstyle="miter"/>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rect>
                      <w10:anchorlock/>
                    </v:group>
                  </w:pict>
                </mc:Fallback>
              </mc:AlternateContent>
            </w:r>
          </w:p>
        </w:tc>
        <w:tc>
          <w:tcPr>
            <w:tcW w:w="74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金额单位：万元</w:t>
            </w:r>
          </w:p>
        </w:tc>
      </w:tr>
      <w:tr>
        <w:tblPrEx>
          <w:tblCellMar>
            <w:top w:w="0" w:type="dxa"/>
            <w:left w:w="0" w:type="dxa"/>
            <w:bottom w:w="0" w:type="dxa"/>
            <w:right w:w="0" w:type="dxa"/>
          </w:tblCellMar>
        </w:tblPrEx>
        <w:trPr>
          <w:trHeight w:val="277" w:hRule="atLeast"/>
          <w:jc w:val="center"/>
        </w:trPr>
        <w:tc>
          <w:tcPr>
            <w:tcW w:w="299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人员经费</w:t>
            </w:r>
          </w:p>
        </w:tc>
        <w:tc>
          <w:tcPr>
            <w:tcW w:w="6185" w:type="dxa"/>
            <w:gridSpan w:val="6"/>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公用经费</w:t>
            </w:r>
          </w:p>
        </w:tc>
      </w:tr>
      <w:tr>
        <w:tblPrEx>
          <w:tblCellMar>
            <w:top w:w="0" w:type="dxa"/>
            <w:left w:w="0" w:type="dxa"/>
            <w:bottom w:w="0" w:type="dxa"/>
            <w:right w:w="0" w:type="dxa"/>
          </w:tblCellMar>
        </w:tblPrEx>
        <w:trPr>
          <w:trHeight w:val="312" w:hRule="atLeast"/>
          <w:jc w:val="center"/>
        </w:trPr>
        <w:tc>
          <w:tcPr>
            <w:tcW w:w="558"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59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c>
          <w:tcPr>
            <w:tcW w:w="47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76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7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c>
          <w:tcPr>
            <w:tcW w:w="56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78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5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r>
      <w:tr>
        <w:tblPrEx>
          <w:tblCellMar>
            <w:top w:w="0" w:type="dxa"/>
            <w:left w:w="0" w:type="dxa"/>
            <w:bottom w:w="0" w:type="dxa"/>
            <w:right w:w="0" w:type="dxa"/>
          </w:tblCellMar>
        </w:tblPrEx>
        <w:trPr>
          <w:trHeight w:val="312" w:hRule="atLeast"/>
          <w:jc w:val="center"/>
        </w:trPr>
        <w:tc>
          <w:tcPr>
            <w:tcW w:w="558"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59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47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76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7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56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78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5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工资福利支出</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559.74</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商品和服务支出</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174.40</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债务利息及费用支出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基本工资</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83.83</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办公费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3.2</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30701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国内债务付息</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津贴补贴</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110.81</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印刷费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2.6330702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国外债务付息</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奖金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129.14</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30203</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咨询费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资本性支出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76.5</w:t>
            </w: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30106</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伙食补助费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手续费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0.01</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房屋建筑物购建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30107</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绩效工资</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124.69</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水费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2.1</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办公设备购置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5.01</w:t>
            </w: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30108</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机关事业单位基本养老保险缴费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40.23</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电费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33.97</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31003</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专用设备购置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56.59</w:t>
            </w: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职业年金缴费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邮电费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47.47</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31005</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基础设施建设</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30110</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职工基本医疗保险缴费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35.59</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取暖费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3.9</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31006</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大型修缮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公务员医疗补助缴费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物业管理费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信息网络及软件购置更新</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其他社会保障缴费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1.83</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差旅费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1.7</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31008</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物资储备</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住房公积金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32.99</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因公出国（境）费用</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土地补偿</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30114</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医疗费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30213</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维修（护）费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19.54</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31010</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安置补助</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30199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其他工资福利支出</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0.63</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租赁费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4.35</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地上附着物和青苗补偿</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对个人和家庭的补助</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2.2</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会议费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拆迁补偿</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离休费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培训费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31013</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公务用车购置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退休费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公务接待费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1.8</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其他交通工具购置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退职（役）费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专用材料费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23.83</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31021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文物和陈列品购置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30304</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抚恤金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被装购置费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31022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无形资产购置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30305</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生活补助</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2.2</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专用燃料费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其他资本性支出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14.9</w:t>
            </w: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30306</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救济费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劳务费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20.03</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30307</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医疗费补助</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委托业务费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39906</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赠与</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30308</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助学金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工会经费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国家赔偿费用支出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0"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奖励金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福利费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39908</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对民间非营利组织和群众性自治组织补贴</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30310</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个人农业生产补贴</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30231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公务用车运行维护费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4.58</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30399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其他对个人和家庭的补助支出</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30239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其他交通费用</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0.16</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30240</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税金及附加费用</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4.13</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30299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其他商品和服务支出</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317" w:hRule="atLeast"/>
          <w:jc w:val="center"/>
        </w:trPr>
        <w:tc>
          <w:tcPr>
            <w:tcW w:w="2155"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rPr>
              <w:t>人员经费合计</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561.94</w:t>
            </w:r>
          </w:p>
        </w:tc>
        <w:tc>
          <w:tcPr>
            <w:tcW w:w="5328"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rPr>
              <w:t>公用经费合计</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250.90</w:t>
            </w:r>
          </w:p>
        </w:tc>
      </w:tr>
      <w:tr>
        <w:tblPrEx>
          <w:tblCellMar>
            <w:top w:w="0" w:type="dxa"/>
            <w:left w:w="0" w:type="dxa"/>
            <w:bottom w:w="0" w:type="dxa"/>
            <w:right w:w="0" w:type="dxa"/>
          </w:tblCellMar>
        </w:tblPrEx>
        <w:trPr>
          <w:trHeight w:val="277" w:hRule="atLeast"/>
          <w:jc w:val="center"/>
        </w:trPr>
        <w:tc>
          <w:tcPr>
            <w:tcW w:w="9180" w:type="dxa"/>
            <w:gridSpan w:val="9"/>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注：本表反映部门本年度一般公共预算财政拨款基本支出明细情况。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3"/>
        <w:tblW w:w="8800" w:type="dxa"/>
        <w:jc w:val="center"/>
        <w:tblLayout w:type="fixed"/>
        <w:tblCellMar>
          <w:top w:w="0" w:type="dxa"/>
          <w:left w:w="0" w:type="dxa"/>
          <w:bottom w:w="0" w:type="dxa"/>
          <w:right w:w="0" w:type="dxa"/>
        </w:tblCellMar>
      </w:tblPr>
      <w:tblGrid>
        <w:gridCol w:w="1158"/>
        <w:gridCol w:w="1527"/>
        <w:gridCol w:w="1528"/>
        <w:gridCol w:w="1530"/>
        <w:gridCol w:w="1530"/>
        <w:gridCol w:w="1527"/>
      </w:tblGrid>
      <w:tr>
        <w:tblPrEx>
          <w:tblCellMar>
            <w:top w:w="0" w:type="dxa"/>
            <w:left w:w="0" w:type="dxa"/>
            <w:bottom w:w="0" w:type="dxa"/>
            <w:right w:w="0" w:type="dxa"/>
          </w:tblCellMar>
        </w:tblPrEx>
        <w:trPr>
          <w:trHeight w:val="584" w:hRule="atLeast"/>
          <w:jc w:val="center"/>
        </w:trPr>
        <w:tc>
          <w:tcPr>
            <w:tcW w:w="8800" w:type="dxa"/>
            <w:gridSpan w:val="6"/>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w:t>
            </w:r>
            <w:r>
              <w:rPr>
                <w:sz w:val="44"/>
              </w:rPr>
              <mc:AlternateContent>
                <mc:Choice Requires="wpg">
                  <w:drawing>
                    <wp:anchor distT="0" distB="0" distL="114300" distR="114300" simplePos="0" relativeHeight="251680768" behindDoc="0" locked="1" layoutInCell="1" allowOverlap="1">
                      <wp:simplePos x="0" y="0"/>
                      <wp:positionH relativeFrom="column">
                        <wp:posOffset>-1050925</wp:posOffset>
                      </wp:positionH>
                      <wp:positionV relativeFrom="page">
                        <wp:posOffset>-1029970</wp:posOffset>
                      </wp:positionV>
                      <wp:extent cx="3088640" cy="523240"/>
                      <wp:effectExtent l="3175" t="0" r="13335" b="29210"/>
                      <wp:wrapNone/>
                      <wp:docPr id="47" name="组合 52"/>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45" name="矩形 13"/>
                              <wps:cNvSpPr/>
                              <wps:spPr>
                                <a:xfrm>
                                  <a:off x="4551" y="52615"/>
                                  <a:ext cx="8546" cy="1175"/>
                                </a:xfrm>
                                <a:prstGeom prst="rect">
                                  <a:avLst/>
                                </a:prstGeom>
                                <a:solidFill>
                                  <a:srgbClr val="D8D8D8"/>
                                </a:solidFill>
                                <a:ln w="25400">
                                  <a:noFill/>
                                </a:ln>
                              </wps:spPr>
                              <wps:bodyPr anchor="ctr" anchorCtr="0" upright="1"/>
                            </wps:wsp>
                            <wps:wsp>
                              <wps:cNvPr id="46" name="矩形 14"/>
                              <wps:cNvSpPr/>
                              <wps:spPr>
                                <a:xfrm>
                                  <a:off x="4577" y="52890"/>
                                  <a:ext cx="8324" cy="1123"/>
                                </a:xfrm>
                                <a:prstGeom prst="rect">
                                  <a:avLst/>
                                </a:prstGeom>
                                <a:solidFill>
                                  <a:srgbClr val="AD002D"/>
                                </a:solidFill>
                                <a:ln w="25400" cap="flat" cmpd="sng">
                                  <a:solidFill>
                                    <a:srgbClr val="845209"/>
                                  </a:solidFill>
                                  <a:prstDash val="solid"/>
                                  <a:miter/>
                                  <a:headEnd type="none" w="med" len="med"/>
                                  <a:tailEnd type="none" w="med" len="med"/>
                                </a:ln>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wps:txbx>
                              <wps:bodyPr anchor="ctr" anchorCtr="0" upright="1"/>
                            </wps:wsp>
                          </wpg:wgp>
                        </a:graphicData>
                      </a:graphic>
                    </wp:anchor>
                  </w:drawing>
                </mc:Choice>
                <mc:Fallback>
                  <w:pict>
                    <v:group id="组合 52" o:spid="_x0000_s1026" o:spt="203" style="position:absolute;left:0pt;margin-left:-82.75pt;margin-top:-81.1pt;height:41.2pt;width:243.2pt;mso-position-vertical-relative:page;z-index:251680768;mso-width-relative:page;mso-height-relative:page;" coordorigin="4551,52615" coordsize="8546,1398" o:gfxdata="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">
                      <o:lock v:ext="edit" aspectratio="f"/>
                      <v:rect id="矩形 13" o:spid="_x0000_s1026" o:spt="1" style="position:absolute;left:4551;top:52615;height:1175;width:8546;v-text-anchor:middle;" fillcolor="#D8D8D8" filled="t" stroked="f" coordsize="21600,21600" o:gfxdata="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ijRnZvQAA&#10;ANsAAAAPAAAAAAAAAAEAIAAAACIAAABkcnMvZG93bnJldi54bWxQSwECFAAUAAAACACHTuJAMy8F&#10;njsAAAA5AAAAEAAAAAAAAAABACAAAAAMAQAAZHJzL3NoYXBleG1sLnhtbFBLBQYAAAAABgAGAFsB&#10;AAC2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pP7dNL4AAADb&#10;AAAADwAAAGRycy9kb3ducmV2LnhtbEWPzWrDMBCE74G8g9hAbrGcUkxxo5gSCG0DISR1Kb0t1tYy&#10;tlbGUvP39FGg0OMwM98wi+JsO3GkwTeOFcyTFARx5XTDtYLyYz17AuEDssbOMSm4kIdiOR4tMNfu&#10;xHs6HkItIoR9jgpMCH0upa8MWfSJ64mj9+MGiyHKoZZ6wFOE204+pGkmLTYcFwz2tDJUtYdfq2BX&#10;mu9X3NCX3W7az/Klwez6nik1nczTZxCBzuE//Nd+0woeM7h/iT9ALm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pP7dNL4A&#10;AADbAAAADwAAAAAAAAABACAAAAAiAAAAZHJzL2Rvd25yZXYueG1sUEsBAhQAFAAAAAgAh07iQDMv&#10;BZ47AAAAOQAAABAAAAAAAAAAAQAgAAAADQEAAGRycy9zaGFwZXhtbC54bWxQSwUGAAAAAAYABgBb&#10;AQAAtwMAAAAA&#10;">
                        <v:fill on="t" focussize="0,0"/>
                        <v:stroke weight="2pt" color="#845209" joinstyle="miter"/>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rect>
                      <w10:anchorlock/>
                    </v:group>
                  </w:pict>
                </mc:Fallback>
              </mc:AlternateContent>
            </w:r>
            <w:r>
              <w:rPr>
                <w:rFonts w:hint="eastAsia" w:ascii="黑体" w:hAnsi="宋体" w:eastAsia="黑体" w:cs="黑体"/>
                <w:color w:val="000000"/>
                <w:kern w:val="0"/>
                <w:sz w:val="40"/>
                <w:szCs w:val="40"/>
              </w:rPr>
              <w:t>三公”经费支出决算表</w:t>
            </w:r>
          </w:p>
        </w:tc>
      </w:tr>
      <w:tr>
        <w:tblPrEx>
          <w:tblCellMar>
            <w:top w:w="0" w:type="dxa"/>
            <w:left w:w="0" w:type="dxa"/>
            <w:bottom w:w="0" w:type="dxa"/>
            <w:right w:w="0" w:type="dxa"/>
          </w:tblCellMar>
        </w:tblPrEx>
        <w:trPr>
          <w:trHeight w:val="347" w:hRule="atLeast"/>
          <w:jc w:val="center"/>
        </w:trPr>
        <w:tc>
          <w:tcPr>
            <w:tcW w:w="1158"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8"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公开07表</w:t>
            </w:r>
          </w:p>
        </w:tc>
      </w:tr>
      <w:tr>
        <w:tblPrEx>
          <w:tblCellMar>
            <w:top w:w="0" w:type="dxa"/>
            <w:left w:w="0" w:type="dxa"/>
            <w:bottom w:w="0" w:type="dxa"/>
            <w:right w:w="0" w:type="dxa"/>
          </w:tblCellMar>
        </w:tblPrEx>
        <w:trPr>
          <w:trHeight w:val="347" w:hRule="atLeast"/>
          <w:jc w:val="center"/>
        </w:trPr>
        <w:tc>
          <w:tcPr>
            <w:tcW w:w="7273" w:type="dxa"/>
            <w:gridSpan w:val="5"/>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部门：石家庄市鹿泉区广播电视台</w:t>
            </w:r>
          </w:p>
        </w:tc>
        <w:tc>
          <w:tcPr>
            <w:tcW w:w="1527"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482"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预算数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tblPrEx>
          <w:tblCellMar>
            <w:top w:w="0" w:type="dxa"/>
            <w:left w:w="0" w:type="dxa"/>
            <w:bottom w:w="0" w:type="dxa"/>
            <w:right w:w="0" w:type="dxa"/>
          </w:tblCellMar>
        </w:tblPrEx>
        <w:trPr>
          <w:trHeight w:val="686"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r>
              <w:rPr>
                <w:rFonts w:hint="eastAsia" w:ascii="宋体" w:hAnsi="宋体" w:cs="宋体"/>
                <w:color w:val="000000"/>
                <w:szCs w:val="21"/>
              </w:rPr>
              <w:t>9.40</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r>
              <w:rPr>
                <w:rFonts w:hint="eastAsia" w:ascii="宋体" w:hAnsi="宋体" w:cs="宋体"/>
                <w:color w:val="000000"/>
                <w:szCs w:val="21"/>
              </w:rPr>
              <w:t>5.40</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r>
              <w:rPr>
                <w:rFonts w:hint="eastAsia" w:ascii="宋体" w:hAnsi="宋体" w:cs="宋体"/>
                <w:color w:val="000000"/>
                <w:szCs w:val="21"/>
              </w:rPr>
              <w:t>5.40</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r>
              <w:rPr>
                <w:rFonts w:hint="eastAsia" w:ascii="宋体" w:hAnsi="宋体" w:cs="宋体"/>
                <w:color w:val="000000"/>
                <w:szCs w:val="21"/>
              </w:rPr>
              <w:t>4.00</w:t>
            </w:r>
          </w:p>
        </w:tc>
      </w:tr>
      <w:tr>
        <w:tblPrEx>
          <w:tblCellMar>
            <w:top w:w="0" w:type="dxa"/>
            <w:left w:w="0" w:type="dxa"/>
            <w:bottom w:w="0" w:type="dxa"/>
            <w:right w:w="0" w:type="dxa"/>
          </w:tblCellMar>
        </w:tblPrEx>
        <w:trPr>
          <w:trHeight w:val="498"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tblPrEx>
          <w:tblCellMar>
            <w:top w:w="0" w:type="dxa"/>
            <w:left w:w="0" w:type="dxa"/>
            <w:bottom w:w="0" w:type="dxa"/>
            <w:right w:w="0" w:type="dxa"/>
          </w:tblCellMar>
        </w:tblPrEx>
        <w:trPr>
          <w:trHeight w:val="672"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7</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8</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9</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10</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12</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r>
              <w:rPr>
                <w:rFonts w:hint="eastAsia" w:ascii="宋体" w:hAnsi="宋体" w:cs="宋体"/>
                <w:color w:val="000000"/>
                <w:szCs w:val="21"/>
              </w:rPr>
              <w:t>6.39</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r>
              <w:rPr>
                <w:rFonts w:hint="eastAsia" w:ascii="宋体" w:hAnsi="宋体" w:cs="宋体"/>
                <w:color w:val="000000"/>
                <w:szCs w:val="21"/>
              </w:rPr>
              <w:t>4.58</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r>
              <w:rPr>
                <w:rFonts w:hint="eastAsia" w:ascii="宋体" w:hAnsi="宋体" w:cs="宋体"/>
                <w:color w:val="000000"/>
                <w:szCs w:val="21"/>
              </w:rPr>
              <w:t>4.58</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r>
              <w:rPr>
                <w:rFonts w:hint="eastAsia" w:ascii="宋体" w:hAnsi="宋体" w:cs="宋体"/>
                <w:color w:val="000000"/>
                <w:szCs w:val="21"/>
              </w:rPr>
              <w:t>1.80</w:t>
            </w:r>
          </w:p>
        </w:tc>
      </w:tr>
      <w:tr>
        <w:tblPrEx>
          <w:tblCellMar>
            <w:top w:w="0" w:type="dxa"/>
            <w:left w:w="0" w:type="dxa"/>
            <w:bottom w:w="0" w:type="dxa"/>
            <w:right w:w="0" w:type="dxa"/>
          </w:tblCellMar>
        </w:tblPrEx>
        <w:trPr>
          <w:trHeight w:val="782" w:hRule="atLeast"/>
          <w:jc w:val="center"/>
        </w:trPr>
        <w:tc>
          <w:tcPr>
            <w:tcW w:w="8800" w:type="dxa"/>
            <w:gridSpan w:val="6"/>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注：本表反映部门本年度“三公”经费支出预决算情况。其中：预算数为“三公”经费年初预算数，决算数是包括当年一般公共预算财政拨款和以前年度结转资金安排的实际支出。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3"/>
        <w:tblW w:w="8860" w:type="dxa"/>
        <w:tblInd w:w="0" w:type="dxa"/>
        <w:tblLayout w:type="fixed"/>
        <w:tblCellMar>
          <w:top w:w="0" w:type="dxa"/>
          <w:left w:w="0" w:type="dxa"/>
          <w:bottom w:w="0" w:type="dxa"/>
          <w:right w:w="0" w:type="dxa"/>
        </w:tblCellMar>
      </w:tblPr>
      <w:tblGrid>
        <w:gridCol w:w="296"/>
        <w:gridCol w:w="191"/>
        <w:gridCol w:w="479"/>
        <w:gridCol w:w="669"/>
        <w:gridCol w:w="376"/>
        <w:gridCol w:w="1166"/>
        <w:gridCol w:w="840"/>
        <w:gridCol w:w="1191"/>
        <w:gridCol w:w="1192"/>
        <w:gridCol w:w="1192"/>
        <w:gridCol w:w="1268"/>
      </w:tblGrid>
      <w:tr>
        <w:tblPrEx>
          <w:tblCellMar>
            <w:top w:w="0" w:type="dxa"/>
            <w:left w:w="0" w:type="dxa"/>
            <w:bottom w:w="0" w:type="dxa"/>
            <w:right w:w="0" w:type="dxa"/>
          </w:tblCellMar>
        </w:tblPrEx>
        <w:trPr>
          <w:trHeight w:val="707" w:hRule="atLeast"/>
        </w:trPr>
        <w:tc>
          <w:tcPr>
            <w:tcW w:w="8860" w:type="dxa"/>
            <w:gridSpan w:val="11"/>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黑体" w:hAnsi="宋体" w:eastAsia="黑体" w:cs="黑体"/>
                <w:color w:val="000000"/>
                <w:sz w:val="36"/>
                <w:szCs w:val="36"/>
              </w:rPr>
            </w:pPr>
            <w:r>
              <w:rPr>
                <w:rFonts w:hint="eastAsia" w:ascii="黑体" w:hAnsi="宋体" w:eastAsia="黑体" w:cs="黑体"/>
                <w:color w:val="000000"/>
                <w:kern w:val="0"/>
                <w:sz w:val="36"/>
                <w:szCs w:val="36"/>
              </w:rPr>
              <w:t>政府性基金预算财政拨款</w:t>
            </w:r>
            <w:r>
              <w:rPr>
                <w:sz w:val="44"/>
              </w:rPr>
              <mc:AlternateContent>
                <mc:Choice Requires="wpg">
                  <w:drawing>
                    <wp:anchor distT="0" distB="0" distL="114300" distR="114300" simplePos="0" relativeHeight="251681792" behindDoc="0" locked="1" layoutInCell="1" allowOverlap="1">
                      <wp:simplePos x="0" y="0"/>
                      <wp:positionH relativeFrom="column">
                        <wp:posOffset>-1027430</wp:posOffset>
                      </wp:positionH>
                      <wp:positionV relativeFrom="page">
                        <wp:posOffset>-1029970</wp:posOffset>
                      </wp:positionV>
                      <wp:extent cx="3088640" cy="523240"/>
                      <wp:effectExtent l="3175" t="0" r="13335" b="29210"/>
                      <wp:wrapNone/>
                      <wp:docPr id="50" name="组合 55"/>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48" name="矩形 13"/>
                              <wps:cNvSpPr/>
                              <wps:spPr>
                                <a:xfrm>
                                  <a:off x="4551" y="52615"/>
                                  <a:ext cx="8546" cy="1175"/>
                                </a:xfrm>
                                <a:prstGeom prst="rect">
                                  <a:avLst/>
                                </a:prstGeom>
                                <a:solidFill>
                                  <a:srgbClr val="D8D8D8"/>
                                </a:solidFill>
                                <a:ln w="25400">
                                  <a:noFill/>
                                </a:ln>
                              </wps:spPr>
                              <wps:bodyPr anchor="ctr" anchorCtr="0" upright="1"/>
                            </wps:wsp>
                            <wps:wsp>
                              <wps:cNvPr id="49" name="矩形 14"/>
                              <wps:cNvSpPr/>
                              <wps:spPr>
                                <a:xfrm>
                                  <a:off x="4577" y="52890"/>
                                  <a:ext cx="8324" cy="1123"/>
                                </a:xfrm>
                                <a:prstGeom prst="rect">
                                  <a:avLst/>
                                </a:prstGeom>
                                <a:solidFill>
                                  <a:srgbClr val="AD002D"/>
                                </a:solidFill>
                                <a:ln w="25400" cap="flat" cmpd="sng">
                                  <a:solidFill>
                                    <a:srgbClr val="845209"/>
                                  </a:solidFill>
                                  <a:prstDash val="solid"/>
                                  <a:miter/>
                                  <a:headEnd type="none" w="med" len="med"/>
                                  <a:tailEnd type="none" w="med" len="med"/>
                                </a:ln>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wps:txbx>
                              <wps:bodyPr anchor="ctr" anchorCtr="0" upright="1"/>
                            </wps:wsp>
                          </wpg:wgp>
                        </a:graphicData>
                      </a:graphic>
                    </wp:anchor>
                  </w:drawing>
                </mc:Choice>
                <mc:Fallback>
                  <w:pict>
                    <v:group id="组合 55" o:spid="_x0000_s1026" o:spt="203" style="position:absolute;left:0pt;margin-left:-80.9pt;margin-top:-81.1pt;height:41.2pt;width:243.2pt;mso-position-vertical-relative:page;z-index:251681792;mso-width-relative:page;mso-height-relative:page;" coordorigin="4551,52615" coordsize="8546,1398"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">
                      <o:lock v:ext="edit" aspectratio="f"/>
                      <v:rect id="矩形 13" o:spid="_x0000_s1026" o:spt="1" style="position:absolute;left:4551;top:52615;height:1175;width:8546;v-text-anchor:middle;" fillcolor="#D8D8D8" filled="t" stroked="f" coordsize="21600,21600" o:gfxdata="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MjLZHugAAANsA&#10;AAAPAAAAAAAAAAEAIAAAACIAAABkcnMvZG93bnJldi54bWxQSwECFAAUAAAACACHTuJAMy8FnjsA&#10;AAA5AAAAEAAAAAAAAAABACAAAAAJAQAAZHJzL3NoYXBleG1sLnhtbFBLBQYAAAAABgAGAFsBAACz&#10;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1WFJRr4AAADb&#10;AAAADwAAAGRycy9kb3ducmV2LnhtbEWP3WoCMRSE7wXfIZxC7zSrlEVXoxRBWgUp2i3i3WFz3Cxu&#10;TpZN/Gmf3hQEL4eZ+YaZzm+2FhdqfeVYwaCfgCAunK64VJB/L3sjED4ga6wdk4Jf8jCfdTtTzLS7&#10;8pYuu1CKCGGfoQITQpNJ6QtDFn3fNcTRO7rWYoiyLaVu8RrhtpbDJEmlxYrjgsGGFoaK0+5sFXzl&#10;5vCBa9rbzfr0k79XmP6tUqVeXwbJBESgW3iGH+1PreBtDP9f4g+Qszt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1WFJRr4A&#10;AADbAAAADwAAAAAAAAABACAAAAAiAAAAZHJzL2Rvd25yZXYueG1sUEsBAhQAFAAAAAgAh07iQDMv&#10;BZ47AAAAOQAAABAAAAAAAAAAAQAgAAAADQEAAGRycy9zaGFwZXhtbC54bWxQSwUGAAAAAAYABgBb&#10;AQAAtwMAAAAA&#10;">
                        <v:fill on="t" focussize="0,0"/>
                        <v:stroke weight="2pt" color="#845209" joinstyle="miter"/>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rect>
                      <w10:anchorlock/>
                    </v:group>
                  </w:pict>
                </mc:Fallback>
              </mc:AlternateContent>
            </w:r>
            <w:r>
              <w:rPr>
                <w:rFonts w:hint="eastAsia" w:ascii="黑体" w:hAnsi="宋体" w:eastAsia="黑体" w:cs="黑体"/>
                <w:color w:val="000000"/>
                <w:kern w:val="0"/>
                <w:sz w:val="36"/>
                <w:szCs w:val="36"/>
              </w:rPr>
              <w:t>收入支出决算表</w:t>
            </w:r>
          </w:p>
        </w:tc>
      </w:tr>
      <w:tr>
        <w:tblPrEx>
          <w:tblCellMar>
            <w:top w:w="0" w:type="dxa"/>
            <w:left w:w="0" w:type="dxa"/>
            <w:bottom w:w="0" w:type="dxa"/>
            <w:right w:w="0" w:type="dxa"/>
          </w:tblCellMar>
        </w:tblPrEx>
        <w:trPr>
          <w:trHeight w:val="315" w:hRule="atLeast"/>
        </w:trPr>
        <w:tc>
          <w:tcPr>
            <w:tcW w:w="296"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91"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479"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669"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542" w:type="dxa"/>
            <w:gridSpan w:val="2"/>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840"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268"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公开08表</w:t>
            </w:r>
          </w:p>
        </w:tc>
      </w:tr>
      <w:tr>
        <w:tblPrEx>
          <w:tblCellMar>
            <w:top w:w="0" w:type="dxa"/>
            <w:left w:w="0" w:type="dxa"/>
            <w:bottom w:w="0" w:type="dxa"/>
            <w:right w:w="0" w:type="dxa"/>
          </w:tblCellMar>
        </w:tblPrEx>
        <w:trPr>
          <w:trHeight w:val="411" w:hRule="atLeast"/>
        </w:trPr>
        <w:tc>
          <w:tcPr>
            <w:tcW w:w="3177" w:type="dxa"/>
            <w:gridSpan w:val="6"/>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部门：</w:t>
            </w:r>
            <w:r>
              <w:rPr>
                <w:rFonts w:hint="eastAsia" w:ascii="宋体" w:hAnsi="宋体" w:cs="宋体"/>
                <w:color w:val="000000"/>
                <w:kern w:val="0"/>
                <w:sz w:val="20"/>
                <w:szCs w:val="20"/>
              </w:rPr>
              <w:t>石家庄市鹿泉区广播电视台</w:t>
            </w:r>
          </w:p>
        </w:tc>
        <w:tc>
          <w:tcPr>
            <w:tcW w:w="840"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2460" w:type="dxa"/>
            <w:gridSpan w:val="2"/>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24" w:hRule="atLeast"/>
        </w:trPr>
        <w:tc>
          <w:tcPr>
            <w:tcW w:w="2011"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1166"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年初结转和结余</w:t>
            </w:r>
          </w:p>
        </w:tc>
        <w:tc>
          <w:tcPr>
            <w:tcW w:w="84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本年收入</w:t>
            </w:r>
          </w:p>
        </w:tc>
        <w:tc>
          <w:tcPr>
            <w:tcW w:w="3575"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本年支出</w:t>
            </w:r>
          </w:p>
        </w:tc>
        <w:tc>
          <w:tcPr>
            <w:tcW w:w="1268"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年末结转和结余</w:t>
            </w:r>
          </w:p>
        </w:tc>
      </w:tr>
      <w:tr>
        <w:tblPrEx>
          <w:tblCellMar>
            <w:top w:w="0" w:type="dxa"/>
            <w:left w:w="0" w:type="dxa"/>
            <w:bottom w:w="0" w:type="dxa"/>
            <w:right w:w="0" w:type="dxa"/>
          </w:tblCellMar>
        </w:tblPrEx>
        <w:trPr>
          <w:trHeight w:val="324" w:hRule="atLeast"/>
        </w:trPr>
        <w:tc>
          <w:tcPr>
            <w:tcW w:w="966"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1045"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19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19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项目支出</w:t>
            </w: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045"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12" w:hRule="atLeast"/>
        </w:trPr>
        <w:tc>
          <w:tcPr>
            <w:tcW w:w="96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045"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2011"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24" w:hRule="atLeast"/>
        </w:trPr>
        <w:tc>
          <w:tcPr>
            <w:tcW w:w="2011"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8860" w:type="dxa"/>
            <w:gridSpan w:val="11"/>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kern w:val="0"/>
                <w:szCs w:val="21"/>
              </w:rPr>
            </w:pPr>
            <w:r>
              <w:rPr>
                <w:rFonts w:hint="eastAsia" w:ascii="宋体" w:hAnsi="宋体" w:cs="宋体"/>
                <w:color w:val="000000"/>
                <w:kern w:val="0"/>
                <w:szCs w:val="21"/>
              </w:rPr>
              <w:t xml:space="preserve">注：本表反映部门本年度政府性基金预算财政拨款收入、支出及结转和结余情况。         </w:t>
            </w:r>
          </w:p>
          <w:p>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szCs w:val="21"/>
              </w:rPr>
              <w:t>本部门本年度无相关收入（或支出、收支及结转结余等）情况，按要求空表列示。</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3"/>
        <w:tblW w:w="8800" w:type="dxa"/>
        <w:tblInd w:w="0" w:type="dxa"/>
        <w:tblLayout w:type="fixed"/>
        <w:tblCellMar>
          <w:top w:w="0" w:type="dxa"/>
          <w:left w:w="0" w:type="dxa"/>
          <w:bottom w:w="0" w:type="dxa"/>
          <w:right w:w="0" w:type="dxa"/>
        </w:tblCellMar>
      </w:tblPr>
      <w:tblGrid>
        <w:gridCol w:w="442"/>
        <w:gridCol w:w="208"/>
        <w:gridCol w:w="504"/>
        <w:gridCol w:w="274"/>
        <w:gridCol w:w="894"/>
        <w:gridCol w:w="783"/>
        <w:gridCol w:w="252"/>
        <w:gridCol w:w="1646"/>
        <w:gridCol w:w="359"/>
        <w:gridCol w:w="1539"/>
        <w:gridCol w:w="1899"/>
      </w:tblGrid>
      <w:tr>
        <w:tblPrEx>
          <w:tblCellMar>
            <w:top w:w="0" w:type="dxa"/>
            <w:left w:w="0" w:type="dxa"/>
            <w:bottom w:w="0" w:type="dxa"/>
            <w:right w:w="0" w:type="dxa"/>
          </w:tblCellMar>
        </w:tblPrEx>
        <w:trPr>
          <w:trHeight w:val="656" w:hRule="atLeast"/>
        </w:trPr>
        <w:tc>
          <w:tcPr>
            <w:tcW w:w="8800" w:type="dxa"/>
            <w:gridSpan w:val="11"/>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国有资本经营预算财政拨</w:t>
            </w:r>
            <w:r>
              <w:rPr>
                <w:sz w:val="44"/>
              </w:rPr>
              <mc:AlternateContent>
                <mc:Choice Requires="wpg">
                  <w:drawing>
                    <wp:anchor distT="0" distB="0" distL="114300" distR="114300" simplePos="0" relativeHeight="251682816" behindDoc="0" locked="1" layoutInCell="1" allowOverlap="1">
                      <wp:simplePos x="0" y="0"/>
                      <wp:positionH relativeFrom="column">
                        <wp:posOffset>-1027430</wp:posOffset>
                      </wp:positionH>
                      <wp:positionV relativeFrom="page">
                        <wp:posOffset>-1029970</wp:posOffset>
                      </wp:positionV>
                      <wp:extent cx="3088640" cy="523240"/>
                      <wp:effectExtent l="3175" t="0" r="13335" b="29210"/>
                      <wp:wrapNone/>
                      <wp:docPr id="53" name="组合 58"/>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51" name="矩形 13"/>
                              <wps:cNvSpPr/>
                              <wps:spPr>
                                <a:xfrm>
                                  <a:off x="4551" y="52615"/>
                                  <a:ext cx="8546" cy="1175"/>
                                </a:xfrm>
                                <a:prstGeom prst="rect">
                                  <a:avLst/>
                                </a:prstGeom>
                                <a:solidFill>
                                  <a:srgbClr val="D8D8D8"/>
                                </a:solidFill>
                                <a:ln w="25400">
                                  <a:noFill/>
                                </a:ln>
                              </wps:spPr>
                              <wps:bodyPr anchor="ctr" anchorCtr="0" upright="1"/>
                            </wps:wsp>
                            <wps:wsp>
                              <wps:cNvPr id="52" name="矩形 14"/>
                              <wps:cNvSpPr/>
                              <wps:spPr>
                                <a:xfrm>
                                  <a:off x="4577" y="52890"/>
                                  <a:ext cx="8324" cy="1123"/>
                                </a:xfrm>
                                <a:prstGeom prst="rect">
                                  <a:avLst/>
                                </a:prstGeom>
                                <a:solidFill>
                                  <a:srgbClr val="AD002D"/>
                                </a:solidFill>
                                <a:ln w="25400" cap="flat" cmpd="sng">
                                  <a:solidFill>
                                    <a:srgbClr val="845209"/>
                                  </a:solidFill>
                                  <a:prstDash val="solid"/>
                                  <a:miter/>
                                  <a:headEnd type="none" w="med" len="med"/>
                                  <a:tailEnd type="none" w="med" len="med"/>
                                </a:ln>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wps:txbx>
                              <wps:bodyPr anchor="ctr" anchorCtr="0" upright="1"/>
                            </wps:wsp>
                          </wpg:wgp>
                        </a:graphicData>
                      </a:graphic>
                    </wp:anchor>
                  </w:drawing>
                </mc:Choice>
                <mc:Fallback>
                  <w:pict>
                    <v:group id="组合 58" o:spid="_x0000_s1026" o:spt="203" style="position:absolute;left:0pt;margin-left:-80.9pt;margin-top:-81.1pt;height:41.2pt;width:243.2pt;mso-position-vertical-relative:page;z-index:251682816;mso-width-relative:page;mso-height-relative:page;" coordorigin="4551,52615" coordsize="8546,1398"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">
                      <o:lock v:ext="edit" aspectratio="f"/>
                      <v:rect id="矩形 13" o:spid="_x0000_s1026" o:spt="1" style="position:absolute;left:4551;top:52615;height:1175;width:8546;v-text-anchor:middle;" fillcolor="#D8D8D8" filled="t" stroked="f" coordsize="21600,21600" o:gfxdata="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b4kHvQAA&#10;ANsAAAAPAAAAAAAAAAEAIAAAACIAAABkcnMvZG93bnJldi54bWxQSwECFAAUAAAACACHTuJAMy8F&#10;njsAAAA5AAAAEAAAAAAAAAABACAAAAAMAQAAZHJzL3NoYXBleG1sLnhtbFBLBQYAAAAABgAGAFsB&#10;AAC2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XhxN6r0AAADb&#10;AAAADwAAAGRycy9kb3ducmV2LnhtbEWPQWsCMRSE74L/ITyhN80qdJHVKCKIrSBSu0W8PTbPzeLm&#10;Zdmkav31piB4HGbmG2Y6v9laXKj1lWMFw0ECgrhwuuJSQf696o9B+ICssXZMCv7Iw3zW7Uwx0+7K&#10;X3TZh1JECPsMFZgQmkxKXxiy6AeuIY7eybUWQ5RtKXWL1wi3tRwlSSotVhwXDDa0NFSc979WwS43&#10;xzVu6GC3m/NPvqgwvX+mSr31hskERKBbeIWf7Q+t4H0E/1/iD5Cz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HE3qvQAA&#10;ANsAAAAPAAAAAAAAAAEAIAAAACIAAABkcnMvZG93bnJldi54bWxQSwECFAAUAAAACACHTuJAMy8F&#10;njsAAAA5AAAAEAAAAAAAAAABACAAAAAMAQAAZHJzL3NoYXBleG1sLnhtbFBLBQYAAAAABgAGAFsB&#10;AAC2AwAAAAA=&#10;">
                        <v:fill on="t" focussize="0,0"/>
                        <v:stroke weight="2pt" color="#845209" joinstyle="miter"/>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rect>
                      <w10:anchorlock/>
                    </v:group>
                  </w:pict>
                </mc:Fallback>
              </mc:AlternateContent>
            </w:r>
            <w:r>
              <w:rPr>
                <w:rFonts w:hint="eastAsia" w:ascii="黑体" w:hAnsi="宋体" w:eastAsia="黑体" w:cs="黑体"/>
                <w:color w:val="000000"/>
                <w:kern w:val="0"/>
                <w:sz w:val="40"/>
                <w:szCs w:val="40"/>
              </w:rPr>
              <w:t>款支出决算表</w:t>
            </w:r>
          </w:p>
        </w:tc>
      </w:tr>
      <w:tr>
        <w:tblPrEx>
          <w:tblCellMar>
            <w:top w:w="0" w:type="dxa"/>
            <w:left w:w="0" w:type="dxa"/>
            <w:bottom w:w="0" w:type="dxa"/>
            <w:right w:w="0" w:type="dxa"/>
          </w:tblCellMar>
        </w:tblPrEx>
        <w:trPr>
          <w:trHeight w:val="335" w:hRule="atLeast"/>
        </w:trPr>
        <w:tc>
          <w:tcPr>
            <w:tcW w:w="442"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8"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04"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16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03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0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公开09表</w:t>
            </w:r>
          </w:p>
        </w:tc>
      </w:tr>
      <w:tr>
        <w:tblPrEx>
          <w:tblCellMar>
            <w:top w:w="0" w:type="dxa"/>
            <w:left w:w="0" w:type="dxa"/>
            <w:bottom w:w="0" w:type="dxa"/>
            <w:right w:w="0" w:type="dxa"/>
          </w:tblCellMar>
        </w:tblPrEx>
        <w:trPr>
          <w:trHeight w:val="335" w:hRule="atLeast"/>
        </w:trPr>
        <w:tc>
          <w:tcPr>
            <w:tcW w:w="3357" w:type="dxa"/>
            <w:gridSpan w:val="7"/>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编制单位：</w:t>
            </w:r>
            <w:r>
              <w:rPr>
                <w:rFonts w:hint="eastAsia" w:ascii="宋体" w:hAnsi="宋体" w:cs="宋体"/>
                <w:color w:val="000000"/>
                <w:kern w:val="0"/>
                <w:sz w:val="20"/>
                <w:szCs w:val="20"/>
              </w:rPr>
              <w:t>石家庄市鹿泉区广播电视台</w:t>
            </w:r>
          </w:p>
        </w:tc>
        <w:tc>
          <w:tcPr>
            <w:tcW w:w="200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金额单位：万元</w:t>
            </w:r>
          </w:p>
        </w:tc>
      </w:tr>
      <w:tr>
        <w:tblPrEx>
          <w:tblCellMar>
            <w:top w:w="0" w:type="dxa"/>
            <w:left w:w="0" w:type="dxa"/>
            <w:bottom w:w="0" w:type="dxa"/>
            <w:right w:w="0" w:type="dxa"/>
          </w:tblCellMar>
        </w:tblPrEx>
        <w:trPr>
          <w:trHeight w:val="358" w:hRule="atLeast"/>
        </w:trPr>
        <w:tc>
          <w:tcPr>
            <w:tcW w:w="3105"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科目</w:t>
            </w:r>
          </w:p>
        </w:tc>
        <w:tc>
          <w:tcPr>
            <w:tcW w:w="5695" w:type="dxa"/>
            <w:gridSpan w:val="5"/>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本年支出</w:t>
            </w:r>
          </w:p>
        </w:tc>
      </w:tr>
      <w:tr>
        <w:tblPrEx>
          <w:tblCellMar>
            <w:top w:w="0" w:type="dxa"/>
            <w:left w:w="0" w:type="dxa"/>
            <w:bottom w:w="0" w:type="dxa"/>
            <w:right w:w="0" w:type="dxa"/>
          </w:tblCellMar>
        </w:tblPrEx>
        <w:trPr>
          <w:trHeight w:val="82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功能分类科目编码</w:t>
            </w: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科目名称</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小计</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基本支出</w:t>
            </w: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项目支出</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栏次</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1</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2</w:t>
            </w: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3</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合计</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58" w:hRule="atLeast"/>
        </w:trPr>
        <w:tc>
          <w:tcPr>
            <w:tcW w:w="8800" w:type="dxa"/>
            <w:gridSpan w:val="11"/>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kern w:val="0"/>
                <w:sz w:val="22"/>
                <w:szCs w:val="22"/>
              </w:rPr>
            </w:pPr>
            <w:r>
              <w:rPr>
                <w:rFonts w:hint="eastAsia" w:ascii="宋体" w:hAnsi="宋体" w:cs="宋体"/>
                <w:color w:val="000000"/>
                <w:kern w:val="0"/>
                <w:sz w:val="22"/>
                <w:szCs w:val="22"/>
              </w:rPr>
              <w:t>注：本表反映部门本年度国有资本经营预算财政拨款支出情况。</w:t>
            </w:r>
          </w:p>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szCs w:val="21"/>
              </w:rPr>
              <w:t>本部门本年度无相关收入（或支出、收支及结转结余等）情况，按要求空表列示。</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3"/>
        <w:tblW w:w="8940" w:type="dxa"/>
        <w:tblInd w:w="0" w:type="dxa"/>
        <w:tblLayout w:type="fixed"/>
        <w:tblCellMar>
          <w:top w:w="0" w:type="dxa"/>
          <w:left w:w="0" w:type="dxa"/>
          <w:bottom w:w="0" w:type="dxa"/>
          <w:right w:w="0" w:type="dxa"/>
        </w:tblCellMar>
      </w:tblPr>
      <w:tblGrid>
        <w:gridCol w:w="1901"/>
        <w:gridCol w:w="1203"/>
        <w:gridCol w:w="790"/>
        <w:gridCol w:w="362"/>
        <w:gridCol w:w="911"/>
        <w:gridCol w:w="241"/>
        <w:gridCol w:w="1032"/>
        <w:gridCol w:w="120"/>
        <w:gridCol w:w="1154"/>
        <w:gridCol w:w="1226"/>
      </w:tblGrid>
      <w:tr>
        <w:tblPrEx>
          <w:tblCellMar>
            <w:top w:w="0" w:type="dxa"/>
            <w:left w:w="0" w:type="dxa"/>
            <w:bottom w:w="0" w:type="dxa"/>
            <w:right w:w="0" w:type="dxa"/>
          </w:tblCellMar>
        </w:tblPrEx>
        <w:trPr>
          <w:trHeight w:val="635" w:hRule="atLeast"/>
        </w:trPr>
        <w:tc>
          <w:tcPr>
            <w:tcW w:w="8940" w:type="dxa"/>
            <w:gridSpan w:val="10"/>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政府采购</w:t>
            </w:r>
            <w:r>
              <w:rPr>
                <w:sz w:val="44"/>
              </w:rPr>
              <mc:AlternateContent>
                <mc:Choice Requires="wpg">
                  <w:drawing>
                    <wp:anchor distT="0" distB="0" distL="114300" distR="114300" simplePos="0" relativeHeight="251683840" behindDoc="0" locked="1" layoutInCell="1" allowOverlap="1">
                      <wp:simplePos x="0" y="0"/>
                      <wp:positionH relativeFrom="column">
                        <wp:posOffset>-1027430</wp:posOffset>
                      </wp:positionH>
                      <wp:positionV relativeFrom="page">
                        <wp:posOffset>-1029970</wp:posOffset>
                      </wp:positionV>
                      <wp:extent cx="3088640" cy="523240"/>
                      <wp:effectExtent l="3175" t="0" r="13335" b="29210"/>
                      <wp:wrapNone/>
                      <wp:docPr id="56" name="组合 61"/>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54" name="矩形 13"/>
                              <wps:cNvSpPr/>
                              <wps:spPr>
                                <a:xfrm>
                                  <a:off x="4551" y="52615"/>
                                  <a:ext cx="8546" cy="1175"/>
                                </a:xfrm>
                                <a:prstGeom prst="rect">
                                  <a:avLst/>
                                </a:prstGeom>
                                <a:solidFill>
                                  <a:srgbClr val="D8D8D8"/>
                                </a:solidFill>
                                <a:ln w="25400">
                                  <a:noFill/>
                                </a:ln>
                              </wps:spPr>
                              <wps:bodyPr anchor="ctr" anchorCtr="0" upright="1"/>
                            </wps:wsp>
                            <wps:wsp>
                              <wps:cNvPr id="55" name="矩形 14"/>
                              <wps:cNvSpPr/>
                              <wps:spPr>
                                <a:xfrm>
                                  <a:off x="4577" y="52890"/>
                                  <a:ext cx="8324" cy="1123"/>
                                </a:xfrm>
                                <a:prstGeom prst="rect">
                                  <a:avLst/>
                                </a:prstGeom>
                                <a:solidFill>
                                  <a:srgbClr val="AD002D"/>
                                </a:solidFill>
                                <a:ln w="25400" cap="flat" cmpd="sng">
                                  <a:solidFill>
                                    <a:srgbClr val="845209"/>
                                  </a:solidFill>
                                  <a:prstDash val="solid"/>
                                  <a:miter/>
                                  <a:headEnd type="none" w="med" len="med"/>
                                  <a:tailEnd type="none" w="med" len="med"/>
                                </a:ln>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wps:txbx>
                              <wps:bodyPr anchor="ctr" anchorCtr="0" upright="1"/>
                            </wps:wsp>
                          </wpg:wgp>
                        </a:graphicData>
                      </a:graphic>
                    </wp:anchor>
                  </w:drawing>
                </mc:Choice>
                <mc:Fallback>
                  <w:pict>
                    <v:group id="组合 61" o:spid="_x0000_s1026" o:spt="203" style="position:absolute;left:0pt;margin-left:-80.9pt;margin-top:-81.1pt;height:41.2pt;width:243.2pt;mso-position-vertical-relative:page;z-index:251683840;mso-width-relative:page;mso-height-relative:page;" coordorigin="4551,52615" coordsize="8546,1398"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">
                      <o:lock v:ext="edit" aspectratio="f"/>
                      <v:rect id="矩形 13" o:spid="_x0000_s1026" o:spt="1" style="position:absolute;left:4551;top:52615;height:1175;width:8546;v-text-anchor:middle;" fillcolor="#D8D8D8" filled="t" stroked="f" coordsize="21600,21600" o:gfxdata="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IGCqfvQAA&#10;ANsAAAAPAAAAAAAAAAEAIAAAACIAAABkcnMvZG93bnJldi54bWxQSwECFAAUAAAACACHTuJAMy8F&#10;njsAAAA5AAAAEAAAAAAAAAABACAAAAAMAQAAZHJzL3NoYXBleG1sLnhtbFBLBQYAAAAABgAGAFsB&#10;AAC2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0fXVnr0AAADb&#10;AAAADwAAAGRycy9kb3ducmV2LnhtbEWP3WoCMRSE74W+QzgF7zSr4CJbo5RCqQoi1ZXi3WFz3Cxu&#10;TpZN/H16UxC8HGbmG2Yyu9panKn1lWMFg34CgrhwuuJSQb797o1B+ICssXZMCm7kYTZ960ww0+7C&#10;v3TehFJECPsMFZgQmkxKXxiy6PuuIY7ewbUWQ5RtKXWLlwi3tRwmSSotVhwXDDb0Zag4bk5WwTo3&#10;+x9c0p9dLY+7/LPC9L5Ileq+D5IPEIGu4RV+tudawWgE/1/iD5DT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R9dWevQAA&#10;ANsAAAAPAAAAAAAAAAEAIAAAACIAAABkcnMvZG93bnJldi54bWxQSwECFAAUAAAACACHTuJAMy8F&#10;njsAAAA5AAAAEAAAAAAAAAABACAAAAAMAQAAZHJzL3NoYXBleG1sLnhtbFBLBQYAAAAABgAGAFsB&#10;AAC2AwAAAAA=&#10;">
                        <v:fill on="t" focussize="0,0"/>
                        <v:stroke weight="2pt" color="#845209" joinstyle="miter"/>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rect>
                      <w10:anchorlock/>
                    </v:group>
                  </w:pict>
                </mc:Fallback>
              </mc:AlternateContent>
            </w:r>
            <w:r>
              <w:rPr>
                <w:rFonts w:hint="eastAsia" w:ascii="黑体" w:hAnsi="宋体" w:eastAsia="黑体" w:cs="黑体"/>
                <w:color w:val="000000"/>
                <w:kern w:val="0"/>
                <w:sz w:val="40"/>
                <w:szCs w:val="40"/>
              </w:rPr>
              <w:t>情况表</w:t>
            </w:r>
          </w:p>
        </w:tc>
      </w:tr>
      <w:tr>
        <w:tblPrEx>
          <w:tblCellMar>
            <w:top w:w="0" w:type="dxa"/>
            <w:left w:w="0" w:type="dxa"/>
            <w:bottom w:w="0" w:type="dxa"/>
            <w:right w:w="0" w:type="dxa"/>
          </w:tblCellMar>
        </w:tblPrEx>
        <w:trPr>
          <w:trHeight w:val="326" w:hRule="atLeast"/>
        </w:trPr>
        <w:tc>
          <w:tcPr>
            <w:tcW w:w="1901"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03"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790"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2500" w:type="dxa"/>
            <w:gridSpan w:val="3"/>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公开10表</w:t>
            </w:r>
          </w:p>
        </w:tc>
      </w:tr>
      <w:tr>
        <w:tblPrEx>
          <w:tblCellMar>
            <w:top w:w="0" w:type="dxa"/>
            <w:left w:w="0" w:type="dxa"/>
            <w:bottom w:w="0" w:type="dxa"/>
            <w:right w:w="0" w:type="dxa"/>
          </w:tblCellMar>
        </w:tblPrEx>
        <w:trPr>
          <w:trHeight w:val="360" w:hRule="atLeast"/>
        </w:trPr>
        <w:tc>
          <w:tcPr>
            <w:tcW w:w="6440" w:type="dxa"/>
            <w:gridSpan w:val="7"/>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编制单位：</w:t>
            </w:r>
            <w:r>
              <w:rPr>
                <w:rFonts w:hint="eastAsia" w:ascii="宋体" w:hAnsi="宋体" w:cs="宋体"/>
                <w:color w:val="000000"/>
                <w:kern w:val="0"/>
                <w:sz w:val="20"/>
                <w:szCs w:val="20"/>
              </w:rPr>
              <w:t>石家庄市鹿泉区广播电视台</w:t>
            </w:r>
          </w:p>
        </w:tc>
        <w:tc>
          <w:tcPr>
            <w:tcW w:w="2500" w:type="dxa"/>
            <w:gridSpan w:val="3"/>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09" w:hRule="atLeast"/>
        </w:trPr>
        <w:tc>
          <w:tcPr>
            <w:tcW w:w="190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9"/>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采购计划金额</w:t>
            </w:r>
          </w:p>
        </w:tc>
      </w:tr>
      <w:tr>
        <w:tblPrEx>
          <w:tblCellMar>
            <w:top w:w="0" w:type="dxa"/>
            <w:left w:w="0" w:type="dxa"/>
            <w:bottom w:w="0" w:type="dxa"/>
            <w:right w:w="0" w:type="dxa"/>
          </w:tblCellMar>
        </w:tblPrEx>
        <w:trPr>
          <w:trHeight w:val="398" w:hRule="atLeast"/>
        </w:trPr>
        <w:tc>
          <w:tcPr>
            <w:tcW w:w="19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tblPrEx>
          <w:tblCellMar>
            <w:top w:w="0" w:type="dxa"/>
            <w:left w:w="0" w:type="dxa"/>
            <w:bottom w:w="0" w:type="dxa"/>
            <w:right w:w="0" w:type="dxa"/>
          </w:tblCellMar>
        </w:tblPrEx>
        <w:trPr>
          <w:trHeight w:val="473" w:hRule="atLeast"/>
        </w:trPr>
        <w:tc>
          <w:tcPr>
            <w:tcW w:w="19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       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09" w:hRule="atLeast"/>
        </w:trPr>
        <w:tc>
          <w:tcPr>
            <w:tcW w:w="1901"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9"/>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实际采购金额</w:t>
            </w:r>
          </w:p>
        </w:tc>
      </w:tr>
      <w:tr>
        <w:tblPrEx>
          <w:tblCellMar>
            <w:top w:w="0" w:type="dxa"/>
            <w:left w:w="0" w:type="dxa"/>
            <w:bottom w:w="0" w:type="dxa"/>
            <w:right w:w="0" w:type="dxa"/>
          </w:tblCellMar>
        </w:tblPrEx>
        <w:trPr>
          <w:trHeight w:val="350" w:hRule="atLeast"/>
        </w:trPr>
        <w:tc>
          <w:tcPr>
            <w:tcW w:w="1901"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tblPrEx>
          <w:tblCellMar>
            <w:top w:w="0" w:type="dxa"/>
            <w:left w:w="0" w:type="dxa"/>
            <w:bottom w:w="0" w:type="dxa"/>
            <w:right w:w="0" w:type="dxa"/>
          </w:tblCellMar>
        </w:tblPrEx>
        <w:trPr>
          <w:trHeight w:val="543" w:hRule="atLeast"/>
        </w:trPr>
        <w:tc>
          <w:tcPr>
            <w:tcW w:w="1901"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09"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       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98" w:hRule="atLeast"/>
        </w:trPr>
        <w:tc>
          <w:tcPr>
            <w:tcW w:w="8940" w:type="dxa"/>
            <w:gridSpan w:val="10"/>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注：本表反映部门本年度纳入部门预算范围的政府采购预算及支出情况。     </w:t>
            </w:r>
          </w:p>
        </w:tc>
      </w:tr>
    </w:tbl>
    <w:p>
      <w:pPr>
        <w:widowControl/>
        <w:spacing w:after="0" w:line="560" w:lineRule="exact"/>
        <w:jc w:val="left"/>
        <w:rPr>
          <w:rFonts w:ascii="仿宋_GB2312" w:eastAsia="仿宋_GB2312" w:hAnsiTheme="majorEastAsia"/>
          <w:b/>
          <w:sz w:val="28"/>
          <w:szCs w:val="28"/>
          <w:highlight w:val="yellow"/>
        </w:rPr>
      </w:pPr>
      <w:r>
        <w:rPr>
          <w:rFonts w:hint="eastAsia" w:ascii="宋体" w:hAnsi="宋体" w:cs="宋体"/>
          <w:color w:val="000000"/>
          <w:szCs w:val="21"/>
        </w:rPr>
        <w:t>本部门本年度无相关收入（或支出、收支及结转结余等）情况，按要求空列示。</w:t>
      </w:r>
    </w:p>
    <w:p/>
    <w:p/>
    <w:p/>
    <w:p/>
    <w:p>
      <w:pPr>
        <w:tabs>
          <w:tab w:val="left" w:pos="1086"/>
        </w:tabs>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r>
        <w:rPr>
          <w:rFonts w:hint="eastAsia"/>
        </w:rPr>
        <w:tab/>
      </w: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1312"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4" name="图片 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2"/>
                    <pic:cNvPicPr>
                      <a:picLocks noChangeAspect="1"/>
                    </pic:cNvPicPr>
                  </pic:nvPicPr>
                  <pic:blipFill>
                    <a:blip r:embed="rId7"/>
                    <a:stretch>
                      <a:fillRect/>
                    </a:stretch>
                  </pic:blipFill>
                  <pic:spPr>
                    <a:xfrm>
                      <a:off x="0" y="0"/>
                      <a:ext cx="7550150" cy="10680065"/>
                    </a:xfrm>
                    <a:prstGeom prst="rect">
                      <a:avLst/>
                    </a:prstGeom>
                  </pic:spPr>
                </pic:pic>
              </a:graphicData>
            </a:graphic>
          </wp:anchor>
        </w:drawing>
      </w:r>
      <w:r>
        <w:rPr>
          <w:sz w:val="72"/>
        </w:rPr>
        <mc:AlternateContent>
          <mc:Choice Requires="wps">
            <w:drawing>
              <wp:anchor distT="0" distB="0" distL="114300" distR="114300" simplePos="0" relativeHeight="251669504" behindDoc="0" locked="0" layoutInCell="1" allowOverlap="1">
                <wp:simplePos x="0" y="0"/>
                <wp:positionH relativeFrom="column">
                  <wp:posOffset>-999490</wp:posOffset>
                </wp:positionH>
                <wp:positionV relativeFrom="paragraph">
                  <wp:posOffset>2956560</wp:posOffset>
                </wp:positionV>
                <wp:extent cx="7571740" cy="2020570"/>
                <wp:effectExtent l="0" t="0" r="0" b="0"/>
                <wp:wrapNone/>
                <wp:docPr id="13" name="文本框 5"/>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第三部分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5" o:spid="_x0000_s1026" o:spt="202" type="#_x0000_t202" style="position:absolute;left:0pt;margin-left:-78.7pt;margin-top:232.8pt;height:159.1pt;width:596.2pt;z-index:251669504;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">
                <v:fill on="f" focussize="0,0"/>
                <v:stroke on="f" weight="0.5pt"/>
                <v:imagedata o:title=""/>
                <o:lock v:ext="edit" aspectratio="f"/>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第三部分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部门决算情况说明</w:t>
                      </w:r>
                    </w:p>
                  </w:txbxContent>
                </v:textbox>
              </v:shape>
            </w:pict>
          </mc:Fallback>
        </mc:AlternateContent>
      </w:r>
    </w:p>
    <w:p>
      <w:pPr>
        <w:pStyle w:val="3"/>
        <w:spacing w:before="0" w:after="0" w:line="580" w:lineRule="exact"/>
        <w:ind w:firstLine="640" w:firstLineChars="200"/>
        <w:rPr>
          <w:rFonts w:ascii="黑体" w:eastAsia="黑体"/>
          <w:b w:val="0"/>
          <w:bCs w:val="0"/>
        </w:rPr>
      </w:pPr>
      <w:r>
        <w:rPr>
          <w:rFonts w:hint="eastAsia" w:ascii="黑体" w:eastAsia="黑体"/>
          <w:b w:val="0"/>
          <w:bCs w:val="0"/>
        </w:rPr>
        <w:t>一、收入</w:t>
      </w:r>
      <w:r>
        <w:rPr>
          <w:rFonts w:hint="eastAsia" w:ascii="黑体" w:eastAsia="黑体" w:cs="黑体" w:hAnsiTheme="minorHAnsi"/>
          <w:b w:val="0"/>
          <w:bCs w:val="0"/>
          <w:kern w:val="0"/>
        </w:rPr>
        <w:t>支</w:t>
      </w:r>
      <w:r>
        <w:rPr>
          <w:sz w:val="44"/>
        </w:rPr>
        <mc:AlternateContent>
          <mc:Choice Requires="wpg">
            <w:drawing>
              <wp:anchor distT="0" distB="0" distL="114300" distR="114300" simplePos="0" relativeHeight="251692032" behindDoc="0" locked="1" layoutInCell="1" allowOverlap="1">
                <wp:simplePos x="0" y="0"/>
                <wp:positionH relativeFrom="page">
                  <wp:posOffset>-6985</wp:posOffset>
                </wp:positionH>
                <wp:positionV relativeFrom="page">
                  <wp:posOffset>372110</wp:posOffset>
                </wp:positionV>
                <wp:extent cx="3833495" cy="558165"/>
                <wp:effectExtent l="1270" t="0" r="13335" b="13335"/>
                <wp:wrapNone/>
                <wp:docPr id="80" name="组合 18"/>
                <wp:cNvGraphicFramePr/>
                <a:graphic xmlns:a="http://schemas.openxmlformats.org/drawingml/2006/main">
                  <a:graphicData uri="http://schemas.microsoft.com/office/word/2010/wordprocessingGroup">
                    <wpg:wgp>
                      <wpg:cNvGrpSpPr/>
                      <wpg:grpSpPr>
                        <a:xfrm>
                          <a:off x="0" y="0"/>
                          <a:ext cx="3833495" cy="558165"/>
                          <a:chOff x="4551" y="52615"/>
                          <a:chExt cx="8546" cy="1398"/>
                        </a:xfrm>
                      </wpg:grpSpPr>
                      <wps:wsp>
                        <wps:cNvPr id="78" name="矩形 13"/>
                        <wps:cNvSpPr/>
                        <wps:spPr>
                          <a:xfrm>
                            <a:off x="4551" y="52615"/>
                            <a:ext cx="8546" cy="1175"/>
                          </a:xfrm>
                          <a:prstGeom prst="rect">
                            <a:avLst/>
                          </a:prstGeom>
                          <a:solidFill>
                            <a:srgbClr val="D8D8D8"/>
                          </a:solidFill>
                          <a:ln w="25400">
                            <a:noFill/>
                          </a:ln>
                        </wps:spPr>
                        <wps:bodyPr anchor="ctr" anchorCtr="0" upright="1"/>
                      </wps:wsp>
                      <wps:wsp>
                        <wps:cNvPr id="79" name="矩形 14"/>
                        <wps:cNvSpPr/>
                        <wps:spPr>
                          <a:xfrm>
                            <a:off x="4577" y="52890"/>
                            <a:ext cx="8324" cy="1123"/>
                          </a:xfrm>
                          <a:prstGeom prst="rect">
                            <a:avLst/>
                          </a:prstGeom>
                          <a:solidFill>
                            <a:srgbClr val="AD002D"/>
                          </a:solidFill>
                          <a:ln w="25400" cap="flat" cmpd="sng">
                            <a:solidFill>
                              <a:srgbClr val="845209"/>
                            </a:solidFill>
                            <a:prstDash val="solid"/>
                            <a:miter/>
                            <a:headEnd type="none" w="med" len="med"/>
                            <a:tailEnd type="none" w="med" len="med"/>
                          </a:ln>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wps:txbx>
                        <wps:bodyPr anchor="ctr" anchorCtr="0" upright="1"/>
                      </wps:wsp>
                    </wpg:wgp>
                  </a:graphicData>
                </a:graphic>
              </wp:anchor>
            </w:drawing>
          </mc:Choice>
          <mc:Fallback>
            <w:pict>
              <v:group id="组合 18" o:spid="_x0000_s1026" o:spt="203" style="position:absolute;left:0pt;margin-left:-0.55pt;margin-top:29.3pt;height:43.95pt;width:301.85pt;mso-position-horizontal-relative:page;mso-position-vertical-relative:page;z-index:251692032;mso-width-relative:page;mso-height-relative:page;" coordorigin="4551,52615" coordsize="8546,1398" o:gfxdata="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">
                <o:lock v:ext="edit" aspectratio="f"/>
                <v:rect id="矩形 13" o:spid="_x0000_s1026" o:spt="1" style="position:absolute;left:4551;top:52615;height:1175;width:8546;v-text-anchor:middle;" fillcolor="#D8D8D8" filled="t" stroked="f" coordsize="21600,21600" o:gfxdata="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C4Hz6ugAAANsA&#10;AAAPAAAAAAAAAAEAIAAAACIAAABkcnMvZG93bnJldi54bWxQSwECFAAUAAAACACHTuJAMy8FnjsA&#10;AAA5AAAAEAAAAAAAAAABACAAAAAJAQAAZHJzL3NoYXBleG1sLnhtbFBLBQYAAAAABgAGAFsBAACz&#10;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Gw2D+74AAADb&#10;AAAADwAAAGRycy9kb3ducmV2LnhtbEWPW2sCMRSE3wv9D+EIvtWsPqx2NYoUxAuUoq5I3w6b083i&#10;5mTZxOuvbwpCH4eZ+YaZzG62FhdqfeVYQb+XgCAunK64VJDvF28jED4ga6wdk4I7eZhNX18mmGl3&#10;5S1ddqEUEcI+QwUmhCaT0heGLPqea4ij9+NaiyHKtpS6xWuE21oOkiSVFiuOCwYb+jBUnHZnq+Ar&#10;N99L3NDRfm5Oh3xeYfpYp0p1O/1kDCLQLfyHn+2VVjB8h78v8QfI6S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w2D+74A&#10;AADbAAAADwAAAAAAAAABACAAAAAiAAAAZHJzL2Rvd25yZXYueG1sUEsBAhQAFAAAAAgAh07iQDMv&#10;BZ47AAAAOQAAABAAAAAAAAAAAQAgAAAADQEAAGRycy9zaGFwZXhtbC54bWxQSwUGAAAAAAYABgBb&#10;AQAAtwMAAAAA&#10;">
                  <v:fill on="t" focussize="0,0"/>
                  <v:stroke weight="2pt" color="#845209" joinstyle="miter"/>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mc:Fallback>
        </mc:AlternateContent>
      </w:r>
      <w:r>
        <w:rPr>
          <w:rFonts w:hint="eastAsia" w:ascii="黑体" w:eastAsia="黑体" w:cs="黑体" w:hAnsiTheme="minorHAnsi"/>
          <w:b w:val="0"/>
          <w:bCs w:val="0"/>
          <w:kern w:val="0"/>
        </w:rPr>
        <w:t>出</w:t>
      </w:r>
      <w:r>
        <w:rPr>
          <w:rFonts w:hint="eastAsia" w:ascii="黑体" w:eastAsia="黑体"/>
          <w:b w:val="0"/>
          <w:bCs w:val="0"/>
        </w:rPr>
        <w:t>决算总体情况说明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本部门2018年度收支总计（含结转和结余）</w:t>
      </w:r>
      <w:r>
        <w:rPr>
          <w:rFonts w:ascii="仿宋_GB2312" w:eastAsia="仿宋_GB2312" w:cs="DengXian-Regular"/>
          <w:sz w:val="32"/>
          <w:szCs w:val="32"/>
        </w:rPr>
        <w:t>883.01</w:t>
      </w:r>
      <w:r>
        <w:rPr>
          <w:rFonts w:hint="eastAsia" w:ascii="仿宋_GB2312" w:eastAsia="仿宋_GB2312" w:cs="DengXian-Regular"/>
          <w:sz w:val="32"/>
          <w:szCs w:val="32"/>
        </w:rPr>
        <w:t>万元。</w:t>
      </w:r>
      <w:r>
        <w:rPr>
          <w:rFonts w:hint="eastAsia" w:ascii="仿宋" w:hAnsi="仿宋" w:eastAsia="仿宋" w:cs="DengXian-Regular"/>
          <w:sz w:val="32"/>
          <w:szCs w:val="32"/>
        </w:rPr>
        <w:t>与2017年度决算相比，收入增加</w:t>
      </w:r>
      <w:r>
        <w:rPr>
          <w:rFonts w:ascii="仿宋" w:hAnsi="仿宋" w:eastAsia="仿宋" w:cs="DengXian-Regular"/>
          <w:sz w:val="32"/>
          <w:szCs w:val="32"/>
        </w:rPr>
        <w:t>245.62</w:t>
      </w:r>
      <w:r>
        <w:rPr>
          <w:rFonts w:hint="eastAsia" w:ascii="仿宋" w:hAnsi="仿宋" w:eastAsia="仿宋" w:cs="DengXian-Regular"/>
          <w:sz w:val="32"/>
          <w:szCs w:val="32"/>
        </w:rPr>
        <w:t>万元，增长</w:t>
      </w:r>
      <w:r>
        <w:rPr>
          <w:rFonts w:ascii="仿宋" w:hAnsi="仿宋" w:eastAsia="仿宋" w:cs="DengXian-Regular"/>
          <w:sz w:val="32"/>
          <w:szCs w:val="32"/>
        </w:rPr>
        <w:t>38.53</w:t>
      </w:r>
      <w:r>
        <w:rPr>
          <w:rFonts w:hint="eastAsia" w:ascii="仿宋" w:hAnsi="仿宋" w:eastAsia="仿宋" w:cs="DengXian-Regular"/>
          <w:sz w:val="32"/>
          <w:szCs w:val="32"/>
        </w:rPr>
        <w:t>%，支出增加</w:t>
      </w:r>
      <w:r>
        <w:rPr>
          <w:rFonts w:ascii="仿宋" w:hAnsi="仿宋" w:eastAsia="仿宋" w:cs="DengXian-Regular"/>
          <w:sz w:val="32"/>
          <w:szCs w:val="32"/>
        </w:rPr>
        <w:t>203.9</w:t>
      </w:r>
      <w:r>
        <w:rPr>
          <w:rFonts w:hint="eastAsia" w:ascii="仿宋" w:hAnsi="仿宋" w:eastAsia="仿宋" w:cs="DengXian-Regular"/>
          <w:sz w:val="32"/>
          <w:szCs w:val="32"/>
        </w:rPr>
        <w:t>万元，增长</w:t>
      </w:r>
      <w:r>
        <w:rPr>
          <w:rFonts w:ascii="仿宋" w:hAnsi="仿宋" w:eastAsia="仿宋" w:cs="DengXian-Regular"/>
          <w:sz w:val="32"/>
          <w:szCs w:val="32"/>
        </w:rPr>
        <w:t>31.99</w:t>
      </w:r>
      <w:r>
        <w:rPr>
          <w:rFonts w:hint="eastAsia" w:ascii="仿宋" w:hAnsi="仿宋" w:eastAsia="仿宋" w:cs="DengXian-Regular"/>
          <w:sz w:val="32"/>
          <w:szCs w:val="32"/>
        </w:rPr>
        <w:t>%，主要原因是人员经费公用经费增加。</w:t>
      </w:r>
    </w:p>
    <w:p>
      <w:pPr>
        <w:pStyle w:val="3"/>
        <w:spacing w:before="0" w:after="0" w:line="580" w:lineRule="exact"/>
        <w:ind w:firstLine="640" w:firstLineChars="200"/>
        <w:rPr>
          <w:rFonts w:ascii="黑体" w:eastAsia="黑体"/>
          <w:b w:val="0"/>
          <w:bCs w:val="0"/>
        </w:rPr>
      </w:pPr>
      <w:r>
        <w:rPr>
          <w:rFonts w:hint="eastAsia" w:ascii="黑体" w:eastAsia="黑体"/>
          <w:b w:val="0"/>
          <w:bCs w:val="0"/>
        </w:rPr>
        <w:t>二、收入决算情况说明</w:t>
      </w:r>
    </w:p>
    <w:p>
      <w:pPr>
        <w:adjustRightInd w:val="0"/>
        <w:snapToGrid w:val="0"/>
        <w:spacing w:after="0" w:line="580" w:lineRule="exact"/>
        <w:ind w:firstLine="640" w:firstLineChars="200"/>
        <w:rPr>
          <w:rFonts w:ascii="仿宋" w:hAnsi="仿宋" w:eastAsia="仿宋" w:cs="DengXian-Regular"/>
          <w:sz w:val="32"/>
          <w:szCs w:val="32"/>
        </w:rPr>
      </w:pPr>
      <w:r>
        <w:rPr>
          <w:rFonts w:hint="eastAsia" w:ascii="仿宋" w:hAnsi="仿宋" w:eastAsia="仿宋" w:cs="DengXian-Regular"/>
          <w:sz w:val="32"/>
          <w:szCs w:val="32"/>
        </w:rPr>
        <w:t>本部门2018年度本年收入合计883.01万元，其中：财政拨款收入</w:t>
      </w:r>
      <w:r>
        <w:rPr>
          <w:rFonts w:ascii="仿宋" w:hAnsi="仿宋" w:eastAsia="仿宋" w:cs="DengXian-Regular"/>
          <w:sz w:val="32"/>
          <w:szCs w:val="32"/>
        </w:rPr>
        <w:t>854.72</w:t>
      </w:r>
      <w:r>
        <w:rPr>
          <w:rFonts w:hint="eastAsia" w:ascii="仿宋" w:hAnsi="仿宋" w:eastAsia="仿宋" w:cs="DengXian-Regular"/>
          <w:sz w:val="32"/>
          <w:szCs w:val="32"/>
        </w:rPr>
        <w:t>万元，占</w:t>
      </w:r>
      <w:r>
        <w:rPr>
          <w:rFonts w:ascii="仿宋" w:hAnsi="仿宋" w:eastAsia="仿宋" w:cs="DengXian-Regular"/>
          <w:sz w:val="32"/>
          <w:szCs w:val="32"/>
        </w:rPr>
        <w:t>96.8</w:t>
      </w:r>
      <w:r>
        <w:rPr>
          <w:rFonts w:hint="eastAsia" w:ascii="仿宋" w:hAnsi="仿宋" w:eastAsia="仿宋" w:cs="DengXian-Regular"/>
          <w:sz w:val="32"/>
          <w:szCs w:val="32"/>
        </w:rPr>
        <w:t>%；事业收入0万元，占0%；经营收入0万元，占0%；其他收入</w:t>
      </w:r>
      <w:r>
        <w:rPr>
          <w:rFonts w:ascii="仿宋" w:hAnsi="仿宋" w:eastAsia="仿宋" w:cs="DengXian-Regular"/>
          <w:sz w:val="32"/>
          <w:szCs w:val="32"/>
        </w:rPr>
        <w:t>28.29</w:t>
      </w:r>
      <w:r>
        <w:rPr>
          <w:rFonts w:hint="eastAsia" w:ascii="仿宋" w:hAnsi="仿宋" w:eastAsia="仿宋" w:cs="DengXian-Regular"/>
          <w:sz w:val="32"/>
          <w:szCs w:val="32"/>
        </w:rPr>
        <w:t>万元，占</w:t>
      </w:r>
      <w:r>
        <w:rPr>
          <w:rFonts w:ascii="仿宋" w:hAnsi="仿宋" w:eastAsia="仿宋" w:cs="DengXian-Regular"/>
          <w:sz w:val="32"/>
          <w:szCs w:val="32"/>
        </w:rPr>
        <w:t>3.20</w:t>
      </w:r>
      <w:r>
        <w:rPr>
          <w:rFonts w:hint="eastAsia" w:ascii="仿宋" w:hAnsi="仿宋" w:eastAsia="仿宋" w:cs="DengXian-Regular"/>
          <w:sz w:val="32"/>
          <w:szCs w:val="32"/>
        </w:rPr>
        <w:t>%。如图所示：</w:t>
      </w:r>
    </w:p>
    <w:p>
      <w:pPr>
        <w:jc w:val="center"/>
      </w:pPr>
      <w:r>
        <w:drawing>
          <wp:inline distT="0" distB="0" distL="0" distR="0">
            <wp:extent cx="3738245" cy="2187575"/>
            <wp:effectExtent l="0" t="0" r="0" b="0"/>
            <wp:docPr id="1"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图1：收入构成情况</w:t>
      </w:r>
    </w:p>
    <w:p>
      <w:pPr>
        <w:pStyle w:val="3"/>
        <w:spacing w:before="0" w:after="0" w:line="580" w:lineRule="exact"/>
        <w:ind w:firstLine="640" w:firstLineChars="200"/>
        <w:rPr>
          <w:rFonts w:ascii="黑体" w:eastAsia="黑体"/>
          <w:b w:val="0"/>
          <w:bCs w:val="0"/>
        </w:rPr>
      </w:pPr>
      <w:r>
        <w:rPr>
          <w:rFonts w:hint="eastAsia" w:ascii="黑体" w:eastAsia="黑体"/>
          <w:b w:val="0"/>
          <w:bCs w:val="0"/>
        </w:rPr>
        <w:t>三、支出决算情况说明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本部门2018年度本年支出合计</w:t>
      </w:r>
      <w:r>
        <w:rPr>
          <w:rFonts w:ascii="仿宋_GB2312" w:eastAsia="仿宋_GB2312" w:cs="DengXian-Regular"/>
          <w:sz w:val="32"/>
          <w:szCs w:val="32"/>
        </w:rPr>
        <w:t>841.21</w:t>
      </w:r>
      <w:r>
        <w:rPr>
          <w:rFonts w:hint="eastAsia" w:ascii="仿宋_GB2312" w:eastAsia="仿宋_GB2312" w:cs="DengXian-Regular"/>
          <w:sz w:val="32"/>
          <w:szCs w:val="32"/>
        </w:rPr>
        <w:t>万元，其中：基本支出</w:t>
      </w:r>
      <w:r>
        <w:rPr>
          <w:rFonts w:ascii="仿宋_GB2312" w:eastAsia="仿宋_GB2312" w:cs="DengXian-Regular"/>
          <w:sz w:val="32"/>
          <w:szCs w:val="32"/>
        </w:rPr>
        <w:t>841.21</w:t>
      </w:r>
      <w:r>
        <w:rPr>
          <w:rFonts w:hint="eastAsia" w:ascii="仿宋_GB2312" w:eastAsia="仿宋_GB2312" w:cs="DengXian-Regular"/>
          <w:sz w:val="32"/>
          <w:szCs w:val="32"/>
        </w:rPr>
        <w:t>万元，占1</w:t>
      </w:r>
      <w:r>
        <w:rPr>
          <w:rFonts w:ascii="仿宋_GB2312" w:eastAsia="仿宋_GB2312" w:cs="DengXian-Regular"/>
          <w:sz w:val="32"/>
          <w:szCs w:val="32"/>
        </w:rPr>
        <w:t>00</w:t>
      </w:r>
      <w:r>
        <w:rPr>
          <w:rFonts w:hint="eastAsia" w:ascii="仿宋_GB2312" w:eastAsia="仿宋_GB2312" w:cs="DengXian-Regular"/>
          <w:sz w:val="32"/>
          <w:szCs w:val="32"/>
        </w:rPr>
        <w:t>%；项目支出</w:t>
      </w:r>
      <w:r>
        <w:rPr>
          <w:rFonts w:ascii="仿宋_GB2312" w:eastAsia="仿宋_GB2312" w:cs="DengXian-Regular"/>
          <w:sz w:val="32"/>
          <w:szCs w:val="32"/>
        </w:rPr>
        <w:t>0</w:t>
      </w:r>
      <w:r>
        <w:rPr>
          <w:rFonts w:hint="eastAsia" w:ascii="仿宋_GB2312" w:eastAsia="仿宋_GB2312" w:cs="DengXian-Regular"/>
          <w:sz w:val="32"/>
          <w:szCs w:val="32"/>
        </w:rPr>
        <w:t>万元，占</w:t>
      </w:r>
      <w:r>
        <w:rPr>
          <w:rFonts w:ascii="仿宋_GB2312" w:eastAsia="仿宋_GB2312" w:cs="DengXian-Regular"/>
          <w:sz w:val="32"/>
          <w:szCs w:val="32"/>
        </w:rPr>
        <w:t>0</w:t>
      </w:r>
      <w:r>
        <w:rPr>
          <w:rFonts w:hint="eastAsia" w:ascii="仿宋_GB2312" w:eastAsia="仿宋_GB2312" w:cs="DengXian-Regular"/>
          <w:sz w:val="32"/>
          <w:szCs w:val="32"/>
        </w:rPr>
        <w:t>%；经营支出0万元，占0%。如图所示：</w:t>
      </w:r>
      <w:r>
        <w:rPr>
          <w:sz w:val="44"/>
        </w:rPr>
        <mc:AlternateContent>
          <mc:Choice Requires="wpg">
            <w:drawing>
              <wp:anchor distT="0" distB="0" distL="114300" distR="114300" simplePos="0" relativeHeight="251684864" behindDoc="0" locked="1" layoutInCell="1" allowOverlap="1">
                <wp:simplePos x="0" y="0"/>
                <wp:positionH relativeFrom="page">
                  <wp:posOffset>-6985</wp:posOffset>
                </wp:positionH>
                <wp:positionV relativeFrom="page">
                  <wp:posOffset>372110</wp:posOffset>
                </wp:positionV>
                <wp:extent cx="3833495" cy="558165"/>
                <wp:effectExtent l="1270" t="0" r="13335" b="13335"/>
                <wp:wrapNone/>
                <wp:docPr id="59" name="组合 70"/>
                <wp:cNvGraphicFramePr/>
                <a:graphic xmlns:a="http://schemas.openxmlformats.org/drawingml/2006/main">
                  <a:graphicData uri="http://schemas.microsoft.com/office/word/2010/wordprocessingGroup">
                    <wpg:wgp>
                      <wpg:cNvGrpSpPr/>
                      <wpg:grpSpPr>
                        <a:xfrm>
                          <a:off x="0" y="0"/>
                          <a:ext cx="3833495" cy="558165"/>
                          <a:chOff x="4551" y="52615"/>
                          <a:chExt cx="8546" cy="1398"/>
                        </a:xfrm>
                      </wpg:grpSpPr>
                      <wps:wsp>
                        <wps:cNvPr id="57" name="矩形 13"/>
                        <wps:cNvSpPr/>
                        <wps:spPr>
                          <a:xfrm>
                            <a:off x="4551" y="52615"/>
                            <a:ext cx="8546" cy="1175"/>
                          </a:xfrm>
                          <a:prstGeom prst="rect">
                            <a:avLst/>
                          </a:prstGeom>
                          <a:solidFill>
                            <a:srgbClr val="D8D8D8"/>
                          </a:solidFill>
                          <a:ln w="25400">
                            <a:noFill/>
                          </a:ln>
                        </wps:spPr>
                        <wps:bodyPr anchor="ctr" anchorCtr="0" upright="1"/>
                      </wps:wsp>
                      <wps:wsp>
                        <wps:cNvPr id="58" name="矩形 14"/>
                        <wps:cNvSpPr/>
                        <wps:spPr>
                          <a:xfrm>
                            <a:off x="4577" y="52890"/>
                            <a:ext cx="8324" cy="1123"/>
                          </a:xfrm>
                          <a:prstGeom prst="rect">
                            <a:avLst/>
                          </a:prstGeom>
                          <a:solidFill>
                            <a:srgbClr val="AD002D"/>
                          </a:solidFill>
                          <a:ln w="25400" cap="flat" cmpd="sng">
                            <a:solidFill>
                              <a:srgbClr val="845209"/>
                            </a:solidFill>
                            <a:prstDash val="solid"/>
                            <a:miter/>
                            <a:headEnd type="none" w="med" len="med"/>
                            <a:tailEnd type="none" w="med" len="med"/>
                          </a:ln>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wps:txbx>
                        <wps:bodyPr anchor="ctr" anchorCtr="0" upright="1"/>
                      </wps:wsp>
                    </wpg:wgp>
                  </a:graphicData>
                </a:graphic>
              </wp:anchor>
            </w:drawing>
          </mc:Choice>
          <mc:Fallback>
            <w:pict>
              <v:group id="组合 70" o:spid="_x0000_s1026" o:spt="203" style="position:absolute;left:0pt;margin-left:-0.55pt;margin-top:29.3pt;height:43.95pt;width:301.85pt;mso-position-horizontal-relative:page;mso-position-vertical-relative:page;z-index:251684864;mso-width-relative:page;mso-height-relative:page;" coordorigin="4551,52615" coordsize="8546,1398" o:gfxdata="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">
                <o:lock v:ext="edit" aspectratio="f"/>
                <v:rect id="矩形 13" o:spid="_x0000_s1026" o:spt="1" style="position:absolute;left:4551;top:52615;height:1175;width:8546;v-text-anchor:middle;" fillcolor="#D8D8D8" filled="t" stroked="f" coordsize="21600,21600" o:gfxdata="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OMq06L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P/R6ALoAAADb&#10;AAAADwAAAGRycy9kb3ducmV2LnhtbEVPy4rCMBTdC/MP4Q6401TBItUow4DoCDKoFXF3aa5Nsbkp&#10;TcbX15vFgMvDeU/nd1uLK7W+cqxg0E9AEBdOV1wqyPeL3hiED8gaa8ek4EEe5rOPzhQz7W68pesu&#10;lCKGsM9QgQmhyaT0hSGLvu8a4sidXWsxRNiWUrd4i+G2lsMkSaXFimODwYa+DRWX3Z9V8Jub0xLX&#10;dLSb9eWQf1WYPn9Spbqfg2QCItA9vMX/7pVWMIpj45f4A+TsB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9HoAugAAANsA&#10;AAAPAAAAAAAAAAEAIAAAACIAAABkcnMvZG93bnJldi54bWxQSwECFAAUAAAACACHTuJAMy8FnjsA&#10;AAA5AAAAEAAAAAAAAAABACAAAAAJAQAAZHJzL3NoYXBleG1sLnhtbFBLBQYAAAAABgAGAFsBAACz&#10;AwAAAAA=&#10;">
                  <v:fill on="t" focussize="0,0"/>
                  <v:stroke weight="2pt" color="#845209" joinstyle="miter"/>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mc:Fallback>
        </mc:AlternateContent>
      </w:r>
    </w:p>
    <w:p>
      <w:pPr>
        <w:jc w:val="center"/>
      </w:pPr>
      <w:r>
        <w:drawing>
          <wp:inline distT="0" distB="0" distL="0" distR="0">
            <wp:extent cx="4498975" cy="2109470"/>
            <wp:effectExtent l="0" t="0" r="0" b="0"/>
            <wp:docPr id="2"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图2：支出构成情况（按支出性质）</w:t>
      </w:r>
    </w:p>
    <w:p>
      <w:pPr>
        <w:pStyle w:val="3"/>
        <w:spacing w:before="0" w:after="0" w:line="580" w:lineRule="exact"/>
        <w:ind w:firstLine="640" w:firstLineChars="200"/>
        <w:rPr>
          <w:rFonts w:ascii="黑体" w:eastAsia="黑体"/>
          <w:b w:val="0"/>
          <w:bCs w:val="0"/>
        </w:rPr>
      </w:pPr>
      <w:r>
        <w:rPr>
          <w:rFonts w:hint="eastAsia" w:ascii="黑体" w:eastAsia="黑体"/>
          <w:b w:val="0"/>
          <w:bCs w:val="0"/>
        </w:rPr>
        <w:t>四、</w:t>
      </w:r>
      <w:r>
        <w:rPr>
          <w:rFonts w:hint="eastAsia" w:ascii="黑体" w:eastAsia="黑体" w:cs="黑体" w:hAnsiTheme="minorHAnsi"/>
          <w:b w:val="0"/>
          <w:bCs w:val="0"/>
          <w:kern w:val="0"/>
        </w:rPr>
        <w:t>财政</w:t>
      </w:r>
      <w:r>
        <w:rPr>
          <w:rFonts w:hint="eastAsia" w:ascii="黑体" w:eastAsia="黑体"/>
          <w:b w:val="0"/>
          <w:bCs w:val="0"/>
        </w:rPr>
        <w:t>拨款收入支出决算情况说明</w:t>
      </w:r>
    </w:p>
    <w:p>
      <w:pPr>
        <w:spacing w:after="0" w:line="58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（一）财政拨款收支与2017 年度决算对比情况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本部门2018年度形成的财政拨款收支均为一般公共预算财政拨款，其中一般公共预算财政拨款本年收入</w:t>
      </w:r>
      <w:r>
        <w:rPr>
          <w:rFonts w:ascii="仿宋_GB2312" w:eastAsia="仿宋_GB2312" w:cs="DengXian-Regular"/>
          <w:sz w:val="32"/>
          <w:szCs w:val="32"/>
        </w:rPr>
        <w:t>854.72</w:t>
      </w:r>
      <w:r>
        <w:rPr>
          <w:rFonts w:hint="eastAsia" w:ascii="仿宋_GB2312" w:eastAsia="仿宋_GB2312" w:cs="DengXian-Regular"/>
          <w:sz w:val="32"/>
          <w:szCs w:val="32"/>
        </w:rPr>
        <w:t>万元,比2017年度增加</w:t>
      </w:r>
      <w:r>
        <w:rPr>
          <w:rFonts w:ascii="仿宋_GB2312" w:eastAsia="仿宋_GB2312" w:cs="DengXian-Regular"/>
          <w:sz w:val="32"/>
          <w:szCs w:val="32"/>
        </w:rPr>
        <w:t>263.5</w:t>
      </w:r>
      <w:r>
        <w:rPr>
          <w:rFonts w:hint="eastAsia" w:ascii="仿宋_GB2312" w:eastAsia="仿宋_GB2312" w:cs="DengXian-Regular"/>
          <w:sz w:val="32"/>
          <w:szCs w:val="32"/>
        </w:rPr>
        <w:t>万元，增长</w:t>
      </w:r>
      <w:r>
        <w:rPr>
          <w:rFonts w:ascii="仿宋_GB2312" w:eastAsia="仿宋_GB2312" w:cs="DengXian-Regular"/>
          <w:sz w:val="32"/>
          <w:szCs w:val="32"/>
        </w:rPr>
        <w:t>44.56</w:t>
      </w:r>
      <w:r>
        <w:rPr>
          <w:rFonts w:hint="eastAsia" w:ascii="仿宋_GB2312" w:eastAsia="仿宋_GB2312" w:cs="DengXian-Regular"/>
          <w:sz w:val="32"/>
          <w:szCs w:val="32"/>
        </w:rPr>
        <w:t>%，主要是人员增加公用经费增加；本年支出8</w:t>
      </w:r>
      <w:r>
        <w:rPr>
          <w:rFonts w:ascii="仿宋_GB2312" w:eastAsia="仿宋_GB2312" w:cs="DengXian-Regular"/>
          <w:sz w:val="32"/>
          <w:szCs w:val="32"/>
        </w:rPr>
        <w:t>12.84</w:t>
      </w:r>
      <w:r>
        <w:rPr>
          <w:rFonts w:hint="eastAsia" w:ascii="仿宋_GB2312" w:eastAsia="仿宋_GB2312" w:cs="DengXian-Regular"/>
          <w:sz w:val="32"/>
          <w:szCs w:val="32"/>
        </w:rPr>
        <w:t>万元，增加</w:t>
      </w:r>
      <w:r>
        <w:rPr>
          <w:rFonts w:ascii="仿宋_GB2312" w:eastAsia="仿宋_GB2312" w:cs="DengXian-Regular"/>
          <w:sz w:val="32"/>
          <w:szCs w:val="32"/>
        </w:rPr>
        <w:t>175.53</w:t>
      </w:r>
      <w:r>
        <w:rPr>
          <w:rFonts w:hint="eastAsia" w:ascii="仿宋_GB2312" w:eastAsia="仿宋_GB2312" w:cs="DengXian-Regular"/>
          <w:sz w:val="32"/>
          <w:szCs w:val="32"/>
        </w:rPr>
        <w:t>万元，增长</w:t>
      </w:r>
      <w:r>
        <w:rPr>
          <w:rFonts w:ascii="仿宋_GB2312" w:eastAsia="仿宋_GB2312" w:cs="DengXian-Regular"/>
          <w:sz w:val="32"/>
          <w:szCs w:val="32"/>
        </w:rPr>
        <w:t>27.54</w:t>
      </w:r>
      <w:r>
        <w:rPr>
          <w:rFonts w:hint="eastAsia" w:ascii="仿宋_GB2312" w:eastAsia="仿宋_GB2312" w:cs="DengXian-Regular"/>
          <w:sz w:val="32"/>
          <w:szCs w:val="32"/>
        </w:rPr>
        <w:t>%，主要是人员增加公用经费增加。</w:t>
      </w:r>
    </w:p>
    <w:p>
      <w:pPr>
        <w:adjustRightInd w:val="0"/>
        <w:snapToGrid w:val="0"/>
        <w:spacing w:after="0" w:line="580" w:lineRule="exact"/>
        <w:rPr>
          <w:rFonts w:ascii="仿宋_GB2312" w:eastAsia="仿宋_GB2312" w:cs="DengXian-Regular"/>
          <w:sz w:val="32"/>
          <w:szCs w:val="32"/>
        </w:rPr>
      </w:pPr>
      <w:r>
        <w:rPr>
          <w:rFonts w:ascii="仿宋_GB2312" w:eastAsia="仿宋_GB2312" w:cs="DengXian-Regular"/>
          <w:sz w:val="32"/>
          <w:szCs w:val="32"/>
        </w:rPr>
        <w:drawing>
          <wp:anchor distT="0" distB="0" distL="114300" distR="114300" simplePos="0" relativeHeight="251664384" behindDoc="0" locked="0" layoutInCell="1" allowOverlap="1">
            <wp:simplePos x="0" y="0"/>
            <wp:positionH relativeFrom="column">
              <wp:posOffset>538480</wp:posOffset>
            </wp:positionH>
            <wp:positionV relativeFrom="paragraph">
              <wp:posOffset>190500</wp:posOffset>
            </wp:positionV>
            <wp:extent cx="3639185" cy="2181860"/>
            <wp:effectExtent l="0" t="0" r="18415" b="8890"/>
            <wp:wrapNone/>
            <wp:docPr id="6"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3639185" cy="2181860"/>
                    </a:xfrm>
                    <a:prstGeom prst="rect">
                      <a:avLst/>
                    </a:prstGeom>
                    <a:noFill/>
                    <a:ln>
                      <a:noFill/>
                    </a:ln>
                  </pic:spPr>
                </pic:pic>
              </a:graphicData>
            </a:graphic>
          </wp:anchor>
        </w:drawing>
      </w:r>
    </w:p>
    <w:p>
      <w:pPr>
        <w:adjustRightInd w:val="0"/>
        <w:snapToGrid w:val="0"/>
        <w:spacing w:after="0" w:line="580" w:lineRule="exact"/>
        <w:rPr>
          <w:rFonts w:ascii="仿宋_GB2312" w:eastAsia="仿宋_GB2312" w:cs="DengXian-Regular"/>
          <w:sz w:val="32"/>
          <w:szCs w:val="32"/>
        </w:rPr>
      </w:pPr>
    </w:p>
    <w:p>
      <w:pPr>
        <w:adjustRightInd w:val="0"/>
        <w:snapToGrid w:val="0"/>
        <w:spacing w:after="0" w:line="580" w:lineRule="exact"/>
        <w:rPr>
          <w:rFonts w:ascii="仿宋_GB2312" w:eastAsia="仿宋_GB2312" w:cs="DengXian-Regular"/>
          <w:sz w:val="32"/>
          <w:szCs w:val="32"/>
        </w:rPr>
      </w:pPr>
    </w:p>
    <w:p>
      <w:pPr>
        <w:adjustRightInd w:val="0"/>
        <w:snapToGrid w:val="0"/>
        <w:spacing w:after="0" w:line="580" w:lineRule="exact"/>
        <w:rPr>
          <w:rFonts w:ascii="仿宋_GB2312" w:eastAsia="仿宋_GB2312" w:cs="DengXian-Regular"/>
          <w:sz w:val="32"/>
          <w:szCs w:val="32"/>
        </w:rPr>
      </w:pPr>
    </w:p>
    <w:p>
      <w:pPr>
        <w:adjustRightInd w:val="0"/>
        <w:snapToGrid w:val="0"/>
        <w:spacing w:after="0" w:line="580" w:lineRule="exact"/>
        <w:rPr>
          <w:rFonts w:ascii="仿宋_GB2312" w:eastAsia="仿宋_GB2312" w:cs="DengXian-Regular"/>
          <w:sz w:val="32"/>
          <w:szCs w:val="32"/>
        </w:rPr>
      </w:pPr>
    </w:p>
    <w:p>
      <w:pPr>
        <w:adjustRightInd w:val="0"/>
        <w:snapToGrid w:val="0"/>
        <w:spacing w:after="0" w:line="580" w:lineRule="exact"/>
        <w:rPr>
          <w:rFonts w:ascii="仿宋_GB2312" w:eastAsia="仿宋_GB2312" w:cs="DengXian-Regular"/>
          <w:sz w:val="32"/>
          <w:szCs w:val="32"/>
        </w:rPr>
      </w:pPr>
    </w:p>
    <w:p>
      <w:pPr>
        <w:adjustRightInd w:val="0"/>
        <w:snapToGrid w:val="0"/>
        <w:spacing w:after="0" w:line="580" w:lineRule="exact"/>
        <w:rPr>
          <w:rFonts w:ascii="仿宋_GB2312" w:eastAsia="仿宋_GB2312" w:cs="DengXian-Regular"/>
          <w:sz w:val="32"/>
          <w:szCs w:val="32"/>
        </w:rPr>
      </w:pPr>
    </w:p>
    <w:p>
      <w:pPr>
        <w:adjustRightInd w:val="0"/>
        <w:snapToGrid w:val="0"/>
        <w:spacing w:after="0" w:line="580" w:lineRule="exact"/>
        <w:jc w:val="center"/>
        <w:rPr>
          <w:rFonts w:ascii="楷体_GB2312" w:eastAsia="楷体_GB2312" w:cs="DengXian-Bold"/>
          <w:b/>
          <w:bCs/>
          <w:sz w:val="32"/>
          <w:szCs w:val="32"/>
        </w:rPr>
      </w:pPr>
      <w:r>
        <w:rPr>
          <w:rFonts w:hint="eastAsia" w:ascii="仿宋_GB2312" w:eastAsia="仿宋_GB2312" w:cs="DengXian-Regular"/>
          <w:sz w:val="28"/>
          <w:szCs w:val="28"/>
        </w:rPr>
        <w:t>图3：2017-2018年财政拨款收支情况</w:t>
      </w:r>
    </w:p>
    <w:p>
      <w:pPr>
        <w:spacing w:after="0" w:line="58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（二）财政拨款收支与年初预算数对比情况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本部门2018年度一般公共预算财政拨款收入</w:t>
      </w:r>
      <w:r>
        <w:rPr>
          <w:rFonts w:ascii="仿宋_GB2312" w:eastAsia="仿宋_GB2312" w:cs="DengXian-Regular"/>
          <w:sz w:val="32"/>
          <w:szCs w:val="32"/>
        </w:rPr>
        <w:t>854.72</w:t>
      </w:r>
      <w:r>
        <w:rPr>
          <w:rFonts w:hint="eastAsia" w:ascii="仿宋_GB2312" w:eastAsia="仿宋_GB2312" w:cs="DengXian-Regular"/>
          <w:sz w:val="32"/>
          <w:szCs w:val="32"/>
        </w:rPr>
        <w:t>万元，完成年初预算的</w:t>
      </w:r>
      <w:r>
        <w:rPr>
          <w:rFonts w:ascii="仿宋_GB2312" w:eastAsia="仿宋_GB2312" w:cs="DengXian-Regular"/>
          <w:sz w:val="32"/>
          <w:szCs w:val="32"/>
        </w:rPr>
        <w:t>120.64</w:t>
      </w:r>
      <w:r>
        <w:rPr>
          <w:rFonts w:hint="eastAsia" w:ascii="仿宋_GB2312" w:eastAsia="仿宋_GB2312" w:cs="DengXian-Regular"/>
          <w:sz w:val="32"/>
          <w:szCs w:val="32"/>
        </w:rPr>
        <w:t>%,比年初预算增加</w:t>
      </w:r>
      <w:r>
        <w:rPr>
          <w:rFonts w:ascii="仿宋" w:hAnsi="仿宋" w:eastAsia="仿宋" w:cs="DengXian-Regular"/>
          <w:sz w:val="32"/>
          <w:szCs w:val="32"/>
        </w:rPr>
        <w:t>146.29</w:t>
      </w:r>
      <w:r>
        <w:rPr>
          <w:rFonts w:hint="eastAsia" w:ascii="仿宋_GB2312" w:eastAsia="仿宋_GB2312" w:cs="DengXian-Regular"/>
          <w:sz w:val="32"/>
          <w:szCs w:val="32"/>
        </w:rPr>
        <w:t>万元，决算数大于预算数主要原因是人员增加公用经费增加；本年支出</w:t>
      </w:r>
      <w:r>
        <w:rPr>
          <w:rFonts w:ascii="仿宋_GB2312" w:eastAsia="仿宋_GB2312" w:cs="DengXian-Regular"/>
          <w:sz w:val="32"/>
          <w:szCs w:val="32"/>
        </w:rPr>
        <w:t>812.84</w:t>
      </w:r>
      <w:r>
        <w:rPr>
          <w:rFonts w:hint="eastAsia" w:ascii="仿宋_GB2312" w:eastAsia="仿宋_GB2312" w:cs="DengXian-Regular"/>
          <w:sz w:val="32"/>
          <w:szCs w:val="32"/>
        </w:rPr>
        <w:t>万元，完成年初预算的</w:t>
      </w:r>
      <w:r>
        <w:rPr>
          <w:rFonts w:ascii="仿宋_GB2312" w:eastAsia="仿宋_GB2312" w:cs="DengXian-Regular"/>
          <w:sz w:val="32"/>
          <w:szCs w:val="32"/>
        </w:rPr>
        <w:t>114.73</w:t>
      </w:r>
      <w:r>
        <w:rPr>
          <w:rFonts w:hint="eastAsia" w:ascii="仿宋_GB2312" w:eastAsia="仿宋_GB2312" w:cs="DengXian-Regular"/>
          <w:sz w:val="32"/>
          <w:szCs w:val="32"/>
        </w:rPr>
        <w:t>%,比年初预算增加</w:t>
      </w:r>
      <w:r>
        <w:rPr>
          <w:rFonts w:ascii="仿宋_GB2312" w:eastAsia="仿宋_GB2312" w:cs="DengXian-Regular"/>
          <w:sz w:val="32"/>
          <w:szCs w:val="32"/>
        </w:rPr>
        <w:t>104.41</w:t>
      </w:r>
      <w:r>
        <w:rPr>
          <w:rFonts w:hint="eastAsia" w:ascii="仿宋_GB2312" w:eastAsia="仿宋_GB2312" w:cs="DengXian-Regular"/>
          <w:sz w:val="32"/>
          <w:szCs w:val="32"/>
        </w:rPr>
        <w:t>万元，决算数大于预算数主要原因是人员增加公用经费增加。</w:t>
      </w:r>
    </w:p>
    <w:p>
      <w:pPr>
        <w:adjustRightInd w:val="0"/>
        <w:snapToGrid w:val="0"/>
        <w:spacing w:after="0" w:line="580" w:lineRule="exact"/>
        <w:ind w:firstLine="640" w:firstLineChars="200"/>
        <w:rPr>
          <w:rFonts w:ascii="仿宋_GB2312" w:eastAsia="仿宋_GB2312" w:cs="DengXian-Regular"/>
          <w:sz w:val="32"/>
          <w:szCs w:val="32"/>
          <w:highlight w:val="yellow"/>
        </w:rPr>
      </w:pPr>
      <w:r>
        <w:rPr>
          <w:rFonts w:ascii="仿宋_GB2312" w:eastAsia="仿宋_GB2312" w:cs="DengXian-Regular"/>
          <w:sz w:val="32"/>
          <w:szCs w:val="32"/>
        </w:rPr>
        <w:drawing>
          <wp:anchor distT="0" distB="0" distL="114300" distR="114300" simplePos="0" relativeHeight="251665408" behindDoc="0" locked="0" layoutInCell="1" allowOverlap="1">
            <wp:simplePos x="0" y="0"/>
            <wp:positionH relativeFrom="column">
              <wp:posOffset>401320</wp:posOffset>
            </wp:positionH>
            <wp:positionV relativeFrom="paragraph">
              <wp:posOffset>204470</wp:posOffset>
            </wp:positionV>
            <wp:extent cx="4505325" cy="2638425"/>
            <wp:effectExtent l="0" t="0" r="0" b="0"/>
            <wp:wrapNone/>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a:xfrm>
                      <a:off x="0" y="0"/>
                      <a:ext cx="4505325" cy="2638425"/>
                    </a:xfrm>
                    <a:prstGeom prst="rect">
                      <a:avLst/>
                    </a:prstGeom>
                    <a:noFill/>
                    <a:ln>
                      <a:noFill/>
                    </a:ln>
                  </pic:spPr>
                </pic:pic>
              </a:graphicData>
            </a:graphic>
          </wp:anchor>
        </w:drawing>
      </w: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图4：财政拨款收支预决算对比情况</w:t>
      </w:r>
    </w:p>
    <w:p>
      <w:pPr>
        <w:numPr>
          <w:ilvl w:val="0"/>
          <w:numId w:val="1"/>
        </w:numPr>
        <w:adjustRightInd w:val="0"/>
        <w:snapToGrid w:val="0"/>
        <w:spacing w:after="0" w:line="580" w:lineRule="exact"/>
        <w:ind w:left="420" w:leftChars="200"/>
        <w:rPr>
          <w:rFonts w:ascii="楷体_GB2312" w:eastAsia="楷体_GB2312" w:cs="DengXian-Bold"/>
          <w:b/>
          <w:bCs/>
          <w:sz w:val="32"/>
          <w:szCs w:val="32"/>
        </w:rPr>
      </w:pPr>
      <w:r>
        <w:rPr>
          <w:rFonts w:hint="eastAsia" w:ascii="楷体_GB2312" w:eastAsia="楷体_GB2312" w:cs="DengXian-Bold"/>
          <w:b/>
          <w:bCs/>
          <w:sz w:val="32"/>
          <w:szCs w:val="32"/>
        </w:rPr>
        <w:t>财政拨款支出决算结构情况。</w:t>
      </w:r>
    </w:p>
    <w:p>
      <w:pPr>
        <w:adjustRightInd w:val="0"/>
        <w:snapToGrid w:val="0"/>
        <w:spacing w:after="0" w:line="580" w:lineRule="exact"/>
        <w:ind w:firstLine="640" w:firstLineChars="200"/>
        <w:rPr>
          <w:rFonts w:ascii="仿宋" w:hAnsi="仿宋" w:eastAsia="仿宋" w:cs="DengXian-Regular"/>
          <w:sz w:val="32"/>
          <w:szCs w:val="32"/>
        </w:rPr>
      </w:pPr>
      <w:r>
        <w:rPr>
          <w:rFonts w:hint="eastAsia" w:ascii="仿宋_GB2312" w:eastAsia="仿宋_GB2312" w:cs="DengXian-Regular"/>
          <w:sz w:val="32"/>
          <w:szCs w:val="32"/>
        </w:rPr>
        <w:t>2018 年度财政拨款支出</w:t>
      </w:r>
      <w:r>
        <w:rPr>
          <w:rFonts w:ascii="仿宋_GB2312" w:eastAsia="仿宋_GB2312" w:cs="DengXian-Regular"/>
          <w:sz w:val="32"/>
          <w:szCs w:val="32"/>
        </w:rPr>
        <w:t>812.84</w:t>
      </w:r>
      <w:r>
        <w:rPr>
          <w:rFonts w:hint="eastAsia" w:ascii="仿宋_GB2312" w:eastAsia="仿宋_GB2312" w:cs="DengXian-Regular"/>
          <w:sz w:val="32"/>
          <w:szCs w:val="32"/>
        </w:rPr>
        <w:t>万元，主要用于以下方面：</w:t>
      </w:r>
      <w:r>
        <w:rPr>
          <w:rFonts w:hint="eastAsia" w:ascii="仿宋" w:hAnsi="仿宋" w:eastAsia="仿宋" w:cs="微软雅黑"/>
          <w:sz w:val="32"/>
          <w:szCs w:val="32"/>
        </w:rPr>
        <w:t>文化体育与传媒</w:t>
      </w:r>
      <w:r>
        <w:rPr>
          <w:rFonts w:hint="eastAsia" w:ascii="仿宋" w:hAnsi="仿宋" w:eastAsia="仿宋" w:cs="DengXian-Regular"/>
          <w:sz w:val="32"/>
          <w:szCs w:val="32"/>
        </w:rPr>
        <w:t>支出</w:t>
      </w:r>
      <w:r>
        <w:rPr>
          <w:rFonts w:ascii="仿宋" w:hAnsi="仿宋" w:eastAsia="仿宋" w:cs="DengXian-Regular"/>
          <w:sz w:val="32"/>
          <w:szCs w:val="32"/>
        </w:rPr>
        <w:t>701.98</w:t>
      </w:r>
      <w:r>
        <w:rPr>
          <w:rFonts w:hint="eastAsia" w:ascii="仿宋" w:hAnsi="仿宋" w:eastAsia="仿宋" w:cs="DengXian-Regular"/>
          <w:sz w:val="32"/>
          <w:szCs w:val="32"/>
        </w:rPr>
        <w:t>万元，占</w:t>
      </w:r>
      <w:r>
        <w:rPr>
          <w:rFonts w:ascii="仿宋" w:hAnsi="仿宋" w:eastAsia="仿宋" w:cs="DengXian-Regular"/>
          <w:sz w:val="32"/>
          <w:szCs w:val="32"/>
        </w:rPr>
        <w:t>86.36</w:t>
      </w:r>
      <w:r>
        <w:rPr>
          <w:rFonts w:hint="eastAsia" w:ascii="仿宋" w:hAnsi="仿宋" w:eastAsia="仿宋" w:cs="DengXian-Regular"/>
          <w:sz w:val="32"/>
          <w:szCs w:val="32"/>
        </w:rPr>
        <w:t>%；社会保障和就业（类）支出</w:t>
      </w:r>
      <w:r>
        <w:rPr>
          <w:rFonts w:ascii="仿宋" w:hAnsi="仿宋" w:eastAsia="仿宋" w:cs="DengXian-Regular"/>
          <w:sz w:val="32"/>
          <w:szCs w:val="32"/>
        </w:rPr>
        <w:t>42.28</w:t>
      </w:r>
      <w:r>
        <w:rPr>
          <w:rFonts w:hint="eastAsia" w:ascii="仿宋" w:hAnsi="仿宋" w:eastAsia="仿宋" w:cs="DengXian-Regular"/>
          <w:sz w:val="32"/>
          <w:szCs w:val="32"/>
        </w:rPr>
        <w:t>万元，占</w:t>
      </w:r>
      <w:r>
        <w:rPr>
          <w:rFonts w:ascii="仿宋" w:hAnsi="仿宋" w:eastAsia="仿宋" w:cs="DengXian-Regular"/>
          <w:sz w:val="32"/>
          <w:szCs w:val="32"/>
        </w:rPr>
        <w:t>5.2</w:t>
      </w:r>
      <w:r>
        <w:rPr>
          <w:rFonts w:hint="eastAsia" w:ascii="仿宋" w:hAnsi="仿宋" w:eastAsia="仿宋" w:cs="DengXian-Regular"/>
          <w:sz w:val="32"/>
          <w:szCs w:val="32"/>
        </w:rPr>
        <w:t>%；医疗</w:t>
      </w:r>
      <w:r>
        <w:rPr>
          <w:rFonts w:hint="eastAsia" w:ascii="仿宋" w:hAnsi="仿宋" w:eastAsia="仿宋" w:cs="微软雅黑"/>
          <w:sz w:val="32"/>
          <w:szCs w:val="32"/>
        </w:rPr>
        <w:t>卫生与计划生育支出3</w:t>
      </w:r>
      <w:r>
        <w:rPr>
          <w:rFonts w:ascii="仿宋" w:hAnsi="仿宋" w:eastAsia="仿宋" w:cs="微软雅黑"/>
          <w:sz w:val="32"/>
          <w:szCs w:val="32"/>
        </w:rPr>
        <w:t>5.59</w:t>
      </w:r>
      <w:r>
        <w:rPr>
          <w:rFonts w:hint="eastAsia" w:ascii="仿宋" w:hAnsi="仿宋" w:eastAsia="仿宋" w:cs="微软雅黑"/>
          <w:sz w:val="32"/>
          <w:szCs w:val="32"/>
        </w:rPr>
        <w:t>万元，占4</w:t>
      </w:r>
      <w:r>
        <w:rPr>
          <w:rFonts w:ascii="仿宋" w:hAnsi="仿宋" w:eastAsia="仿宋" w:cs="微软雅黑"/>
          <w:sz w:val="32"/>
          <w:szCs w:val="32"/>
        </w:rPr>
        <w:t>.37</w:t>
      </w:r>
      <w:r>
        <w:rPr>
          <w:rFonts w:hint="eastAsia" w:ascii="仿宋" w:hAnsi="仿宋" w:eastAsia="仿宋" w:cs="DengXian-Regular"/>
          <w:sz w:val="32"/>
          <w:szCs w:val="32"/>
        </w:rPr>
        <w:t>%</w:t>
      </w:r>
      <w:r>
        <w:rPr>
          <w:rFonts w:hint="eastAsia" w:ascii="仿宋" w:hAnsi="仿宋" w:eastAsia="仿宋" w:cs="微软雅黑"/>
          <w:sz w:val="32"/>
          <w:szCs w:val="32"/>
        </w:rPr>
        <w:t>；</w:t>
      </w:r>
      <w:r>
        <w:rPr>
          <w:rFonts w:hint="eastAsia" w:ascii="仿宋" w:hAnsi="仿宋" w:eastAsia="仿宋" w:cs="DengXian-Regular"/>
          <w:sz w:val="32"/>
          <w:szCs w:val="32"/>
        </w:rPr>
        <w:t>住房保障（类）支出</w:t>
      </w:r>
      <w:r>
        <w:rPr>
          <w:rFonts w:ascii="仿宋" w:hAnsi="仿宋" w:eastAsia="仿宋" w:cs="DengXian-Regular"/>
          <w:sz w:val="32"/>
          <w:szCs w:val="32"/>
        </w:rPr>
        <w:t>32.99</w:t>
      </w:r>
      <w:r>
        <w:rPr>
          <w:rFonts w:hint="eastAsia" w:ascii="仿宋" w:hAnsi="仿宋" w:eastAsia="仿宋" w:cs="DengXian-Regular"/>
          <w:sz w:val="32"/>
          <w:szCs w:val="32"/>
        </w:rPr>
        <w:t>万元，占</w:t>
      </w:r>
      <w:r>
        <w:rPr>
          <w:rFonts w:ascii="仿宋" w:hAnsi="仿宋" w:eastAsia="仿宋" w:cs="DengXian-Regular"/>
          <w:sz w:val="32"/>
          <w:szCs w:val="32"/>
        </w:rPr>
        <w:t>4.05</w:t>
      </w:r>
      <w:r>
        <w:rPr>
          <w:rFonts w:hint="eastAsia" w:ascii="仿宋" w:hAnsi="仿宋" w:eastAsia="仿宋" w:cs="DengXian-Regular"/>
          <w:sz w:val="32"/>
          <w:szCs w:val="32"/>
        </w:rPr>
        <w:t>%。</w:t>
      </w:r>
    </w:p>
    <w:p>
      <w:pPr>
        <w:adjustRightInd w:val="0"/>
        <w:snapToGrid w:val="0"/>
        <w:spacing w:after="0" w:line="580" w:lineRule="exact"/>
        <w:ind w:firstLine="640" w:firstLineChars="200"/>
        <w:rPr>
          <w:rFonts w:ascii="仿宋" w:hAnsi="仿宋" w:eastAsia="仿宋" w:cs="DengXian-Regular"/>
          <w:sz w:val="32"/>
          <w:szCs w:val="32"/>
        </w:rPr>
      </w:pPr>
    </w:p>
    <w:p>
      <w:pPr>
        <w:jc w:val="center"/>
      </w:pPr>
      <w:r>
        <w:drawing>
          <wp:inline distT="0" distB="0" distL="0" distR="0">
            <wp:extent cx="4032885" cy="2712720"/>
            <wp:effectExtent l="0" t="0" r="0" b="0"/>
            <wp:docPr id="8"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图5：财政拨款支出决算结构（按功能分类）</w:t>
      </w:r>
    </w:p>
    <w:p>
      <w:pPr>
        <w:adjustRightInd w:val="0"/>
        <w:snapToGrid w:val="0"/>
        <w:spacing w:after="0" w:line="580" w:lineRule="exact"/>
        <w:ind w:left="420" w:leftChars="200"/>
        <w:rPr>
          <w:rFonts w:ascii="楷体_GB2312" w:eastAsia="楷体_GB2312" w:cs="DengXian-Bold"/>
          <w:b/>
          <w:bCs/>
          <w:sz w:val="32"/>
          <w:szCs w:val="32"/>
        </w:rPr>
      </w:pPr>
      <w:r>
        <w:rPr>
          <w:sz w:val="44"/>
        </w:rPr>
        <mc:AlternateContent>
          <mc:Choice Requires="wpg">
            <w:drawing>
              <wp:anchor distT="0" distB="0" distL="114300" distR="114300" simplePos="0" relativeHeight="251685888" behindDoc="0" locked="1" layoutInCell="1" allowOverlap="1">
                <wp:simplePos x="0" y="0"/>
                <wp:positionH relativeFrom="page">
                  <wp:posOffset>-6985</wp:posOffset>
                </wp:positionH>
                <wp:positionV relativeFrom="page">
                  <wp:posOffset>372110</wp:posOffset>
                </wp:positionV>
                <wp:extent cx="3833495" cy="558165"/>
                <wp:effectExtent l="1270" t="0" r="13335" b="13335"/>
                <wp:wrapNone/>
                <wp:docPr id="62" name="组合 79"/>
                <wp:cNvGraphicFramePr/>
                <a:graphic xmlns:a="http://schemas.openxmlformats.org/drawingml/2006/main">
                  <a:graphicData uri="http://schemas.microsoft.com/office/word/2010/wordprocessingGroup">
                    <wpg:wgp>
                      <wpg:cNvGrpSpPr/>
                      <wpg:grpSpPr>
                        <a:xfrm>
                          <a:off x="0" y="0"/>
                          <a:ext cx="3833495" cy="558165"/>
                          <a:chOff x="4551" y="52615"/>
                          <a:chExt cx="8546" cy="1398"/>
                        </a:xfrm>
                      </wpg:grpSpPr>
                      <wps:wsp>
                        <wps:cNvPr id="60" name="矩形 13"/>
                        <wps:cNvSpPr/>
                        <wps:spPr>
                          <a:xfrm>
                            <a:off x="4551" y="52615"/>
                            <a:ext cx="8546" cy="1175"/>
                          </a:xfrm>
                          <a:prstGeom prst="rect">
                            <a:avLst/>
                          </a:prstGeom>
                          <a:solidFill>
                            <a:srgbClr val="D8D8D8"/>
                          </a:solidFill>
                          <a:ln w="25400">
                            <a:noFill/>
                          </a:ln>
                        </wps:spPr>
                        <wps:bodyPr anchor="ctr" anchorCtr="0" upright="1"/>
                      </wps:wsp>
                      <wps:wsp>
                        <wps:cNvPr id="61" name="矩形 14"/>
                        <wps:cNvSpPr/>
                        <wps:spPr>
                          <a:xfrm>
                            <a:off x="4577" y="52890"/>
                            <a:ext cx="8324" cy="1123"/>
                          </a:xfrm>
                          <a:prstGeom prst="rect">
                            <a:avLst/>
                          </a:prstGeom>
                          <a:solidFill>
                            <a:srgbClr val="AD002D"/>
                          </a:solidFill>
                          <a:ln w="25400" cap="flat" cmpd="sng">
                            <a:solidFill>
                              <a:srgbClr val="845209"/>
                            </a:solidFill>
                            <a:prstDash val="solid"/>
                            <a:miter/>
                            <a:headEnd type="none" w="med" len="med"/>
                            <a:tailEnd type="none" w="med" len="med"/>
                          </a:ln>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wps:txbx>
                        <wps:bodyPr anchor="ctr" anchorCtr="0" upright="1"/>
                      </wps:wsp>
                    </wpg:wgp>
                  </a:graphicData>
                </a:graphic>
              </wp:anchor>
            </w:drawing>
          </mc:Choice>
          <mc:Fallback>
            <w:pict>
              <v:group id="组合 79" o:spid="_x0000_s1026" o:spt="203" style="position:absolute;left:0pt;margin-left:-0.55pt;margin-top:29.3pt;height:43.95pt;width:301.85pt;mso-position-horizontal-relative:page;mso-position-vertical-relative:page;z-index:251685888;mso-width-relative:page;mso-height-relative:page;" coordorigin="4551,52615" coordsize="8546,1398" o:gfxdata="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">
                <o:lock v:ext="edit" aspectratio="f"/>
                <v:rect id="矩形 13" o:spid="_x0000_s1026" o:spt="1" style="position:absolute;left:4551;top:52615;height:1175;width:8546;v-text-anchor:middle;" fillcolor="#D8D8D8" filled="t" stroked="f" coordsize="21600,21600" o:gfxdata="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5T+YhugAAANsA&#10;AAAPAAAAAAAAAAEAIAAAACIAAABkcnMvZG93bnJldi54bWxQSwECFAAUAAAACACHTuJAMy8FnjsA&#10;AAA5AAAAEAAAAAAAAAABACAAAAAJAQAAZHJzL3NoYXBleG1sLnhtbFBLBQYAAAAABgAGAFsBAACz&#10;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YKIZIL0AAADb&#10;AAAADwAAAGRycy9kb3ducmV2LnhtbEWPT4vCMBTE78J+h/AWvGlaD0WqUWRh2VWQRa0se3s0z6bY&#10;vJQm/ttPbwTB4zAzv2Gm86ttxJk6XztWkA4TEMSl0zVXCord52AMwgdkjY1jUnAjD/PZW2+KuXYX&#10;3tB5GyoRIexzVGBCaHMpfWnIoh+6ljh6B9dZDFF2ldQdXiLcNnKUJJm0WHNcMNjSh6HyuD1ZBT+F&#10;+fvCFf3a9eq4LxY1Zv/LTKn+e5pMQAS6hlf42f7WCrIUHl/iD5CzO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gohkgvQAA&#10;ANsAAAAPAAAAAAAAAAEAIAAAACIAAABkcnMvZG93bnJldi54bWxQSwECFAAUAAAACACHTuJAMy8F&#10;njsAAAA5AAAAEAAAAAAAAAABACAAAAAMAQAAZHJzL3NoYXBleG1sLnhtbFBLBQYAAAAABgAGAFsB&#10;AAC2AwAAAAA=&#10;">
                  <v:fill on="t" focussize="0,0"/>
                  <v:stroke weight="2pt" color="#845209" joinstyle="miter"/>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mc:Fallback>
        </mc:AlternateContent>
      </w:r>
      <w:r>
        <w:rPr>
          <w:rFonts w:hint="eastAsia" w:ascii="楷体_GB2312" w:eastAsia="楷体_GB2312" w:cs="DengXian-Bold"/>
          <w:b/>
          <w:bCs/>
          <w:sz w:val="32"/>
          <w:szCs w:val="32"/>
        </w:rPr>
        <w:t>（四）一般公共预算财政拨款基本支出决算情况说明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年度一般公共预算财政拨款基本支出</w:t>
      </w:r>
      <w:r>
        <w:rPr>
          <w:rFonts w:ascii="仿宋_GB2312" w:eastAsia="仿宋_GB2312" w:cs="DengXian-Regular"/>
          <w:sz w:val="32"/>
          <w:szCs w:val="32"/>
        </w:rPr>
        <w:t>812.84</w:t>
      </w:r>
      <w:r>
        <w:rPr>
          <w:rFonts w:hint="eastAsia" w:ascii="仿宋_GB2312" w:eastAsia="仿宋_GB2312" w:cs="DengXian-Regular"/>
          <w:sz w:val="32"/>
          <w:szCs w:val="32"/>
        </w:rPr>
        <w:t xml:space="preserve">万元，其中：人员经费 </w:t>
      </w:r>
      <w:r>
        <w:rPr>
          <w:rFonts w:ascii="仿宋" w:hAnsi="仿宋" w:eastAsia="仿宋" w:cs="DengXian-Regular"/>
          <w:sz w:val="32"/>
          <w:szCs w:val="32"/>
        </w:rPr>
        <w:t>561.94</w:t>
      </w:r>
      <w:r>
        <w:rPr>
          <w:rFonts w:hint="eastAsia" w:ascii="仿宋_GB2312" w:eastAsia="仿宋_GB2312" w:cs="DengXian-Regular"/>
          <w:sz w:val="32"/>
          <w:szCs w:val="32"/>
        </w:rPr>
        <w:t>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w:t>
      </w:r>
      <w:r>
        <w:rPr>
          <w:rFonts w:ascii="仿宋" w:hAnsi="仿宋" w:eastAsia="仿宋" w:cs="DengXian-Regular"/>
          <w:sz w:val="32"/>
          <w:szCs w:val="32"/>
        </w:rPr>
        <w:t>250.90</w:t>
      </w:r>
      <w:r>
        <w:rPr>
          <w:rFonts w:hint="eastAsia" w:ascii="仿宋_GB2312" w:eastAsia="仿宋_GB2312" w:cs="DengXian-Regular"/>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pStyle w:val="3"/>
        <w:spacing w:before="0" w:after="0" w:line="580" w:lineRule="exact"/>
        <w:ind w:firstLine="640" w:firstLineChars="200"/>
        <w:rPr>
          <w:rFonts w:ascii="黑体" w:eastAsia="黑体"/>
          <w:b w:val="0"/>
          <w:bCs w:val="0"/>
        </w:rPr>
      </w:pPr>
      <w:r>
        <w:rPr>
          <w:rFonts w:hint="eastAsia" w:ascii="黑体" w:eastAsia="黑体"/>
          <w:b w:val="0"/>
          <w:bCs w:val="0"/>
        </w:rPr>
        <w:t>五、一般公共预算财政拨款“三公” 经费支出决算情况说明</w:t>
      </w:r>
    </w:p>
    <w:p>
      <w:pPr>
        <w:adjustRightInd w:val="0"/>
        <w:snapToGrid w:val="0"/>
        <w:spacing w:after="0" w:line="580" w:lineRule="exact"/>
        <w:ind w:firstLine="640" w:firstLineChars="200"/>
        <w:rPr>
          <w:rFonts w:ascii="仿宋" w:hAnsi="仿宋" w:eastAsia="仿宋" w:cs="DengXian-Regular"/>
          <w:sz w:val="32"/>
          <w:szCs w:val="32"/>
        </w:rPr>
      </w:pPr>
      <w:r>
        <w:rPr>
          <w:rFonts w:hint="eastAsia" w:ascii="仿宋" w:hAnsi="仿宋" w:eastAsia="仿宋" w:cs="DengXian-Regular"/>
          <w:sz w:val="32"/>
          <w:szCs w:val="32"/>
        </w:rPr>
        <w:t>本部门2018年度 “三公”经费支出共计6</w:t>
      </w:r>
      <w:r>
        <w:rPr>
          <w:rFonts w:ascii="仿宋" w:hAnsi="仿宋" w:eastAsia="仿宋" w:cs="DengXian-Regular"/>
          <w:sz w:val="32"/>
          <w:szCs w:val="32"/>
        </w:rPr>
        <w:t>.39</w:t>
      </w:r>
      <w:r>
        <w:rPr>
          <w:rFonts w:hint="eastAsia" w:ascii="仿宋" w:hAnsi="仿宋" w:eastAsia="仿宋" w:cs="DengXian-Regular"/>
          <w:sz w:val="32"/>
          <w:szCs w:val="32"/>
        </w:rPr>
        <w:t>万元，较年初预算减少</w:t>
      </w:r>
      <w:r>
        <w:rPr>
          <w:rFonts w:ascii="仿宋" w:hAnsi="仿宋" w:eastAsia="仿宋" w:cs="DengXian-Regular"/>
          <w:sz w:val="32"/>
          <w:szCs w:val="32"/>
        </w:rPr>
        <w:t>3.01</w:t>
      </w:r>
      <w:r>
        <w:rPr>
          <w:rFonts w:hint="eastAsia" w:ascii="仿宋" w:hAnsi="仿宋" w:eastAsia="仿宋" w:cs="DengXian-Regular"/>
          <w:sz w:val="32"/>
          <w:szCs w:val="32"/>
        </w:rPr>
        <w:t>万元，降低</w:t>
      </w:r>
      <w:r>
        <w:rPr>
          <w:rFonts w:ascii="仿宋" w:hAnsi="仿宋" w:eastAsia="仿宋" w:cs="DengXian-Regular"/>
          <w:sz w:val="32"/>
          <w:szCs w:val="32"/>
        </w:rPr>
        <w:t>32.02</w:t>
      </w:r>
      <w:r>
        <w:rPr>
          <w:rFonts w:hint="eastAsia" w:ascii="仿宋" w:hAnsi="仿宋" w:eastAsia="仿宋" w:cs="DengXian-Regular"/>
          <w:sz w:val="32"/>
          <w:szCs w:val="32"/>
        </w:rPr>
        <w:t>%，主要是认真</w:t>
      </w:r>
      <w:r>
        <w:rPr>
          <w:rFonts w:hint="eastAsia" w:ascii="仿宋" w:hAnsi="仿宋" w:eastAsia="仿宋" w:cs="DengXian-Regular"/>
          <w:sz w:val="32"/>
          <w:szCs w:val="32"/>
          <w:lang w:eastAsia="zh-CN"/>
        </w:rPr>
        <w:t>贯彻落实中央八项规定</w:t>
      </w:r>
      <w:r>
        <w:rPr>
          <w:rFonts w:hint="eastAsia" w:ascii="仿宋" w:hAnsi="仿宋" w:eastAsia="仿宋" w:cs="DengXian-Regular"/>
          <w:sz w:val="32"/>
          <w:szCs w:val="32"/>
        </w:rPr>
        <w:t>精神和厉行节约要求，从严控制“三公”经费开支，全年实际支出比预算有所节约。具体情况如下：</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w:t>
      </w:r>
      <w:r>
        <w:rPr>
          <w:sz w:val="44"/>
        </w:rPr>
        <mc:AlternateContent>
          <mc:Choice Requires="wpg">
            <w:drawing>
              <wp:anchor distT="0" distB="0" distL="114300" distR="114300" simplePos="0" relativeHeight="251686912" behindDoc="0" locked="1" layoutInCell="1" allowOverlap="1">
                <wp:simplePos x="0" y="0"/>
                <wp:positionH relativeFrom="page">
                  <wp:posOffset>-6985</wp:posOffset>
                </wp:positionH>
                <wp:positionV relativeFrom="page">
                  <wp:posOffset>372110</wp:posOffset>
                </wp:positionV>
                <wp:extent cx="3833495" cy="558165"/>
                <wp:effectExtent l="1270" t="0" r="13335" b="13335"/>
                <wp:wrapNone/>
                <wp:docPr id="65" name="组合 82"/>
                <wp:cNvGraphicFramePr/>
                <a:graphic xmlns:a="http://schemas.openxmlformats.org/drawingml/2006/main">
                  <a:graphicData uri="http://schemas.microsoft.com/office/word/2010/wordprocessingGroup">
                    <wpg:wgp>
                      <wpg:cNvGrpSpPr/>
                      <wpg:grpSpPr>
                        <a:xfrm>
                          <a:off x="0" y="0"/>
                          <a:ext cx="3833495" cy="558165"/>
                          <a:chOff x="4551" y="52615"/>
                          <a:chExt cx="8546" cy="1398"/>
                        </a:xfrm>
                      </wpg:grpSpPr>
                      <wps:wsp>
                        <wps:cNvPr id="63" name="矩形 13"/>
                        <wps:cNvSpPr/>
                        <wps:spPr>
                          <a:xfrm>
                            <a:off x="4551" y="52615"/>
                            <a:ext cx="8546" cy="1175"/>
                          </a:xfrm>
                          <a:prstGeom prst="rect">
                            <a:avLst/>
                          </a:prstGeom>
                          <a:solidFill>
                            <a:srgbClr val="D8D8D8"/>
                          </a:solidFill>
                          <a:ln w="25400">
                            <a:noFill/>
                          </a:ln>
                        </wps:spPr>
                        <wps:bodyPr anchor="ctr" anchorCtr="0" upright="1"/>
                      </wps:wsp>
                      <wps:wsp>
                        <wps:cNvPr id="64" name="矩形 14"/>
                        <wps:cNvSpPr/>
                        <wps:spPr>
                          <a:xfrm>
                            <a:off x="4577" y="52890"/>
                            <a:ext cx="8324" cy="1123"/>
                          </a:xfrm>
                          <a:prstGeom prst="rect">
                            <a:avLst/>
                          </a:prstGeom>
                          <a:solidFill>
                            <a:srgbClr val="AD002D"/>
                          </a:solidFill>
                          <a:ln w="25400" cap="flat" cmpd="sng">
                            <a:solidFill>
                              <a:srgbClr val="845209"/>
                            </a:solidFill>
                            <a:prstDash val="solid"/>
                            <a:miter/>
                            <a:headEnd type="none" w="med" len="med"/>
                            <a:tailEnd type="none" w="med" len="med"/>
                          </a:ln>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wps:txbx>
                        <wps:bodyPr anchor="ctr" anchorCtr="0" upright="1"/>
                      </wps:wsp>
                    </wpg:wgp>
                  </a:graphicData>
                </a:graphic>
              </wp:anchor>
            </w:drawing>
          </mc:Choice>
          <mc:Fallback>
            <w:pict>
              <v:group id="组合 82" o:spid="_x0000_s1026" o:spt="203" style="position:absolute;left:0pt;margin-left:-0.55pt;margin-top:29.3pt;height:43.95pt;width:301.85pt;mso-position-horizontal-relative:page;mso-position-vertical-relative:page;z-index:251686912;mso-width-relative:page;mso-height-relative:page;" coordorigin="4551,52615" coordsize="8546,1398" o:gfxdata="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">
                <o:lock v:ext="edit" aspectratio="f"/>
                <v:rect id="矩形 13" o:spid="_x0000_s1026" o:spt="1" style="position:absolute;left:4551;top:52615;height:1175;width:8546;v-text-anchor:middle;" fillcolor="#D8D8D8" filled="t" stroked="f" coordsize="21600,21600" o:gfxdata="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JnXhWvQAA&#10;ANsAAAAPAAAAAAAAAAEAIAAAACIAAABkcnMvZG93bnJldi54bWxQSwECFAAUAAAACACHTuJAMy8F&#10;njsAAAA5AAAAEAAAAAAAAAABACAAAAAMAQAAZHJzL3NoYXBleG1sLnhtbFBLBQYAAAAABgAGAFsB&#10;AAC2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cNW6uL4AAADb&#10;AAAADwAAAGRycy9kb3ducmV2LnhtbEWPzWrDMBCE74G8g9hAbrGcUkxxo5gSCG0DISR1Kb0t1tYy&#10;tlbGUvP39FGg0OMwM98wi+JsO3GkwTeOFcyTFARx5XTDtYLyYz17AuEDssbOMSm4kIdiOR4tMNfu&#10;xHs6HkItIoR9jgpMCH0upa8MWfSJ64mj9+MGiyHKoZZ6wFOE204+pGkmLTYcFwz2tDJUtYdfq2BX&#10;mu9X3NCX3W7az/Klwez6nik1nczTZxCBzuE//Nd+0wqyR7h/iT9ALm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cNW6uL4A&#10;AADbAAAADwAAAAAAAAABACAAAAAiAAAAZHJzL2Rvd25yZXYueG1sUEsBAhQAFAAAAAgAh07iQDMv&#10;BZ47AAAAOQAAABAAAAAAAAAAAQAgAAAADQEAAGRycy9zaGFwZXhtbC54bWxQSwUGAAAAAAYABgBb&#10;AQAAtwMAAAAA&#10;">
                  <v:fill on="t" focussize="0,0"/>
                  <v:stroke weight="2pt" color="#845209" joinstyle="miter"/>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mc:Fallback>
        </mc:AlternateContent>
      </w:r>
      <w:r>
        <w:rPr>
          <w:rFonts w:hint="eastAsia" w:ascii="楷体_GB2312" w:eastAsia="楷体_GB2312" w:cs="DengXian-Bold"/>
          <w:b/>
          <w:bCs/>
          <w:sz w:val="32"/>
          <w:szCs w:val="32"/>
        </w:rPr>
        <w:t>一）因公出国（境）费支出</w:t>
      </w:r>
      <w:r>
        <w:rPr>
          <w:rFonts w:ascii="楷体_GB2312" w:eastAsia="楷体_GB2312" w:cs="DengXian-Bold"/>
          <w:b/>
          <w:bCs/>
          <w:sz w:val="32"/>
          <w:szCs w:val="32"/>
        </w:rPr>
        <w:t>0</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本部门2018年度因公出国（境）团组</w:t>
      </w:r>
      <w:r>
        <w:rPr>
          <w:rFonts w:ascii="仿宋_GB2312" w:eastAsia="仿宋_GB2312" w:cs="DengXian-Regular"/>
          <w:sz w:val="32"/>
          <w:szCs w:val="32"/>
        </w:rPr>
        <w:t>0</w:t>
      </w:r>
      <w:r>
        <w:rPr>
          <w:rFonts w:hint="eastAsia" w:ascii="仿宋_GB2312" w:eastAsia="仿宋_GB2312" w:cs="DengXian-Regular"/>
          <w:sz w:val="32"/>
          <w:szCs w:val="32"/>
        </w:rPr>
        <w:t>个、共</w:t>
      </w:r>
      <w:r>
        <w:rPr>
          <w:rFonts w:ascii="仿宋_GB2312" w:eastAsia="仿宋_GB2312" w:cs="DengXian-Regular"/>
          <w:sz w:val="32"/>
          <w:szCs w:val="32"/>
        </w:rPr>
        <w:t>0</w:t>
      </w:r>
      <w:r>
        <w:rPr>
          <w:rFonts w:hint="eastAsia" w:ascii="仿宋_GB2312" w:eastAsia="仿宋_GB2312" w:cs="DengXian-Regular"/>
          <w:sz w:val="32"/>
          <w:szCs w:val="32"/>
        </w:rPr>
        <w:t>人/参加其他单位组织的因公出国（境）团组</w:t>
      </w:r>
      <w:r>
        <w:rPr>
          <w:rFonts w:ascii="仿宋_GB2312" w:eastAsia="仿宋_GB2312" w:cs="DengXian-Regular"/>
          <w:sz w:val="32"/>
          <w:szCs w:val="32"/>
        </w:rPr>
        <w:t>0</w:t>
      </w:r>
      <w:r>
        <w:rPr>
          <w:rFonts w:hint="eastAsia" w:ascii="仿宋_GB2312" w:eastAsia="仿宋_GB2312" w:cs="DengXian-Regular"/>
          <w:sz w:val="32"/>
          <w:szCs w:val="32"/>
        </w:rPr>
        <w:t>个、共</w:t>
      </w:r>
      <w:r>
        <w:rPr>
          <w:rFonts w:ascii="仿宋_GB2312" w:eastAsia="仿宋_GB2312" w:cs="DengXian-Regular"/>
          <w:sz w:val="32"/>
          <w:szCs w:val="32"/>
        </w:rPr>
        <w:t>0</w:t>
      </w:r>
      <w:r>
        <w:rPr>
          <w:rFonts w:hint="eastAsia" w:ascii="仿宋_GB2312" w:eastAsia="仿宋_GB2312" w:cs="DengXian-Regular"/>
          <w:sz w:val="32"/>
          <w:szCs w:val="32"/>
        </w:rPr>
        <w:t>人/无本单位组织的出国（境）团组。因公出国（境）费支出较年初预算增加（减少）</w:t>
      </w:r>
      <w:r>
        <w:rPr>
          <w:rFonts w:ascii="仿宋_GB2312" w:eastAsia="仿宋_GB2312" w:cs="DengXian-Regular"/>
          <w:sz w:val="32"/>
          <w:szCs w:val="32"/>
        </w:rPr>
        <w:t>0</w:t>
      </w:r>
      <w:r>
        <w:rPr>
          <w:rFonts w:hint="eastAsia" w:ascii="仿宋_GB2312" w:eastAsia="仿宋_GB2312" w:cs="DengXian-Regular"/>
          <w:sz w:val="32"/>
          <w:szCs w:val="32"/>
        </w:rPr>
        <w:t>万元，增长（降低）</w:t>
      </w:r>
      <w:r>
        <w:rPr>
          <w:rFonts w:ascii="仿宋_GB2312" w:eastAsia="仿宋_GB2312" w:cs="DengXian-Regular"/>
          <w:sz w:val="32"/>
          <w:szCs w:val="32"/>
        </w:rPr>
        <w:t>0</w:t>
      </w:r>
      <w:r>
        <w:rPr>
          <w:rFonts w:hint="eastAsia" w:ascii="仿宋_GB2312" w:eastAsia="仿宋_GB2312" w:cs="DengXian-Regular"/>
          <w:sz w:val="32"/>
          <w:szCs w:val="32"/>
        </w:rPr>
        <w:t>%,主要是未有因公出国支出。</w:t>
      </w:r>
    </w:p>
    <w:p>
      <w:pPr>
        <w:adjustRightInd w:val="0"/>
        <w:snapToGrid w:val="0"/>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w:t>
      </w:r>
      <w:r>
        <w:rPr>
          <w:rFonts w:ascii="楷体" w:hAnsi="楷体" w:eastAsia="楷体" w:cs="DengXian-Bold"/>
          <w:b/>
          <w:bCs/>
          <w:sz w:val="32"/>
          <w:szCs w:val="32"/>
        </w:rPr>
        <w:t>4.58</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本部门2018年度公务用车购置及运行维护费较年初预算减少</w:t>
      </w:r>
      <w:r>
        <w:rPr>
          <w:rFonts w:ascii="仿宋_GB2312" w:eastAsia="仿宋_GB2312" w:cs="DengXian-Regular"/>
          <w:sz w:val="32"/>
          <w:szCs w:val="32"/>
        </w:rPr>
        <w:t>0.82</w:t>
      </w:r>
      <w:r>
        <w:rPr>
          <w:rFonts w:hint="eastAsia" w:ascii="仿宋_GB2312" w:eastAsia="仿宋_GB2312" w:cs="DengXian-Regular"/>
          <w:sz w:val="32"/>
          <w:szCs w:val="32"/>
        </w:rPr>
        <w:t>万元，降低</w:t>
      </w:r>
      <w:r>
        <w:rPr>
          <w:rFonts w:ascii="仿宋_GB2312" w:eastAsia="仿宋_GB2312" w:cs="DengXian-Regular"/>
          <w:sz w:val="32"/>
          <w:szCs w:val="32"/>
        </w:rPr>
        <w:t>15.18</w:t>
      </w:r>
      <w:r>
        <w:rPr>
          <w:rFonts w:hint="eastAsia" w:ascii="仿宋_GB2312" w:eastAsia="仿宋_GB2312" w:cs="DengXian-Regular"/>
          <w:sz w:val="32"/>
          <w:szCs w:val="32"/>
        </w:rPr>
        <w:t>%,主要是</w:t>
      </w:r>
      <w:r>
        <w:rPr>
          <w:rFonts w:hint="eastAsia" w:ascii="仿宋" w:hAnsi="仿宋" w:eastAsia="仿宋" w:cs="DengXian-Regular"/>
          <w:sz w:val="32"/>
          <w:szCs w:val="32"/>
        </w:rPr>
        <w:t>认真</w:t>
      </w:r>
      <w:r>
        <w:rPr>
          <w:rFonts w:hint="eastAsia" w:ascii="仿宋" w:hAnsi="仿宋" w:eastAsia="仿宋" w:cs="DengXian-Regular"/>
          <w:sz w:val="32"/>
          <w:szCs w:val="32"/>
          <w:lang w:eastAsia="zh-CN"/>
        </w:rPr>
        <w:t>贯彻落实中央八项规定</w:t>
      </w:r>
      <w:r>
        <w:rPr>
          <w:rFonts w:hint="eastAsia" w:ascii="仿宋" w:hAnsi="仿宋" w:eastAsia="仿宋" w:cs="DengXian-Regular"/>
          <w:sz w:val="32"/>
          <w:szCs w:val="32"/>
        </w:rPr>
        <w:t>精神和厉行节约要求，从严控制“三公”经费开支，全年实际支出比预算有所节约</w:t>
      </w:r>
      <w:r>
        <w:rPr>
          <w:rFonts w:hint="eastAsia" w:ascii="仿宋_GB2312" w:eastAsia="仿宋_GB2312" w:cs="DengXian-Regular"/>
          <w:sz w:val="32"/>
          <w:szCs w:val="32"/>
        </w:rPr>
        <w:t>。</w:t>
      </w:r>
      <w:r>
        <w:rPr>
          <w:rFonts w:hint="eastAsia" w:ascii="仿宋_GB2312" w:eastAsia="仿宋_GB2312" w:cs="DengXian-Bold"/>
          <w:b/>
          <w:bCs/>
          <w:sz w:val="32"/>
          <w:szCs w:val="32"/>
        </w:rPr>
        <w:t>其中：</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本部门2018年度公务用车购置量</w:t>
      </w:r>
      <w:r>
        <w:rPr>
          <w:rFonts w:ascii="仿宋_GB2312" w:eastAsia="仿宋_GB2312" w:cs="DengXian-Regular"/>
          <w:sz w:val="32"/>
          <w:szCs w:val="32"/>
        </w:rPr>
        <w:t>0</w:t>
      </w:r>
      <w:r>
        <w:rPr>
          <w:rFonts w:hint="eastAsia" w:ascii="仿宋_GB2312" w:eastAsia="仿宋_GB2312" w:cs="DengXian-Regular"/>
          <w:sz w:val="32"/>
          <w:szCs w:val="32"/>
        </w:rPr>
        <w:t>辆，发生“公务用车购置”经费支出</w:t>
      </w:r>
      <w:r>
        <w:rPr>
          <w:rFonts w:ascii="仿宋_GB2312" w:eastAsia="仿宋_GB2312" w:cs="DengXian-Regular"/>
          <w:sz w:val="32"/>
          <w:szCs w:val="32"/>
        </w:rPr>
        <w:t>0</w:t>
      </w:r>
      <w:r>
        <w:rPr>
          <w:rFonts w:hint="eastAsia" w:ascii="仿宋_GB2312" w:eastAsia="仿宋_GB2312" w:cs="DengXian-Regular"/>
          <w:sz w:val="32"/>
          <w:szCs w:val="32"/>
        </w:rPr>
        <w:t>万元。公务用车购置费支出较年初预算增加</w:t>
      </w:r>
      <w:r>
        <w:rPr>
          <w:rFonts w:ascii="仿宋_GB2312" w:eastAsia="仿宋_GB2312" w:cs="DengXian-Regular"/>
          <w:sz w:val="32"/>
          <w:szCs w:val="32"/>
        </w:rPr>
        <w:t>0</w:t>
      </w:r>
      <w:r>
        <w:rPr>
          <w:rFonts w:hint="eastAsia" w:ascii="仿宋_GB2312" w:eastAsia="仿宋_GB2312" w:cs="DengXian-Regular"/>
          <w:sz w:val="32"/>
          <w:szCs w:val="32"/>
        </w:rPr>
        <w:t>万元，增长</w:t>
      </w:r>
      <w:r>
        <w:rPr>
          <w:rFonts w:ascii="仿宋_GB2312" w:eastAsia="仿宋_GB2312" w:cs="DengXian-Regular"/>
          <w:sz w:val="32"/>
          <w:szCs w:val="32"/>
        </w:rPr>
        <w:t>0</w:t>
      </w:r>
      <w:r>
        <w:rPr>
          <w:rFonts w:hint="eastAsia" w:ascii="仿宋_GB2312" w:eastAsia="仿宋_GB2312" w:cs="DengXian-Regular"/>
          <w:sz w:val="32"/>
          <w:szCs w:val="32"/>
        </w:rPr>
        <w:t>%,主要是未购置公务用车。</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本部门2018年度单位公务用车保有量</w:t>
      </w:r>
      <w:r>
        <w:rPr>
          <w:rFonts w:ascii="仿宋_GB2312" w:eastAsia="仿宋_GB2312" w:cs="DengXian-Regular"/>
          <w:sz w:val="32"/>
          <w:szCs w:val="32"/>
        </w:rPr>
        <w:t>2</w:t>
      </w:r>
      <w:r>
        <w:rPr>
          <w:rFonts w:hint="eastAsia" w:ascii="仿宋_GB2312" w:eastAsia="仿宋_GB2312" w:cs="DengXian-Regular"/>
          <w:sz w:val="32"/>
          <w:szCs w:val="32"/>
        </w:rPr>
        <w:t>辆。公车运行维护费支出较年初预算减少</w:t>
      </w:r>
      <w:r>
        <w:rPr>
          <w:rFonts w:ascii="仿宋_GB2312" w:eastAsia="仿宋_GB2312" w:cs="DengXian-Regular"/>
          <w:sz w:val="32"/>
          <w:szCs w:val="32"/>
        </w:rPr>
        <w:t>0.82</w:t>
      </w:r>
      <w:r>
        <w:rPr>
          <w:rFonts w:hint="eastAsia" w:ascii="仿宋_GB2312" w:eastAsia="仿宋_GB2312" w:cs="DengXian-Regular"/>
          <w:sz w:val="32"/>
          <w:szCs w:val="32"/>
        </w:rPr>
        <w:t>万元，降低1</w:t>
      </w:r>
      <w:r>
        <w:rPr>
          <w:rFonts w:ascii="仿宋_GB2312" w:eastAsia="仿宋_GB2312" w:cs="DengXian-Regular"/>
          <w:sz w:val="32"/>
          <w:szCs w:val="32"/>
        </w:rPr>
        <w:t>5.48</w:t>
      </w:r>
      <w:r>
        <w:rPr>
          <w:rFonts w:hint="eastAsia" w:ascii="仿宋_GB2312" w:eastAsia="仿宋_GB2312" w:cs="DengXian-Regular"/>
          <w:sz w:val="32"/>
          <w:szCs w:val="32"/>
        </w:rPr>
        <w:t>%,主要是</w:t>
      </w:r>
      <w:r>
        <w:rPr>
          <w:rFonts w:hint="eastAsia" w:ascii="仿宋" w:hAnsi="仿宋" w:eastAsia="仿宋" w:cs="DengXian-Regular"/>
          <w:sz w:val="32"/>
          <w:szCs w:val="32"/>
        </w:rPr>
        <w:t>认真</w:t>
      </w:r>
      <w:r>
        <w:rPr>
          <w:rFonts w:hint="eastAsia" w:ascii="仿宋" w:hAnsi="仿宋" w:eastAsia="仿宋" w:cs="DengXian-Regular"/>
          <w:sz w:val="32"/>
          <w:szCs w:val="32"/>
          <w:lang w:eastAsia="zh-CN"/>
        </w:rPr>
        <w:t>贯彻落实中央八项规定</w:t>
      </w:r>
      <w:r>
        <w:rPr>
          <w:rFonts w:hint="eastAsia" w:ascii="仿宋" w:hAnsi="仿宋" w:eastAsia="仿宋" w:cs="DengXian-Regular"/>
          <w:sz w:val="32"/>
          <w:szCs w:val="32"/>
        </w:rPr>
        <w:t>精神和厉行节约要求，从严控制“三公”经费开支，全年实际支出比预算有所节约</w:t>
      </w:r>
      <w:r>
        <w:rPr>
          <w:rFonts w:hint="eastAsia" w:ascii="仿宋_GB2312" w:eastAsia="仿宋_GB2312" w:cs="DengXian-Regular"/>
          <w:sz w:val="32"/>
          <w:szCs w:val="32"/>
        </w:rPr>
        <w:t>。</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（三）公务接待费支出</w:t>
      </w:r>
      <w:r>
        <w:rPr>
          <w:rFonts w:ascii="楷体" w:hAnsi="楷体" w:eastAsia="楷体" w:cs="DengXian-Bold"/>
          <w:b/>
          <w:bCs/>
          <w:sz w:val="32"/>
          <w:szCs w:val="32"/>
        </w:rPr>
        <w:t>1.8</w:t>
      </w:r>
      <w:r>
        <w:rPr>
          <w:rFonts w:hint="eastAsia" w:ascii="楷体" w:hAnsi="楷体" w:eastAsia="楷体" w:cs="DengXian-Bold"/>
          <w:b/>
          <w:bCs/>
          <w:sz w:val="32"/>
          <w:szCs w:val="32"/>
        </w:rPr>
        <w:t>万元</w:t>
      </w:r>
      <w:r>
        <w:rPr>
          <w:rFonts w:hint="eastAsia" w:ascii="楷体_GB2312" w:eastAsia="楷体_GB2312" w:cs="DengXian-Bold"/>
          <w:b/>
          <w:bCs/>
          <w:sz w:val="32"/>
          <w:szCs w:val="32"/>
        </w:rPr>
        <w:t>。</w:t>
      </w:r>
      <w:r>
        <w:rPr>
          <w:sz w:val="44"/>
        </w:rPr>
        <mc:AlternateContent>
          <mc:Choice Requires="wpg">
            <w:drawing>
              <wp:anchor distT="0" distB="0" distL="114300" distR="114300" simplePos="0" relativeHeight="251687936" behindDoc="0" locked="1" layoutInCell="1" allowOverlap="1">
                <wp:simplePos x="0" y="0"/>
                <wp:positionH relativeFrom="page">
                  <wp:posOffset>-6985</wp:posOffset>
                </wp:positionH>
                <wp:positionV relativeFrom="page">
                  <wp:posOffset>372110</wp:posOffset>
                </wp:positionV>
                <wp:extent cx="3833495" cy="558165"/>
                <wp:effectExtent l="1270" t="0" r="13335" b="13335"/>
                <wp:wrapNone/>
                <wp:docPr id="68" name="组合 85"/>
                <wp:cNvGraphicFramePr/>
                <a:graphic xmlns:a="http://schemas.openxmlformats.org/drawingml/2006/main">
                  <a:graphicData uri="http://schemas.microsoft.com/office/word/2010/wordprocessingGroup">
                    <wpg:wgp>
                      <wpg:cNvGrpSpPr/>
                      <wpg:grpSpPr>
                        <a:xfrm>
                          <a:off x="0" y="0"/>
                          <a:ext cx="3833495" cy="558165"/>
                          <a:chOff x="4551" y="52615"/>
                          <a:chExt cx="8546" cy="1398"/>
                        </a:xfrm>
                      </wpg:grpSpPr>
                      <wps:wsp>
                        <wps:cNvPr id="66" name="矩形 13"/>
                        <wps:cNvSpPr/>
                        <wps:spPr>
                          <a:xfrm>
                            <a:off x="4551" y="52615"/>
                            <a:ext cx="8546" cy="1175"/>
                          </a:xfrm>
                          <a:prstGeom prst="rect">
                            <a:avLst/>
                          </a:prstGeom>
                          <a:solidFill>
                            <a:srgbClr val="D8D8D8"/>
                          </a:solidFill>
                          <a:ln w="25400">
                            <a:noFill/>
                          </a:ln>
                        </wps:spPr>
                        <wps:bodyPr anchor="ctr" anchorCtr="0" upright="1"/>
                      </wps:wsp>
                      <wps:wsp>
                        <wps:cNvPr id="67" name="矩形 14"/>
                        <wps:cNvSpPr/>
                        <wps:spPr>
                          <a:xfrm>
                            <a:off x="4577" y="52890"/>
                            <a:ext cx="8324" cy="1123"/>
                          </a:xfrm>
                          <a:prstGeom prst="rect">
                            <a:avLst/>
                          </a:prstGeom>
                          <a:solidFill>
                            <a:srgbClr val="AD002D"/>
                          </a:solidFill>
                          <a:ln w="25400" cap="flat" cmpd="sng">
                            <a:solidFill>
                              <a:srgbClr val="845209"/>
                            </a:solidFill>
                            <a:prstDash val="solid"/>
                            <a:miter/>
                            <a:headEnd type="none" w="med" len="med"/>
                            <a:tailEnd type="none" w="med" len="med"/>
                          </a:ln>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wps:txbx>
                        <wps:bodyPr anchor="ctr" anchorCtr="0" upright="1"/>
                      </wps:wsp>
                    </wpg:wgp>
                  </a:graphicData>
                </a:graphic>
              </wp:anchor>
            </w:drawing>
          </mc:Choice>
          <mc:Fallback>
            <w:pict>
              <v:group id="组合 85" o:spid="_x0000_s1026" o:spt="203" style="position:absolute;left:0pt;margin-left:-0.55pt;margin-top:29.3pt;height:43.95pt;width:301.85pt;mso-position-horizontal-relative:page;mso-position-vertical-relative:page;z-index:251687936;mso-width-relative:page;mso-height-relative:page;" coordorigin="4551,52615" coordsize="8546,1398" o:gfxdata="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">
                <o:lock v:ext="edit" aspectratio="f"/>
                <v:rect id="矩形 13" o:spid="_x0000_s1026" o:spt="1" style="position:absolute;left:4551;top:52615;height:1175;width:8546;v-text-anchor:middle;" fillcolor="#D8D8D8" filled="t" stroked="f" coordsize="21600,21600" o:gfxdata="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Z6tvOvQAA&#10;ANsAAAAPAAAAAAAAAAEAIAAAACIAAABkcnMvZG93bnJldi54bWxQSwECFAAUAAAACACHTuJAMy8F&#10;njsAAAA5AAAAEAAAAAAAAAABACAAAAAMAQAAZHJzL3NoYXBleG1sLnhtbFBLBQYAAAAABgAGAFsB&#10;AAC2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gAckz74AAADb&#10;AAAADwAAAGRycy9kb3ducmV2LnhtbEWPW4vCMBSE3xf8D+EIvq2pPnSXahQRxAsssloR3w7NsSk2&#10;J6WJl91fbxYWfBxm5htmPH3YWtyo9ZVjBYN+AoK4cLriUkG+X7x/gvABWWPtmBT8kIfppPM2xky7&#10;O3/TbRdKESHsM1RgQmgyKX1hyKLvu4Y4emfXWgxRtqXULd4j3NZymCSptFhxXDDY0NxQcdldrYJt&#10;bk5L3NDRfm0uh3xWYfq7TpXqdQfJCESgR3iF/9srrSD9gL8v8QfIyR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Ackz74A&#10;AADbAAAADwAAAAAAAAABACAAAAAiAAAAZHJzL2Rvd25yZXYueG1sUEsBAhQAFAAAAAgAh07iQDMv&#10;BZ47AAAAOQAAABAAAAAAAAAAAQAgAAAADQEAAGRycy9zaGFwZXhtbC54bWxQSwUGAAAAAAYABgBb&#10;AQAAtwMAAAAA&#10;">
                  <v:fill on="t" focussize="0,0"/>
                  <v:stroke weight="2pt" color="#845209" joinstyle="miter"/>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mc:Fallback>
        </mc:AlternateContent>
      </w:r>
      <w:r>
        <w:rPr>
          <w:rFonts w:hint="eastAsia" w:ascii="仿宋_GB2312" w:eastAsia="仿宋_GB2312" w:cs="DengXian-Regular"/>
          <w:sz w:val="32"/>
          <w:szCs w:val="32"/>
        </w:rPr>
        <w:t>本部门2018年度公务接待共</w:t>
      </w:r>
      <w:r>
        <w:rPr>
          <w:rFonts w:ascii="仿宋_GB2312" w:eastAsia="仿宋_GB2312" w:cs="DengXian-Regular"/>
          <w:sz w:val="32"/>
          <w:szCs w:val="32"/>
        </w:rPr>
        <w:t>2</w:t>
      </w:r>
      <w:r>
        <w:rPr>
          <w:rFonts w:hint="eastAsia" w:ascii="仿宋_GB2312" w:eastAsia="仿宋_GB2312" w:cs="DengXian-Regular"/>
          <w:sz w:val="32"/>
          <w:szCs w:val="32"/>
        </w:rPr>
        <w:t>批次、</w:t>
      </w:r>
      <w:r>
        <w:rPr>
          <w:rFonts w:ascii="仿宋_GB2312" w:eastAsia="仿宋_GB2312" w:cs="DengXian-Regular"/>
          <w:sz w:val="32"/>
          <w:szCs w:val="32"/>
        </w:rPr>
        <w:t>436</w:t>
      </w:r>
      <w:r>
        <w:rPr>
          <w:rFonts w:hint="eastAsia" w:ascii="仿宋_GB2312" w:eastAsia="仿宋_GB2312" w:cs="DengXian-Regular"/>
          <w:sz w:val="32"/>
          <w:szCs w:val="32"/>
        </w:rPr>
        <w:t>人次。公务接待费支出较年初预算减少</w:t>
      </w:r>
      <w:r>
        <w:rPr>
          <w:rFonts w:ascii="仿宋_GB2312" w:eastAsia="仿宋_GB2312" w:cs="DengXian-Regular"/>
          <w:sz w:val="32"/>
          <w:szCs w:val="32"/>
        </w:rPr>
        <w:t>2.2</w:t>
      </w:r>
      <w:r>
        <w:rPr>
          <w:rFonts w:hint="eastAsia" w:ascii="仿宋_GB2312" w:eastAsia="仿宋_GB2312" w:cs="DengXian-Regular"/>
          <w:sz w:val="32"/>
          <w:szCs w:val="32"/>
        </w:rPr>
        <w:t>万元，降低</w:t>
      </w:r>
      <w:r>
        <w:rPr>
          <w:rFonts w:ascii="仿宋_GB2312" w:eastAsia="仿宋_GB2312" w:cs="DengXian-Regular"/>
          <w:sz w:val="32"/>
          <w:szCs w:val="32"/>
        </w:rPr>
        <w:t>55</w:t>
      </w:r>
      <w:r>
        <w:rPr>
          <w:rFonts w:hint="eastAsia" w:ascii="仿宋_GB2312" w:eastAsia="仿宋_GB2312" w:cs="DengXian-Regular"/>
          <w:sz w:val="32"/>
          <w:szCs w:val="32"/>
        </w:rPr>
        <w:t>%,主要是</w:t>
      </w:r>
      <w:r>
        <w:rPr>
          <w:rFonts w:hint="eastAsia" w:ascii="仿宋" w:hAnsi="仿宋" w:eastAsia="仿宋" w:cs="DengXian-Regular"/>
          <w:sz w:val="32"/>
          <w:szCs w:val="32"/>
        </w:rPr>
        <w:t>认真</w:t>
      </w:r>
      <w:r>
        <w:rPr>
          <w:rFonts w:hint="eastAsia" w:ascii="仿宋" w:hAnsi="仿宋" w:eastAsia="仿宋" w:cs="DengXian-Regular"/>
          <w:sz w:val="32"/>
          <w:szCs w:val="32"/>
          <w:lang w:eastAsia="zh-CN"/>
        </w:rPr>
        <w:t>贯彻落实中央八项规定</w:t>
      </w:r>
      <w:r>
        <w:rPr>
          <w:rFonts w:hint="eastAsia" w:ascii="仿宋" w:hAnsi="仿宋" w:eastAsia="仿宋" w:cs="DengXian-Regular"/>
          <w:sz w:val="32"/>
          <w:szCs w:val="32"/>
        </w:rPr>
        <w:t>精神和厉行节约要求，从严控制“三公”经费开支，全年实际支出比预算有所节约</w:t>
      </w:r>
      <w:r>
        <w:rPr>
          <w:rFonts w:hint="eastAsia" w:ascii="仿宋_GB2312" w:eastAsia="仿宋_GB2312" w:cs="DengXian-Regular"/>
          <w:sz w:val="32"/>
          <w:szCs w:val="32"/>
        </w:rPr>
        <w:t>。</w:t>
      </w:r>
    </w:p>
    <w:p>
      <w:pPr>
        <w:pStyle w:val="3"/>
        <w:spacing w:before="0" w:after="0" w:line="500" w:lineRule="exact"/>
        <w:ind w:firstLine="643" w:firstLineChars="200"/>
        <w:rPr>
          <w:rFonts w:ascii="黑体" w:eastAsia="黑体" w:cs="Times New Roman"/>
        </w:rPr>
      </w:pPr>
      <w:r>
        <w:rPr>
          <w:rFonts w:hint="eastAsia" w:ascii="黑体" w:eastAsia="黑体"/>
          <w:szCs w:val="40"/>
        </w:rPr>
        <w:t>六、</w:t>
      </w:r>
      <w:r>
        <w:rPr>
          <w:rFonts w:hint="eastAsia" w:ascii="黑体" w:eastAsia="黑体" w:cs="Times New Roman"/>
        </w:rPr>
        <w:t>绩效预算情况说明</w:t>
      </w:r>
    </w:p>
    <w:p>
      <w:pPr>
        <w:adjustRightInd w:val="0"/>
        <w:snapToGrid w:val="0"/>
        <w:spacing w:after="0" w:line="500" w:lineRule="exact"/>
        <w:ind w:firstLine="640" w:firstLineChars="200"/>
        <w:rPr>
          <w:rFonts w:ascii="仿宋_GB2312" w:eastAsia="仿宋_GB2312" w:cs="DengXian-Regular"/>
          <w:color w:val="FF0000"/>
          <w:sz w:val="32"/>
          <w:szCs w:val="32"/>
        </w:rPr>
      </w:pPr>
      <w:r>
        <w:rPr>
          <w:rFonts w:hint="eastAsia" w:ascii="仿宋_GB2312" w:eastAsia="仿宋_GB2312" w:cs="DengXian-Regular"/>
          <w:sz w:val="32"/>
          <w:szCs w:val="32"/>
        </w:rPr>
        <w:t>（一）绩效管理工作开展情况。根据《关于开展2018年度财政专项资金部门绩效自评价工作的通知》（石财绩</w:t>
      </w:r>
      <w:r>
        <w:rPr>
          <w:rFonts w:hint="eastAsia" w:ascii="宋体" w:hAnsi="宋体" w:cs="宋体"/>
          <w:sz w:val="32"/>
          <w:szCs w:val="32"/>
        </w:rPr>
        <w:t>[2019]</w:t>
      </w:r>
      <w:r>
        <w:rPr>
          <w:rFonts w:hint="eastAsia" w:ascii="仿宋_GB2312" w:eastAsia="仿宋_GB2312" w:cs="DengXian-Regular"/>
          <w:sz w:val="32"/>
          <w:szCs w:val="32"/>
        </w:rPr>
        <w:t>1号），本单位认真开展了预算绩效管理改革开展情况自查，对部门全面规范绩效预算编制、严格预算执行管理、推进绩效评价工作、推进预决算信息公开等方面进行了自评，考核结果为优秀/良好/一般。</w:t>
      </w:r>
    </w:p>
    <w:p>
      <w:pPr>
        <w:adjustRightInd w:val="0"/>
        <w:snapToGrid w:val="0"/>
        <w:spacing w:after="0" w:line="50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（二）预算项目绩效评价开展情况根据预算绩效管理要求，本单位组织对2017年度一般公共预算项目支出全面开展绩效自评，涉及</w:t>
      </w:r>
      <w:r>
        <w:rPr>
          <w:rFonts w:ascii="仿宋_GB2312" w:eastAsia="仿宋_GB2312" w:cs="DengXian-Regular"/>
          <w:sz w:val="32"/>
          <w:szCs w:val="32"/>
        </w:rPr>
        <w:t>0</w:t>
      </w:r>
      <w:r>
        <w:rPr>
          <w:rFonts w:hint="eastAsia" w:ascii="仿宋_GB2312" w:eastAsia="仿宋_GB2312" w:cs="DengXian-Regular"/>
          <w:sz w:val="32"/>
          <w:szCs w:val="32"/>
        </w:rPr>
        <w:t>个项目，涉及资金</w:t>
      </w:r>
      <w:r>
        <w:rPr>
          <w:rFonts w:ascii="仿宋_GB2312" w:eastAsia="仿宋_GB2312" w:cs="DengXian-Regular"/>
          <w:sz w:val="32"/>
          <w:szCs w:val="32"/>
        </w:rPr>
        <w:t>0</w:t>
      </w:r>
      <w:r>
        <w:rPr>
          <w:rFonts w:hint="eastAsia" w:ascii="仿宋_GB2312" w:eastAsia="仿宋_GB2312" w:cs="DengXian-Regular"/>
          <w:sz w:val="32"/>
          <w:szCs w:val="32"/>
        </w:rPr>
        <w:t>万元。从评价情况看，评价结果为优秀的项目有</w:t>
      </w:r>
      <w:r>
        <w:rPr>
          <w:rFonts w:ascii="仿宋_GB2312" w:eastAsia="仿宋_GB2312" w:cs="DengXian-Regular"/>
          <w:sz w:val="32"/>
          <w:szCs w:val="32"/>
        </w:rPr>
        <w:t>0</w:t>
      </w:r>
      <w:r>
        <w:rPr>
          <w:rFonts w:hint="eastAsia" w:ascii="仿宋_GB2312" w:eastAsia="仿宋_GB2312" w:cs="DengXian-Regular"/>
          <w:sz w:val="32"/>
          <w:szCs w:val="32"/>
        </w:rPr>
        <w:t>个，良好的项目有</w:t>
      </w:r>
      <w:r>
        <w:rPr>
          <w:rFonts w:ascii="仿宋_GB2312" w:eastAsia="仿宋_GB2312" w:cs="DengXian-Regular"/>
          <w:sz w:val="32"/>
          <w:szCs w:val="32"/>
        </w:rPr>
        <w:t>0</w:t>
      </w:r>
      <w:r>
        <w:rPr>
          <w:rFonts w:hint="eastAsia" w:ascii="仿宋_GB2312" w:eastAsia="仿宋_GB2312" w:cs="DengXian-Regular"/>
          <w:sz w:val="32"/>
          <w:szCs w:val="32"/>
        </w:rPr>
        <w:t>个，一般的项目有</w:t>
      </w:r>
      <w:r>
        <w:rPr>
          <w:rFonts w:ascii="仿宋_GB2312" w:eastAsia="仿宋_GB2312" w:cs="DengXian-Regular"/>
          <w:sz w:val="32"/>
          <w:szCs w:val="32"/>
        </w:rPr>
        <w:t>0</w:t>
      </w:r>
      <w:r>
        <w:rPr>
          <w:rFonts w:hint="eastAsia" w:ascii="仿宋_GB2312" w:eastAsia="仿宋_GB2312" w:cs="DengXian-Regular"/>
          <w:sz w:val="32"/>
          <w:szCs w:val="32"/>
        </w:rPr>
        <w:t>个。</w:t>
      </w:r>
    </w:p>
    <w:p>
      <w:pPr>
        <w:adjustRightInd w:val="0"/>
        <w:snapToGrid w:val="0"/>
        <w:spacing w:after="0" w:line="50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（三）预算项目绩效自评选例</w:t>
      </w:r>
    </w:p>
    <w:p>
      <w:pPr>
        <w:adjustRightInd w:val="0"/>
        <w:snapToGrid w:val="0"/>
        <w:spacing w:after="0" w:line="50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本单位无民生项目和重点支出项目。</w:t>
      </w:r>
    </w:p>
    <w:p>
      <w:pPr>
        <w:pStyle w:val="3"/>
        <w:spacing w:before="0" w:after="0" w:line="580" w:lineRule="exact"/>
        <w:ind w:firstLine="640" w:firstLineChars="200"/>
        <w:rPr>
          <w:rFonts w:ascii="黑体" w:eastAsia="黑体" w:cs="Times New Roman"/>
          <w:b w:val="0"/>
          <w:bCs w:val="0"/>
        </w:rPr>
      </w:pPr>
      <w:r>
        <w:rPr>
          <w:rFonts w:hint="eastAsia" w:ascii="黑体" w:eastAsia="黑体" w:cs="Times New Roman"/>
          <w:b w:val="0"/>
          <w:bCs w:val="0"/>
        </w:rPr>
        <w:t>七、其他重要事项的说明</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（一）机关运行经费情况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w:t>
      </w:r>
      <w:r>
        <w:rPr>
          <w:rFonts w:hint="eastAsia" w:ascii="仿宋_GB2312" w:eastAsia="仿宋_GB2312" w:cs="DengXian-Regular"/>
          <w:sz w:val="32"/>
          <w:szCs w:val="32"/>
          <w:lang w:val="en-US" w:eastAsia="zh-CN"/>
        </w:rPr>
        <w:t>8</w:t>
      </w:r>
      <w:r>
        <w:rPr>
          <w:rFonts w:hint="eastAsia" w:ascii="仿宋_GB2312" w:hAnsi="Times New Roman" w:eastAsia="仿宋_GB2312" w:cs="DengXian-Regular"/>
          <w:sz w:val="32"/>
          <w:szCs w:val="32"/>
        </w:rPr>
        <w:t>年度机关运行经费支出</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万元，比201</w:t>
      </w:r>
      <w:r>
        <w:rPr>
          <w:rFonts w:hint="eastAsia" w:ascii="仿宋_GB2312" w:eastAsia="仿宋_GB2312" w:cs="DengXian-Regular"/>
          <w:sz w:val="32"/>
          <w:szCs w:val="32"/>
          <w:lang w:val="en-US" w:eastAsia="zh-CN"/>
        </w:rPr>
        <w:t>7</w:t>
      </w:r>
      <w:r>
        <w:rPr>
          <w:rFonts w:hint="eastAsia" w:ascii="仿宋_GB2312" w:hAnsi="Times New Roman" w:eastAsia="仿宋_GB2312" w:cs="DengXian-Regular"/>
          <w:sz w:val="32"/>
          <w:szCs w:val="32"/>
        </w:rPr>
        <w:t>年度增加(减少)</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万元，增长（降低）</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%。主要原因是我单位为事业单位无机关运行经费。</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（二）政府采购情况</w:t>
      </w:r>
    </w:p>
    <w:p>
      <w:pPr>
        <w:widowControl/>
        <w:spacing w:after="0" w:line="580" w:lineRule="exact"/>
        <w:ind w:firstLine="640" w:firstLineChars="200"/>
        <w:jc w:val="left"/>
        <w:rPr>
          <w:rFonts w:ascii="仿宋_GB2312" w:eastAsia="仿宋_GB2312" w:cs="DengXian-Regular"/>
          <w:sz w:val="32"/>
          <w:szCs w:val="32"/>
        </w:rPr>
      </w:pPr>
      <w:r>
        <w:rPr>
          <w:rFonts w:hint="eastAsia" w:ascii="仿宋_GB2312" w:eastAsia="仿宋_GB2312" w:cs="DengXian-Regular"/>
          <w:sz w:val="32"/>
          <w:szCs w:val="32"/>
        </w:rPr>
        <w:t>本部门2018年度政府采购支出总额</w:t>
      </w:r>
      <w:r>
        <w:rPr>
          <w:rFonts w:ascii="仿宋_GB2312" w:eastAsia="仿宋_GB2312" w:cs="DengXian-Regular"/>
          <w:sz w:val="32"/>
          <w:szCs w:val="32"/>
        </w:rPr>
        <w:t>0</w:t>
      </w:r>
      <w:r>
        <w:rPr>
          <w:rFonts w:hint="eastAsia" w:ascii="仿宋_GB2312" w:eastAsia="仿宋_GB2312" w:cs="DengXian-Regular"/>
          <w:sz w:val="32"/>
          <w:szCs w:val="32"/>
        </w:rPr>
        <w:t>万元，从采购类型来看，</w:t>
      </w:r>
      <w:r>
        <w:rPr>
          <w:rFonts w:ascii="仿宋_GB2312" w:hAnsi="仿宋_GB2312" w:eastAsia="仿宋_GB2312" w:cs="仿宋_GB2312"/>
          <w:color w:val="000000"/>
          <w:kern w:val="0"/>
          <w:sz w:val="32"/>
          <w:szCs w:val="32"/>
        </w:rPr>
        <w:t>政府采购货物支出0万元、政府采购工程支出0万元、政府采购服务支出0万元。授予中小企业合同金0万元，占政府采购支出总额的0</w:t>
      </w:r>
      <w:r>
        <w:rPr>
          <w:rFonts w:hint="eastAsia" w:ascii="仿宋_GB2312" w:hAnsi="仿宋_GB2312" w:eastAsia="仿宋_GB2312" w:cs="仿宋_GB2312"/>
          <w:color w:val="000000"/>
          <w:kern w:val="0"/>
          <w:sz w:val="32"/>
          <w:szCs w:val="32"/>
        </w:rPr>
        <w:t>%，</w:t>
      </w:r>
      <w:r>
        <w:rPr>
          <w:rFonts w:ascii="仿宋_GB2312" w:hAnsi="仿宋_GB2312" w:eastAsia="仿宋_GB2312" w:cs="仿宋_GB2312"/>
          <w:color w:val="000000"/>
          <w:kern w:val="0"/>
          <w:sz w:val="32"/>
          <w:szCs w:val="32"/>
        </w:rPr>
        <w:t>其中授予小微企业合同金额0万元，占政府采购支出总额的0%。</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（三）国有资产占用情况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截至2018年12月31日，本部门共有车辆</w:t>
      </w:r>
      <w:r>
        <w:rPr>
          <w:rFonts w:ascii="仿宋_GB2312" w:eastAsia="仿宋_GB2312" w:cs="DengXian-Regular"/>
          <w:sz w:val="32"/>
          <w:szCs w:val="32"/>
        </w:rPr>
        <w:t>2</w:t>
      </w:r>
      <w:r>
        <w:rPr>
          <w:rFonts w:hint="eastAsia" w:ascii="仿宋_GB2312" w:eastAsia="仿宋_GB2312" w:cs="DengXian-Regular"/>
          <w:sz w:val="32"/>
          <w:szCs w:val="32"/>
        </w:rPr>
        <w:t>辆，比上年</w:t>
      </w:r>
      <w:r>
        <w:rPr>
          <w:rFonts w:hint="eastAsia" w:ascii="仿宋" w:hAnsi="仿宋" w:eastAsia="仿宋" w:cs="微软雅黑"/>
          <w:sz w:val="32"/>
          <w:szCs w:val="32"/>
        </w:rPr>
        <w:t>持平</w:t>
      </w:r>
      <w:r>
        <w:rPr>
          <w:rFonts w:hint="eastAsia" w:ascii="仿宋" w:hAnsi="仿宋" w:eastAsia="仿宋" w:cs="DengXian-Regular"/>
          <w:sz w:val="32"/>
          <w:szCs w:val="32"/>
        </w:rPr>
        <w:t>，主要是未购置公务用车。其中，副部（省）级及以上领导</w:t>
      </w:r>
      <w:r>
        <w:rPr>
          <w:rFonts w:hint="eastAsia" w:ascii="仿宋_GB2312" w:eastAsia="仿宋_GB2312" w:cs="DengXian-Regular"/>
          <w:sz w:val="32"/>
          <w:szCs w:val="32"/>
        </w:rPr>
        <w:t>用车</w:t>
      </w:r>
      <w:r>
        <w:rPr>
          <w:rFonts w:ascii="仿宋_GB2312" w:eastAsia="仿宋_GB2312" w:cs="DengXian-Regular"/>
          <w:sz w:val="32"/>
          <w:szCs w:val="32"/>
        </w:rPr>
        <w:t>0</w:t>
      </w:r>
      <w:r>
        <w:rPr>
          <w:rFonts w:hint="eastAsia" w:ascii="仿宋_GB2312" w:eastAsia="仿宋_GB2312" w:cs="DengXian-Regular"/>
          <w:sz w:val="32"/>
          <w:szCs w:val="32"/>
        </w:rPr>
        <w:t>辆，主要领导干部用车</w:t>
      </w:r>
      <w:r>
        <w:rPr>
          <w:rFonts w:ascii="仿宋_GB2312" w:eastAsia="仿宋_GB2312" w:cs="DengXian-Regular"/>
          <w:sz w:val="32"/>
          <w:szCs w:val="32"/>
        </w:rPr>
        <w:t>0</w:t>
      </w:r>
      <w:r>
        <w:rPr>
          <w:rFonts w:hint="eastAsia" w:ascii="仿宋_GB2312" w:eastAsia="仿宋_GB2312" w:cs="DengXian-Regular"/>
          <w:sz w:val="32"/>
          <w:szCs w:val="32"/>
        </w:rPr>
        <w:t>辆，机要通信用车</w:t>
      </w:r>
      <w:r>
        <w:rPr>
          <w:rFonts w:ascii="仿宋_GB2312" w:eastAsia="仿宋_GB2312" w:cs="DengXian-Regular"/>
          <w:sz w:val="32"/>
          <w:szCs w:val="32"/>
        </w:rPr>
        <w:t>0</w:t>
      </w:r>
      <w:r>
        <w:rPr>
          <w:rFonts w:hint="eastAsia" w:ascii="仿宋_GB2312" w:eastAsia="仿宋_GB2312" w:cs="DengXian-Regular"/>
          <w:sz w:val="32"/>
          <w:szCs w:val="32"/>
        </w:rPr>
        <w:t>辆，应急保障用车</w:t>
      </w:r>
      <w:r>
        <w:rPr>
          <w:rFonts w:ascii="仿宋_GB2312" w:eastAsia="仿宋_GB2312" w:cs="DengXian-Regular"/>
          <w:sz w:val="32"/>
          <w:szCs w:val="32"/>
        </w:rPr>
        <w:t>0</w:t>
      </w:r>
      <w:r>
        <w:rPr>
          <w:rFonts w:hint="eastAsia" w:ascii="仿宋_GB2312" w:eastAsia="仿宋_GB2312" w:cs="DengXian-Regular"/>
          <w:sz w:val="32"/>
          <w:szCs w:val="32"/>
        </w:rPr>
        <w:t>辆，执法执勤用车</w:t>
      </w:r>
      <w:r>
        <w:rPr>
          <w:rFonts w:ascii="仿宋_GB2312" w:eastAsia="仿宋_GB2312" w:cs="DengXian-Regular"/>
          <w:sz w:val="32"/>
          <w:szCs w:val="32"/>
        </w:rPr>
        <w:t>0</w:t>
      </w:r>
      <w:r>
        <w:rPr>
          <w:rFonts w:hint="eastAsia" w:ascii="仿宋_GB2312" w:eastAsia="仿宋_GB2312" w:cs="DengXian-Regular"/>
          <w:sz w:val="32"/>
          <w:szCs w:val="32"/>
        </w:rPr>
        <w:t>辆，特种专业技术用车0辆，离退休干部用车</w:t>
      </w:r>
      <w:r>
        <w:rPr>
          <w:rFonts w:ascii="仿宋_GB2312" w:eastAsia="仿宋_GB2312" w:cs="DengXian-Regular"/>
          <w:sz w:val="32"/>
          <w:szCs w:val="32"/>
        </w:rPr>
        <w:t>0</w:t>
      </w:r>
      <w:r>
        <w:rPr>
          <w:rFonts w:hint="eastAsia" w:ascii="仿宋_GB2312" w:eastAsia="仿宋_GB2312" w:cs="DengXian-Regular"/>
          <w:sz w:val="32"/>
          <w:szCs w:val="32"/>
        </w:rPr>
        <w:t>辆，其他用车</w:t>
      </w:r>
      <w:r>
        <w:rPr>
          <w:rFonts w:ascii="仿宋_GB2312" w:eastAsia="仿宋_GB2312" w:cs="DengXian-Regular"/>
          <w:sz w:val="32"/>
          <w:szCs w:val="32"/>
        </w:rPr>
        <w:t>2</w:t>
      </w:r>
      <w:r>
        <w:rPr>
          <w:rFonts w:hint="eastAsia" w:ascii="仿宋_GB2312" w:eastAsia="仿宋_GB2312" w:cs="DengXian-Regular"/>
          <w:sz w:val="32"/>
          <w:szCs w:val="32"/>
        </w:rPr>
        <w:t>辆，其他用车主要</w:t>
      </w:r>
      <w:r>
        <w:rPr>
          <w:rFonts w:hint="eastAsia" w:ascii="仿宋" w:hAnsi="仿宋" w:eastAsia="仿宋" w:cs="DengXian-Regular"/>
          <w:sz w:val="32"/>
          <w:szCs w:val="32"/>
        </w:rPr>
        <w:t>是新闻</w:t>
      </w:r>
      <w:r>
        <w:rPr>
          <w:rFonts w:hint="eastAsia" w:ascii="仿宋" w:hAnsi="仿宋" w:eastAsia="仿宋" w:cs="微软雅黑"/>
          <w:sz w:val="32"/>
          <w:szCs w:val="32"/>
        </w:rPr>
        <w:t>拍摄</w:t>
      </w:r>
      <w:r>
        <w:rPr>
          <w:rFonts w:hint="eastAsia" w:ascii="仿宋" w:hAnsi="仿宋" w:eastAsia="仿宋" w:cs="DengXian-Regular"/>
          <w:sz w:val="32"/>
          <w:szCs w:val="32"/>
        </w:rPr>
        <w:t>；单位价值</w:t>
      </w:r>
      <w:r>
        <w:rPr>
          <w:rFonts w:hint="eastAsia" w:ascii="仿宋" w:hAnsi="仿宋" w:eastAsia="仿宋" w:cs="TimesNewRomanPSMT"/>
          <w:sz w:val="32"/>
          <w:szCs w:val="32"/>
        </w:rPr>
        <w:t>50</w:t>
      </w:r>
      <w:r>
        <w:rPr>
          <w:rFonts w:hint="eastAsia" w:ascii="仿宋" w:hAnsi="仿宋" w:eastAsia="仿宋" w:cs="DengXian-Regular"/>
          <w:sz w:val="32"/>
          <w:szCs w:val="32"/>
        </w:rPr>
        <w:t>万元以上通用设备</w:t>
      </w:r>
      <w:r>
        <w:rPr>
          <w:rFonts w:ascii="仿宋" w:hAnsi="仿宋" w:eastAsia="仿宋" w:cs="DengXian-Regular"/>
          <w:sz w:val="32"/>
          <w:szCs w:val="32"/>
        </w:rPr>
        <w:t>0</w:t>
      </w:r>
      <w:r>
        <w:rPr>
          <w:rFonts w:hint="eastAsia" w:ascii="仿宋" w:hAnsi="仿宋" w:eastAsia="仿宋" w:cs="DengXian-Regular"/>
          <w:sz w:val="32"/>
          <w:szCs w:val="32"/>
        </w:rPr>
        <w:t>台（套），比上年</w:t>
      </w:r>
      <w:r>
        <w:rPr>
          <w:rFonts w:hint="eastAsia" w:ascii="仿宋" w:hAnsi="仿宋" w:eastAsia="仿宋" w:cs="微软雅黑"/>
          <w:sz w:val="32"/>
          <w:szCs w:val="32"/>
        </w:rPr>
        <w:t>持平</w:t>
      </w:r>
      <w:r>
        <w:rPr>
          <w:rFonts w:hint="eastAsia" w:ascii="仿宋_GB2312" w:eastAsia="仿宋_GB2312" w:cs="DengXian-Regular"/>
          <w:sz w:val="32"/>
          <w:szCs w:val="32"/>
        </w:rPr>
        <w:t>，主要是未购置大型设备 ，单位价值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万元以上专用设备</w:t>
      </w:r>
      <w:r>
        <w:rPr>
          <w:rFonts w:ascii="仿宋_GB2312" w:eastAsia="仿宋_GB2312" w:cs="DengXian-Regular"/>
          <w:sz w:val="32"/>
          <w:szCs w:val="32"/>
        </w:rPr>
        <w:t>0</w:t>
      </w:r>
      <w:r>
        <w:rPr>
          <w:rFonts w:hint="eastAsia" w:ascii="仿宋_GB2312" w:eastAsia="仿宋_GB2312" w:cs="DengXian-Regular"/>
          <w:sz w:val="32"/>
          <w:szCs w:val="32"/>
        </w:rPr>
        <w:t>台（套）比上年增加</w:t>
      </w:r>
      <w:r>
        <w:rPr>
          <w:rFonts w:ascii="仿宋_GB2312" w:eastAsia="仿宋_GB2312" w:cs="DengXian-Regular"/>
          <w:sz w:val="32"/>
          <w:szCs w:val="32"/>
        </w:rPr>
        <w:t>0</w:t>
      </w:r>
      <w:r>
        <w:rPr>
          <w:rFonts w:hint="eastAsia" w:ascii="仿宋_GB2312" w:eastAsia="仿宋_GB2312" w:cs="DengXian-Regular"/>
          <w:sz w:val="32"/>
          <w:szCs w:val="32"/>
        </w:rPr>
        <w:t>套,主要是未购置大型设备。</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（四）其他需要说明的情况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1、本部门2018年度</w:t>
      </w:r>
      <w:bookmarkStart w:id="0" w:name="_Hlk20232774"/>
      <w:r>
        <w:rPr>
          <w:rFonts w:hint="eastAsia" w:ascii="仿宋_GB2312" w:eastAsia="仿宋_GB2312" w:cs="DengXian-Regular"/>
          <w:sz w:val="32"/>
          <w:szCs w:val="32"/>
        </w:rPr>
        <w:t>政府性基金预算财政拨款、国有资本经营预算财政拨款</w:t>
      </w:r>
      <w:bookmarkEnd w:id="0"/>
      <w:r>
        <w:rPr>
          <w:rFonts w:hint="eastAsia" w:ascii="仿宋_GB2312" w:eastAsia="仿宋_GB2312" w:cs="DengXian-Regular"/>
          <w:sz w:val="32"/>
          <w:szCs w:val="32"/>
        </w:rPr>
        <w:t>无收支及结转结余情况，故</w:t>
      </w:r>
      <w:bookmarkStart w:id="1" w:name="_Hlk20232787"/>
      <w:r>
        <w:rPr>
          <w:rFonts w:hint="eastAsia" w:ascii="仿宋_GB2312" w:eastAsia="仿宋_GB2312" w:cs="DengXian-Regular"/>
          <w:sz w:val="32"/>
          <w:szCs w:val="32"/>
        </w:rPr>
        <w:t>政府性基金预算财政拨款收入支出决算表、国有资本经营预算财政拨款表</w:t>
      </w:r>
      <w:bookmarkEnd w:id="1"/>
      <w:r>
        <w:rPr>
          <w:rFonts w:hint="eastAsia" w:ascii="仿宋_GB2312" w:eastAsia="仿宋_GB2312" w:cs="DengXian-Regular"/>
          <w:sz w:val="32"/>
          <w:szCs w:val="32"/>
        </w:rPr>
        <w:t>以空表列示。</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w:t>
      </w:r>
      <w:r>
        <w:rPr>
          <w:sz w:val="44"/>
        </w:rPr>
        <mc:AlternateContent>
          <mc:Choice Requires="wpg">
            <w:drawing>
              <wp:anchor distT="0" distB="0" distL="114300" distR="114300" simplePos="0" relativeHeight="251688960" behindDoc="0" locked="1" layoutInCell="1" allowOverlap="1">
                <wp:simplePos x="0" y="0"/>
                <wp:positionH relativeFrom="page">
                  <wp:posOffset>-6985</wp:posOffset>
                </wp:positionH>
                <wp:positionV relativeFrom="page">
                  <wp:posOffset>372110</wp:posOffset>
                </wp:positionV>
                <wp:extent cx="3833495" cy="558165"/>
                <wp:effectExtent l="1270" t="0" r="13335" b="13335"/>
                <wp:wrapNone/>
                <wp:docPr id="71" name="组合 91"/>
                <wp:cNvGraphicFramePr/>
                <a:graphic xmlns:a="http://schemas.openxmlformats.org/drawingml/2006/main">
                  <a:graphicData uri="http://schemas.microsoft.com/office/word/2010/wordprocessingGroup">
                    <wpg:wgp>
                      <wpg:cNvGrpSpPr/>
                      <wpg:grpSpPr>
                        <a:xfrm>
                          <a:off x="0" y="0"/>
                          <a:ext cx="3833495" cy="558165"/>
                          <a:chOff x="4551" y="52615"/>
                          <a:chExt cx="8546" cy="1398"/>
                        </a:xfrm>
                      </wpg:grpSpPr>
                      <wps:wsp>
                        <wps:cNvPr id="69" name="矩形 13"/>
                        <wps:cNvSpPr/>
                        <wps:spPr>
                          <a:xfrm>
                            <a:off x="4551" y="52615"/>
                            <a:ext cx="8546" cy="1175"/>
                          </a:xfrm>
                          <a:prstGeom prst="rect">
                            <a:avLst/>
                          </a:prstGeom>
                          <a:solidFill>
                            <a:srgbClr val="D8D8D8"/>
                          </a:solidFill>
                          <a:ln w="25400">
                            <a:noFill/>
                          </a:ln>
                        </wps:spPr>
                        <wps:bodyPr anchor="ctr" anchorCtr="0" upright="1"/>
                      </wps:wsp>
                      <wps:wsp>
                        <wps:cNvPr id="70" name="矩形 14"/>
                        <wps:cNvSpPr/>
                        <wps:spPr>
                          <a:xfrm>
                            <a:off x="4577" y="52890"/>
                            <a:ext cx="8324" cy="1123"/>
                          </a:xfrm>
                          <a:prstGeom prst="rect">
                            <a:avLst/>
                          </a:prstGeom>
                          <a:solidFill>
                            <a:srgbClr val="AD002D"/>
                          </a:solidFill>
                          <a:ln w="25400" cap="flat" cmpd="sng">
                            <a:solidFill>
                              <a:srgbClr val="845209"/>
                            </a:solidFill>
                            <a:prstDash val="solid"/>
                            <a:miter/>
                            <a:headEnd type="none" w="med" len="med"/>
                            <a:tailEnd type="none" w="med" len="med"/>
                          </a:ln>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wps:txbx>
                        <wps:bodyPr anchor="ctr" anchorCtr="0" upright="1"/>
                      </wps:wsp>
                    </wpg:wgp>
                  </a:graphicData>
                </a:graphic>
              </wp:anchor>
            </w:drawing>
          </mc:Choice>
          <mc:Fallback>
            <w:pict>
              <v:group id="组合 91" o:spid="_x0000_s1026" o:spt="203" style="position:absolute;left:0pt;margin-left:-0.55pt;margin-top:29.3pt;height:43.95pt;width:301.85pt;mso-position-horizontal-relative:page;mso-position-vertical-relative:page;z-index:251688960;mso-width-relative:page;mso-height-relative:page;" coordorigin="4551,52615" coordsize="8546,1398" o:gfxdata="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">
                <o:lock v:ext="edit" aspectratio="f"/>
                <v:rect id="矩形 13" o:spid="_x0000_s1026" o:spt="1" style="position:absolute;left:4551;top:52615;height:1175;width:8546;v-text-anchor:middle;" fillcolor="#D8D8D8" filled="t" stroked="f" coordsize="21600,21600" o:gfxdata="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odU+8vQAA&#10;ANsAAAAPAAAAAAAAAAEAIAAAACIAAABkcnMvZG93bnJldi54bWxQSwECFAAUAAAACACHTuJAMy8F&#10;njsAAAA5AAAAEAAAAAAAAAABACAAAAAMAQAAZHJzL3NoYXBleG1sLnhtbFBLBQYAAAAABgAGAFsB&#10;AAC2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ijcqZroAAADb&#10;AAAADwAAAGRycy9kb3ducmV2LnhtbEVPy4rCMBTdC/5DuII7TZ1FHapRRBBHQYbRiri7NNem2NyU&#10;Jr7m6yeLAZeH857On7YWd2p95VjBaJiAIC6crrhUkB9Wg08QPiBrrB2Tghd5mM+6nSlm2j34h+77&#10;UIoYwj5DBSaEJpPSF4Ys+qFriCN3ca3FEGFbSt3iI4bbWn4kSSotVhwbDDa0NFRc9zer4Ds35zVu&#10;6WR32+sxX1SY/m5Spfq9UTIBEegZ3uJ/95dWMI7r45f4A+TsD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KNypmugAAANsA&#10;AAAPAAAAAAAAAAEAIAAAACIAAABkcnMvZG93bnJldi54bWxQSwECFAAUAAAACACHTuJAMy8FnjsA&#10;AAA5AAAAEAAAAAAAAAABACAAAAAJAQAAZHJzL3NoYXBleG1sLnhtbFBLBQYAAAAABgAGAFsBAACz&#10;AwAAAAA=&#10;">
                  <v:fill on="t" focussize="0,0"/>
                  <v:stroke weight="2pt" color="#845209" joinstyle="miter"/>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mc:Fallback>
        </mc:AlternateContent>
      </w:r>
      <w:r>
        <w:rPr>
          <w:rFonts w:hint="eastAsia" w:ascii="仿宋_GB2312" w:eastAsia="仿宋_GB2312" w:cs="DengXian-Regular"/>
          <w:sz w:val="32"/>
          <w:szCs w:val="32"/>
        </w:rPr>
        <w:t>果，个别数据合计项与分项之和存在小数点后差额，特此说明。</w:t>
      </w:r>
    </w:p>
    <w:p>
      <w:pPr>
        <w:widowControl/>
        <w:spacing w:after="0" w:line="580" w:lineRule="exact"/>
        <w:ind w:firstLine="883" w:firstLineChars="200"/>
        <w:jc w:val="left"/>
        <w:rPr>
          <w:rFonts w:cs="MS-UIGothic,Bold" w:asciiTheme="majorEastAsia" w:hAnsiTheme="majorEastAsia" w:eastAsiaTheme="majorEastAsia"/>
          <w:b/>
          <w:bCs/>
          <w:kern w:val="0"/>
          <w:sz w:val="44"/>
          <w:szCs w:val="44"/>
        </w:rPr>
        <w:sectPr>
          <w:pgSz w:w="11906" w:h="16838"/>
          <w:pgMar w:top="2098" w:right="1474" w:bottom="1984" w:left="1588" w:header="851" w:footer="992" w:gutter="0"/>
          <w:cols w:space="0" w:num="1"/>
          <w:docGrid w:type="lines" w:linePitch="312" w:charSpace="0"/>
        </w:sect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2336"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21" name="图片 2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2"/>
                    <pic:cNvPicPr>
                      <a:picLocks noChangeAspect="1"/>
                    </pic:cNvPicPr>
                  </pic:nvPicPr>
                  <pic:blipFill>
                    <a:blip r:embed="rId7"/>
                    <a:stretch>
                      <a:fillRect/>
                    </a:stretch>
                  </pic:blipFill>
                  <pic:spPr>
                    <a:xfrm>
                      <a:off x="0" y="0"/>
                      <a:ext cx="7550150" cy="10680065"/>
                    </a:xfrm>
                    <a:prstGeom prst="rect">
                      <a:avLst/>
                    </a:prstGeom>
                  </pic:spPr>
                </pic:pic>
              </a:graphicData>
            </a:graphic>
          </wp:anchor>
        </w:drawing>
      </w:r>
      <w:r>
        <w:rPr>
          <w:sz w:val="72"/>
        </w:rPr>
        <mc:AlternateContent>
          <mc:Choice Requires="wps">
            <w:drawing>
              <wp:anchor distT="0" distB="0" distL="114300" distR="114300" simplePos="0" relativeHeight="251670528" behindDoc="0" locked="0" layoutInCell="1" allowOverlap="1">
                <wp:simplePos x="0" y="0"/>
                <wp:positionH relativeFrom="column">
                  <wp:posOffset>-999490</wp:posOffset>
                </wp:positionH>
                <wp:positionV relativeFrom="paragraph">
                  <wp:posOffset>2956560</wp:posOffset>
                </wp:positionV>
                <wp:extent cx="7571740" cy="2020570"/>
                <wp:effectExtent l="0" t="0" r="0" b="0"/>
                <wp:wrapNone/>
                <wp:docPr id="22" name="文本框 22"/>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第四部分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8.7pt;margin-top:232.8pt;height:159.1pt;width:596.2pt;z-index:251670528;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">
                <v:fill on="f" focussize="0,0"/>
                <v:stroke on="f" weight="0.5pt"/>
                <v:imagedata o:title=""/>
                <o:lock v:ext="edit" aspectratio="f"/>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第四部分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名词解释</w:t>
                      </w:r>
                    </w:p>
                  </w:txbxContent>
                </v:textbox>
              </v:shape>
            </w:pict>
          </mc:Fallback>
        </mc:AlternateConten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（一）财政拨款收入：</w:t>
      </w:r>
      <w:r>
        <w:rPr>
          <w:rFonts w:hint="eastAsia" w:ascii="仿宋_GB2312" w:eastAsia="仿宋_GB2312" w:hAnsiTheme="majorEastAsia"/>
          <w:color w:val="000000"/>
          <w:kern w:val="0"/>
          <w:sz w:val="32"/>
          <w:szCs w:val="32"/>
        </w:rPr>
        <w:t>本年度从本级财政部门取得的财政拨款，包括一般公共预算财政拨款和政府性基金预算财政拨款。</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（二）事业收入：</w:t>
      </w:r>
      <w:r>
        <w:rPr>
          <w:rFonts w:hint="eastAsia" w:ascii="仿宋_GB2312" w:eastAsia="仿宋_GB2312" w:hAnsiTheme="majorEastAsia"/>
          <w:color w:val="000000"/>
          <w:kern w:val="0"/>
          <w:sz w:val="32"/>
          <w:szCs w:val="32"/>
        </w:rPr>
        <w:t>指事业单位开展专业业务活动及辅助活动所取得的收入。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（三）其他收入：</w:t>
      </w:r>
      <w:r>
        <w:rPr>
          <w:rFonts w:hint="eastAsia" w:ascii="仿宋_GB2312" w:eastAsia="仿宋_GB2312" w:hAnsiTheme="majorEastAsia"/>
          <w:color w:val="000000"/>
          <w:kern w:val="0"/>
          <w:sz w:val="32"/>
          <w:szCs w:val="32"/>
        </w:rPr>
        <w:t>指除上述“财政拨款收入”“事业收入”“经营收入”等以外的收入。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（四）用事业基金弥补收支差额：</w:t>
      </w:r>
      <w:r>
        <w:rPr>
          <w:rFonts w:hint="eastAsia" w:ascii="仿宋_GB2312" w:eastAsia="仿宋_GB2312" w:hAnsiTheme="major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（五）年初结转和结余：</w:t>
      </w:r>
      <w:r>
        <w:rPr>
          <w:rFonts w:hint="eastAsia" w:ascii="仿宋_GB2312" w:eastAsia="仿宋_GB2312" w:hAnsiTheme="majorEastAsia"/>
          <w:color w:val="000000"/>
          <w:kern w:val="0"/>
          <w:sz w:val="32"/>
          <w:szCs w:val="32"/>
        </w:rPr>
        <w:t>指以前年度尚未完成、结转到本年仍按原规定用途继续使用的资金，或项目已完成等产生的结余资金。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（六）结余分配：</w:t>
      </w:r>
      <w:r>
        <w:rPr>
          <w:rFonts w:hint="eastAsia" w:ascii="仿宋_GB2312" w:eastAsia="仿宋_GB2312" w:hAnsiTheme="majorEastAsia"/>
          <w:color w:val="000000"/>
          <w:kern w:val="0"/>
          <w:sz w:val="32"/>
          <w:szCs w:val="32"/>
        </w:rPr>
        <w:t>指事业单位按照事业单位会计制度的规定从非财政补助结余中分配的事业基金和职工福利基金等。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（七）</w:t>
      </w:r>
      <w:r>
        <w:rPr>
          <w:rFonts w:hint="eastAsia" w:ascii="仿宋" w:hAnsi="仿宋" w:eastAsia="仿宋"/>
          <w:b/>
          <w:bCs/>
          <w:color w:val="000000"/>
          <w:kern w:val="0"/>
          <w:sz w:val="32"/>
          <w:szCs w:val="32"/>
        </w:rPr>
        <w:t>年</w:t>
      </w:r>
      <w:r>
        <w:rPr>
          <w:rFonts w:hint="eastAsia" w:ascii="仿宋" w:hAnsi="仿宋" w:eastAsia="仿宋" w:cs="微软雅黑"/>
          <w:b/>
          <w:bCs/>
          <w:color w:val="000000"/>
          <w:kern w:val="0"/>
          <w:sz w:val="32"/>
          <w:szCs w:val="32"/>
        </w:rPr>
        <w:t>末</w:t>
      </w:r>
      <w:r>
        <w:rPr>
          <w:rFonts w:hint="eastAsia" w:ascii="仿宋" w:hAnsi="仿宋" w:eastAsia="仿宋" w:cs="___WRD_EMBED_SUB_48"/>
          <w:b/>
          <w:bCs/>
          <w:color w:val="000000"/>
          <w:kern w:val="0"/>
          <w:sz w:val="32"/>
          <w:szCs w:val="32"/>
        </w:rPr>
        <w:t>结转和结</w:t>
      </w:r>
      <w:r>
        <w:rPr>
          <w:rFonts w:ascii="仿宋" w:hAnsi="仿宋" w:eastAsia="仿宋"/>
          <w:b/>
          <w:bCs/>
          <w:color w:val="000000"/>
          <w:kern w:val="0"/>
          <w:sz w:val="32"/>
          <w:szCs w:val="32"/>
        </w:rPr>
        <mc:AlternateContent>
          <mc:Choice Requires="wpg">
            <w:drawing>
              <wp:anchor distT="0" distB="0" distL="114300" distR="114300" simplePos="0" relativeHeight="251672576" behindDoc="0" locked="1" layoutInCell="1" allowOverlap="1">
                <wp:simplePos x="0" y="0"/>
                <wp:positionH relativeFrom="column">
                  <wp:posOffset>-1029335</wp:posOffset>
                </wp:positionH>
                <wp:positionV relativeFrom="page">
                  <wp:posOffset>503555</wp:posOffset>
                </wp:positionV>
                <wp:extent cx="3363595" cy="558165"/>
                <wp:effectExtent l="2540" t="0" r="5715" b="13335"/>
                <wp:wrapNone/>
                <wp:docPr id="18" name="组合 149"/>
                <wp:cNvGraphicFramePr/>
                <a:graphic xmlns:a="http://schemas.openxmlformats.org/drawingml/2006/main">
                  <a:graphicData uri="http://schemas.microsoft.com/office/word/2010/wordprocessingGroup">
                    <wpg:wgp>
                      <wpg:cNvGrpSpPr/>
                      <wpg:grpSpPr>
                        <a:xfrm>
                          <a:off x="0" y="0"/>
                          <a:ext cx="3363595" cy="558165"/>
                          <a:chOff x="4551" y="52615"/>
                          <a:chExt cx="8546" cy="1398"/>
                        </a:xfrm>
                      </wpg:grpSpPr>
                      <wps:wsp>
                        <wps:cNvPr id="14" name="矩形 13"/>
                        <wps:cNvSpPr/>
                        <wps:spPr>
                          <a:xfrm>
                            <a:off x="4551" y="52615"/>
                            <a:ext cx="8546" cy="1175"/>
                          </a:xfrm>
                          <a:prstGeom prst="rect">
                            <a:avLst/>
                          </a:prstGeom>
                          <a:solidFill>
                            <a:srgbClr val="D8D8D8"/>
                          </a:solidFill>
                          <a:ln w="25400">
                            <a:noFill/>
                          </a:ln>
                        </wps:spPr>
                        <wps:bodyPr anchor="ctr" anchorCtr="0" upright="1"/>
                      </wps:wsp>
                      <wps:wsp>
                        <wps:cNvPr id="15" name="矩形 14"/>
                        <wps:cNvSpPr/>
                        <wps:spPr>
                          <a:xfrm>
                            <a:off x="4577" y="52890"/>
                            <a:ext cx="8324" cy="1123"/>
                          </a:xfrm>
                          <a:prstGeom prst="rect">
                            <a:avLst/>
                          </a:prstGeom>
                          <a:solidFill>
                            <a:srgbClr val="AD002D"/>
                          </a:solidFill>
                          <a:ln w="25400" cap="flat" cmpd="sng">
                            <a:solidFill>
                              <a:srgbClr val="845209"/>
                            </a:solidFill>
                            <a:prstDash val="solid"/>
                            <a:miter/>
                            <a:headEnd type="none" w="med" len="med"/>
                            <a:tailEnd type="none" w="med" len="med"/>
                          </a:ln>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pPr>
                                <w:jc w:val="center"/>
                              </w:pPr>
                            </w:p>
                          </w:txbxContent>
                        </wps:txbx>
                        <wps:bodyPr anchor="ctr" anchorCtr="0" upright="1"/>
                      </wps:wsp>
                    </wpg:wgp>
                  </a:graphicData>
                </a:graphic>
              </wp:anchor>
            </w:drawing>
          </mc:Choice>
          <mc:Fallback>
            <w:pict>
              <v:group id="组合 149" o:spid="_x0000_s1026" o:spt="203" style="position:absolute;left:0pt;margin-left:-81.05pt;margin-top:39.65pt;height:43.95pt;width:264.85pt;mso-position-vertical-relative:page;z-index:251672576;mso-width-relative:page;mso-height-relative:page;" coordorigin="4551,52615" coordsize="8546,1398"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">
                <o:lock v:ext="edit" aspectratio="f"/>
                <v:rect id="矩形 13" o:spid="_x0000_s1026" o:spt="1" style="position:absolute;left:4551;top:52615;height:1175;width:8546;v-text-anchor:middle;" fillcolor="#D8D8D8" filled="t" stroked="f" coordsize="21600,21600" o:gfxdata="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XnKTX7sAAADb&#10;AAAADwAAAAAAAAABACAAAAAiAAAAZHJzL2Rvd25yZXYueG1sUEsBAhQAFAAAAAgAh07iQDMvBZ47&#10;AAAAOQAAABAAAAAAAAAAAQAgAAAACgEAAGRycy9zaGFwZXhtbC54bWxQSwUGAAAAAAYABgBbAQAA&#10;tA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R59sXrsAAADb&#10;AAAADwAAAGRycy9kb3ducmV2LnhtbEVP24rCMBB9F/yHMIJvmipsWapRRBB3BZF1K+Lb0IxNsZmU&#10;Juvt683Cwr7N4VxnOr/bWlyp9ZVjBaNhAoK4cLriUkH+vRq8g/ABWWPtmBQ8yMN81u1MMdPuxl90&#10;3YdSxBD2GSowITSZlL4wZNEPXUMcubNrLYYI21LqFm8x3NZynCSptFhxbDDY0NJQcdn/WAW73JzW&#10;uKGj3W4uh3xRYfr8TJXq90bJBESge/gX/7k/dJz/Br+/xAPk7AV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9sXrsAAADb&#10;AAAADwAAAAAAAAABACAAAAAiAAAAZHJzL2Rvd25yZXYueG1sUEsBAhQAFAAAAAgAh07iQDMvBZ47&#10;AAAAOQAAABAAAAAAAAAAAQAgAAAACgEAAGRycy9zaGFwZXhtbC54bWxQSwUGAAAAAAYABgBbAQAA&#10;tAMAAAAA&#10;">
                  <v:fill on="t" focussize="0,0"/>
                  <v:stroke weight="2pt" color="#845209" joinstyle="miter"/>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pPr>
                          <w:jc w:val="center"/>
                        </w:pPr>
                      </w:p>
                    </w:txbxContent>
                  </v:textbox>
                </v:rect>
                <w10:anchorlock/>
              </v:group>
            </w:pict>
          </mc:Fallback>
        </mc:AlternateContent>
      </w:r>
      <w:r>
        <w:rPr>
          <w:rFonts w:hint="eastAsia" w:ascii="仿宋" w:hAnsi="仿宋" w:eastAsia="仿宋"/>
          <w:b/>
          <w:bCs/>
          <w:color w:val="000000"/>
          <w:kern w:val="0"/>
          <w:sz w:val="32"/>
          <w:szCs w:val="32"/>
        </w:rPr>
        <w:t>余</w:t>
      </w:r>
      <w:r>
        <w:rPr>
          <w:rFonts w:hint="eastAsia" w:ascii="仿宋_GB2312" w:eastAsia="仿宋_GB2312" w:hAnsiTheme="majorEastAsia"/>
          <w:b/>
          <w:bCs/>
          <w:color w:val="000000"/>
          <w:kern w:val="0"/>
          <w:sz w:val="32"/>
          <w:szCs w:val="32"/>
        </w:rPr>
        <w:t>：</w:t>
      </w:r>
      <w:r>
        <w:rPr>
          <w:rFonts w:hint="eastAsia" w:ascii="仿宋_GB2312" w:eastAsia="仿宋_GB2312" w:hAnsiTheme="majorEastAsia"/>
          <w:color w:val="000000"/>
          <w:kern w:val="0"/>
          <w:sz w:val="32"/>
          <w:szCs w:val="32"/>
        </w:rPr>
        <w:t>指单位按有关规定结转到下年或以后年度继续使用的资金，或项目已完成等产生的结余资金。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（八）基本支出：</w:t>
      </w:r>
      <w:r>
        <w:rPr>
          <w:rFonts w:hint="eastAsia" w:ascii="仿宋_GB2312" w:eastAsia="仿宋_GB2312" w:hAnsiTheme="majorEastAsia"/>
          <w:color w:val="000000"/>
          <w:kern w:val="0"/>
          <w:sz w:val="32"/>
          <w:szCs w:val="32"/>
        </w:rPr>
        <w:t>填列单位为保障机构正常运转、完成日常工作任务而发生的各项支出。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（九）项目支出：</w:t>
      </w:r>
      <w:r>
        <w:rPr>
          <w:rFonts w:hint="eastAsia" w:ascii="仿宋_GB2312" w:eastAsia="仿宋_GB2312" w:hAnsiTheme="majorEastAsia"/>
          <w:color w:val="000000"/>
          <w:kern w:val="0"/>
          <w:sz w:val="32"/>
          <w:szCs w:val="32"/>
        </w:rPr>
        <w:t>填列单位为完成特定的行政工作任务或事业发展目标，在基本支出之外发生的各项支出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（十）资本性支出（基本建设）：</w:t>
      </w:r>
      <w:r>
        <w:rPr>
          <w:rFonts w:hint="eastAsia" w:ascii="仿宋_GB2312" w:eastAsia="仿宋_GB2312" w:hAnsiTheme="majorEastAsia"/>
          <w:color w:val="000000"/>
          <w:kern w:val="0"/>
          <w:sz w:val="32"/>
          <w:szCs w:val="32"/>
        </w:rPr>
        <w:t>填列切块由发展改革部门安排的基本建设支出，对企业补助支出不在此科目反映。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（十一）资本性支出：</w:t>
      </w:r>
      <w:r>
        <w:rPr>
          <w:rFonts w:hint="eastAsia" w:ascii="仿宋_GB2312" w:eastAsia="仿宋_GB2312" w:hAnsiTheme="majorEastAsia"/>
          <w:color w:val="000000"/>
          <w:kern w:val="0"/>
          <w:sz w:val="32"/>
          <w:szCs w:val="32"/>
        </w:rPr>
        <w:t>填列各单位安排的资本性支出。切块由发展改革部门安排的基本建设支出不在此科目反映。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（十二）“三公”经费：</w:t>
      </w:r>
      <w:r>
        <w:rPr>
          <w:rFonts w:hint="eastAsia" w:ascii="仿宋_GB2312" w:eastAsia="仿宋_GB2312" w:hAnsiTheme="major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w:t>
      </w:r>
      <w:r>
        <w:rPr>
          <w:rFonts w:ascii="仿宋_GB2312" w:eastAsia="仿宋_GB2312" w:hAnsiTheme="majorEastAsia"/>
          <w:b/>
          <w:bCs/>
          <w:color w:val="000000"/>
          <w:kern w:val="0"/>
          <w:sz w:val="32"/>
          <w:szCs w:val="32"/>
        </w:rPr>
        <mc:AlternateContent>
          <mc:Choice Requires="wpg">
            <w:drawing>
              <wp:anchor distT="0" distB="0" distL="114300" distR="114300" simplePos="0" relativeHeight="251689984" behindDoc="0" locked="1" layoutInCell="1" allowOverlap="1">
                <wp:simplePos x="0" y="0"/>
                <wp:positionH relativeFrom="column">
                  <wp:posOffset>-1029335</wp:posOffset>
                </wp:positionH>
                <wp:positionV relativeFrom="page">
                  <wp:posOffset>503555</wp:posOffset>
                </wp:positionV>
                <wp:extent cx="3363595" cy="558165"/>
                <wp:effectExtent l="2540" t="0" r="5715" b="13335"/>
                <wp:wrapNone/>
                <wp:docPr id="74" name="组合 94"/>
                <wp:cNvGraphicFramePr/>
                <a:graphic xmlns:a="http://schemas.openxmlformats.org/drawingml/2006/main">
                  <a:graphicData uri="http://schemas.microsoft.com/office/word/2010/wordprocessingGroup">
                    <wpg:wgp>
                      <wpg:cNvGrpSpPr/>
                      <wpg:grpSpPr>
                        <a:xfrm>
                          <a:off x="0" y="0"/>
                          <a:ext cx="3363595" cy="558165"/>
                          <a:chOff x="4551" y="52615"/>
                          <a:chExt cx="8546" cy="1398"/>
                        </a:xfrm>
                      </wpg:grpSpPr>
                      <wps:wsp>
                        <wps:cNvPr id="72" name="矩形 13"/>
                        <wps:cNvSpPr/>
                        <wps:spPr>
                          <a:xfrm>
                            <a:off x="4551" y="52615"/>
                            <a:ext cx="8546" cy="1175"/>
                          </a:xfrm>
                          <a:prstGeom prst="rect">
                            <a:avLst/>
                          </a:prstGeom>
                          <a:solidFill>
                            <a:srgbClr val="D8D8D8"/>
                          </a:solidFill>
                          <a:ln w="25400">
                            <a:noFill/>
                          </a:ln>
                        </wps:spPr>
                        <wps:bodyPr anchor="ctr" anchorCtr="0" upright="1"/>
                      </wps:wsp>
                      <wps:wsp>
                        <wps:cNvPr id="73" name="矩形 14"/>
                        <wps:cNvSpPr/>
                        <wps:spPr>
                          <a:xfrm>
                            <a:off x="4577" y="52890"/>
                            <a:ext cx="8324" cy="1123"/>
                          </a:xfrm>
                          <a:prstGeom prst="rect">
                            <a:avLst/>
                          </a:prstGeom>
                          <a:solidFill>
                            <a:srgbClr val="AD002D"/>
                          </a:solidFill>
                          <a:ln w="25400" cap="flat" cmpd="sng">
                            <a:solidFill>
                              <a:srgbClr val="845209"/>
                            </a:solidFill>
                            <a:prstDash val="solid"/>
                            <a:miter/>
                            <a:headEnd type="none" w="med" len="med"/>
                            <a:tailEnd type="none" w="med" len="med"/>
                          </a:ln>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pPr>
                                <w:jc w:val="center"/>
                              </w:pPr>
                            </w:p>
                          </w:txbxContent>
                        </wps:txbx>
                        <wps:bodyPr anchor="ctr" anchorCtr="0" upright="1"/>
                      </wps:wsp>
                    </wpg:wgp>
                  </a:graphicData>
                </a:graphic>
              </wp:anchor>
            </w:drawing>
          </mc:Choice>
          <mc:Fallback>
            <w:pict>
              <v:group id="组合 94" o:spid="_x0000_s1026" o:spt="203" style="position:absolute;left:0pt;margin-left:-81.05pt;margin-top:39.65pt;height:43.95pt;width:264.85pt;mso-position-vertical-relative:page;z-index:251689984;mso-width-relative:page;mso-height-relative:page;" coordorigin="4551,52615" coordsize="8546,1398"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">
                <o:lock v:ext="edit" aspectratio="f"/>
                <v:rect id="矩形 13" o:spid="_x0000_s1026" o:spt="1" style="position:absolute;left:4551;top:52615;height:1175;width:8546;v-text-anchor:middle;" fillcolor="#D8D8D8" filled="t" stroked="f" coordsize="21600,21600" o:gfxdata="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jCEsQvQAA&#10;ANsAAAAPAAAAAAAAAAEAIAAAACIAAABkcnMvZG93bnJldi54bWxQSwECFAAUAAAACACHTuJAMy8F&#10;njsAAAA5AAAAEAAAAAAAAAABACAAAAAMAQAAZHJzL3NoYXBleG1sLnhtbFBLBQYAAAAABgAGAFsB&#10;AAC2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euW0Eb4AAADb&#10;AAAADwAAAGRycy9kb3ducmV2LnhtbEWP3WoCMRSE7wXfIZxC7zSrhVVWoxRBWgUp2i3i3WFz3Cxu&#10;TpZN/Gmf3hQEL4eZ+YaZzm+2FhdqfeVYwaCfgCAunK64VJB/L3tjED4ga6wdk4Jf8jCfdTtTzLS7&#10;8pYuu1CKCGGfoQITQpNJ6QtDFn3fNcTRO7rWYoiyLaVu8RrhtpbDJEmlxYrjgsGGFoaK0+5sFXzl&#10;5vCBa9rbzfr0k79XmP6tUqVeXwbJBESgW3iGH+1PrWD0Bv9f4g+Qszt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euW0Eb4A&#10;AADbAAAADwAAAAAAAAABACAAAAAiAAAAZHJzL2Rvd25yZXYueG1sUEsBAhQAFAAAAAgAh07iQDMv&#10;BZ47AAAAOQAAABAAAAAAAAAAAQAgAAAADQEAAGRycy9zaGFwZXhtbC54bWxQSwUGAAAAAAYABgBb&#10;AQAAtwMAAAAA&#10;">
                  <v:fill on="t" focussize="0,0"/>
                  <v:stroke weight="2pt" color="#845209" joinstyle="miter"/>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pPr>
                          <w:jc w:val="center"/>
                        </w:pPr>
                      </w:p>
                    </w:txbxContent>
                  </v:textbox>
                </v:rect>
                <w10:anchorlock/>
              </v:group>
            </w:pict>
          </mc:Fallback>
        </mc:AlternateContent>
      </w:r>
      <w:r>
        <w:rPr>
          <w:rFonts w:hint="eastAsia" w:ascii="仿宋_GB2312" w:eastAsia="仿宋_GB2312" w:hAnsiTheme="majorEastAsia"/>
          <w:color w:val="000000"/>
          <w:kern w:val="0"/>
          <w:sz w:val="32"/>
          <w:szCs w:val="32"/>
        </w:rPr>
        <w:t>待费反映单位按规定开支的各类公务接待（含外宾接待）支出。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（十三）其</w:t>
      </w:r>
      <w:r>
        <w:rPr>
          <w:rFonts w:ascii="仿宋_GB2312" w:eastAsia="仿宋_GB2312" w:hAnsiTheme="majorEastAsia"/>
          <w:b/>
          <w:bCs/>
          <w:color w:val="000000"/>
          <w:kern w:val="0"/>
          <w:sz w:val="32"/>
          <w:szCs w:val="32"/>
        </w:rPr>
        <mc:AlternateContent>
          <mc:Choice Requires="wpg">
            <w:drawing>
              <wp:anchor distT="0" distB="0" distL="114300" distR="114300" simplePos="0" relativeHeight="251691008" behindDoc="0" locked="1" layoutInCell="1" allowOverlap="1">
                <wp:simplePos x="0" y="0"/>
                <wp:positionH relativeFrom="column">
                  <wp:posOffset>-1029335</wp:posOffset>
                </wp:positionH>
                <wp:positionV relativeFrom="page">
                  <wp:posOffset>503555</wp:posOffset>
                </wp:positionV>
                <wp:extent cx="3363595" cy="558165"/>
                <wp:effectExtent l="2540" t="0" r="5715" b="13335"/>
                <wp:wrapNone/>
                <wp:docPr id="77" name="组合 97"/>
                <wp:cNvGraphicFramePr/>
                <a:graphic xmlns:a="http://schemas.openxmlformats.org/drawingml/2006/main">
                  <a:graphicData uri="http://schemas.microsoft.com/office/word/2010/wordprocessingGroup">
                    <wpg:wgp>
                      <wpg:cNvGrpSpPr/>
                      <wpg:grpSpPr>
                        <a:xfrm>
                          <a:off x="0" y="0"/>
                          <a:ext cx="3363595" cy="558165"/>
                          <a:chOff x="4551" y="52615"/>
                          <a:chExt cx="8546" cy="1398"/>
                        </a:xfrm>
                      </wpg:grpSpPr>
                      <wps:wsp>
                        <wps:cNvPr id="75" name="矩形 13"/>
                        <wps:cNvSpPr/>
                        <wps:spPr>
                          <a:xfrm>
                            <a:off x="4551" y="52615"/>
                            <a:ext cx="8546" cy="1175"/>
                          </a:xfrm>
                          <a:prstGeom prst="rect">
                            <a:avLst/>
                          </a:prstGeom>
                          <a:solidFill>
                            <a:srgbClr val="D8D8D8"/>
                          </a:solidFill>
                          <a:ln w="25400">
                            <a:noFill/>
                          </a:ln>
                        </wps:spPr>
                        <wps:bodyPr anchor="ctr" anchorCtr="0" upright="1"/>
                      </wps:wsp>
                      <wps:wsp>
                        <wps:cNvPr id="76" name="矩形 14"/>
                        <wps:cNvSpPr/>
                        <wps:spPr>
                          <a:xfrm>
                            <a:off x="4577" y="52890"/>
                            <a:ext cx="8324" cy="1123"/>
                          </a:xfrm>
                          <a:prstGeom prst="rect">
                            <a:avLst/>
                          </a:prstGeom>
                          <a:solidFill>
                            <a:srgbClr val="AD002D"/>
                          </a:solidFill>
                          <a:ln w="25400" cap="flat" cmpd="sng">
                            <a:solidFill>
                              <a:srgbClr val="845209"/>
                            </a:solidFill>
                            <a:prstDash val="solid"/>
                            <a:miter/>
                            <a:headEnd type="none" w="med" len="med"/>
                            <a:tailEnd type="none" w="med" len="med"/>
                          </a:ln>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pPr>
                                <w:jc w:val="center"/>
                              </w:pPr>
                            </w:p>
                          </w:txbxContent>
                        </wps:txbx>
                        <wps:bodyPr anchor="ctr" anchorCtr="0" upright="1"/>
                      </wps:wsp>
                    </wpg:wgp>
                  </a:graphicData>
                </a:graphic>
              </wp:anchor>
            </w:drawing>
          </mc:Choice>
          <mc:Fallback>
            <w:pict>
              <v:group id="组合 97" o:spid="_x0000_s1026" o:spt="203" style="position:absolute;left:0pt;margin-left:-81.05pt;margin-top:39.65pt;height:43.95pt;width:264.85pt;mso-position-vertical-relative:page;z-index:251691008;mso-width-relative:page;mso-height-relative:page;" coordorigin="4551,52615" coordsize="8546,1398"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">
                <o:lock v:ext="edit" aspectratio="f"/>
                <v:rect id="矩形 13" o:spid="_x0000_s1026" o:spt="1" style="position:absolute;left:4551;top:52615;height:1175;width:8546;v-text-anchor:middle;" fillcolor="#D8D8D8" filled="t" stroked="f" coordsize="21600,21600" o:gfxdata="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7OHTZL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apIXib4AAADb&#10;AAAADwAAAGRycy9kb3ducmV2LnhtbEWPW4vCMBSE3xf8D+EIvq2pPnSXahQRxAsssloR3w7NsSk2&#10;J6WJl91fbxYWfBxm5htmPH3YWtyo9ZVjBYN+AoK4cLriUkG+X7x/gvABWWPtmBT8kIfppPM2xky7&#10;O3/TbRdKESHsM1RgQmgyKX1hyKLvu4Y4emfXWgxRtqXULd4j3NZymCSptFhxXDDY0NxQcdldrYJt&#10;bk5L3NDRfm0uh3xWYfq7TpXqdQfJCESgR3iF/9srreAjhb8v8QfIyR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pIXib4A&#10;AADbAAAADwAAAAAAAAABACAAAAAiAAAAZHJzL2Rvd25yZXYueG1sUEsBAhQAFAAAAAgAh07iQDMv&#10;BZ47AAAAOQAAABAAAAAAAAAAAQAgAAAADQEAAGRycy9zaGFwZXhtbC54bWxQSwUGAAAAAAYABgBb&#10;AQAAtwMAAAAA&#10;">
                  <v:fill on="t" focussize="0,0"/>
                  <v:stroke weight="2pt" color="#845209" joinstyle="miter"/>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pPr>
                          <w:jc w:val="center"/>
                        </w:pPr>
                      </w:p>
                    </w:txbxContent>
                  </v:textbox>
                </v:rect>
                <w10:anchorlock/>
              </v:group>
            </w:pict>
          </mc:Fallback>
        </mc:AlternateContent>
      </w:r>
      <w:r>
        <w:rPr>
          <w:rFonts w:hint="eastAsia" w:ascii="仿宋_GB2312" w:eastAsia="仿宋_GB2312" w:hAnsiTheme="majorEastAsia"/>
          <w:b/>
          <w:bCs/>
          <w:color w:val="000000"/>
          <w:kern w:val="0"/>
          <w:sz w:val="32"/>
          <w:szCs w:val="32"/>
        </w:rPr>
        <w:t>他交通费用：</w:t>
      </w:r>
      <w:r>
        <w:rPr>
          <w:rFonts w:hint="eastAsia" w:ascii="仿宋_GB2312" w:eastAsia="仿宋_GB2312" w:hAnsiTheme="majorEastAsia"/>
          <w:color w:val="000000"/>
          <w:kern w:val="0"/>
          <w:sz w:val="32"/>
          <w:szCs w:val="32"/>
        </w:rPr>
        <w:t>填列单位除公务用车运行维护费以外的其他交通费用。如公务交通补贴、租车费用、出租车费用、飞机、船舶等的燃料费、维修费、保险费等。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（十四）公务用车购置：</w:t>
      </w:r>
      <w:r>
        <w:rPr>
          <w:rFonts w:hint="eastAsia" w:ascii="仿宋_GB2312" w:eastAsia="仿宋_GB2312" w:hAnsiTheme="majorEastAsia"/>
          <w:color w:val="000000"/>
          <w:kern w:val="0"/>
          <w:sz w:val="32"/>
          <w:szCs w:val="32"/>
        </w:rPr>
        <w:t>填列单位公务用车购置支出（含车辆购置税、牌照费）。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（十五）其他交通工具购置：</w:t>
      </w:r>
      <w:r>
        <w:rPr>
          <w:rFonts w:hint="eastAsia" w:ascii="仿宋_GB2312" w:eastAsia="仿宋_GB2312" w:hAnsiTheme="majorEastAsia"/>
          <w:color w:val="000000"/>
          <w:kern w:val="0"/>
          <w:sz w:val="32"/>
          <w:szCs w:val="32"/>
        </w:rPr>
        <w:t>填列单位除公务用车外的其他各类交通工具（如船舶、飞机）购置支出（含车辆购置税、牌照费）。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（十六）机关运行经费：</w:t>
      </w:r>
      <w:r>
        <w:rPr>
          <w:rFonts w:hint="eastAsia" w:ascii="仿宋_GB2312" w:eastAsia="仿宋_GB2312" w:hAnsiTheme="major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after="0" w:line="560" w:lineRule="exact"/>
        <w:ind w:firstLine="643" w:firstLineChars="200"/>
        <w:rPr>
          <w:rFonts w:ascii="仿宋_GB2312" w:eastAsia="仿宋_GB2312" w:cs="ArialUnicodeMS" w:hAnsiTheme="minorHAnsi"/>
          <w:kern w:val="0"/>
          <w:sz w:val="32"/>
          <w:szCs w:val="32"/>
        </w:rPr>
      </w:pPr>
      <w:r>
        <w:rPr>
          <w:rFonts w:hint="eastAsia" w:ascii="仿宋_GB2312" w:eastAsia="仿宋_GB2312" w:hAnsiTheme="majorEastAsia"/>
          <w:b/>
          <w:bCs/>
          <w:color w:val="000000"/>
          <w:kern w:val="0"/>
          <w:sz w:val="32"/>
          <w:szCs w:val="32"/>
        </w:rPr>
        <w:t>（十七）经费形式:</w:t>
      </w:r>
      <w:r>
        <w:rPr>
          <w:rFonts w:hint="eastAsia" w:ascii="仿宋_GB2312" w:eastAsia="仿宋_GB2312" w:hAnsiTheme="majorEastAsia"/>
          <w:color w:val="000000"/>
          <w:kern w:val="0"/>
          <w:sz w:val="32"/>
          <w:szCs w:val="32"/>
        </w:rPr>
        <w:t>按照经费来源，</w:t>
      </w:r>
      <w:r>
        <w:rPr>
          <w:rFonts w:hint="eastAsia" w:ascii="仿宋_GB2312" w:eastAsia="仿宋_GB2312" w:cs="ArialUnicodeMS" w:hAnsiTheme="minorHAnsi"/>
          <w:kern w:val="0"/>
          <w:sz w:val="32"/>
          <w:szCs w:val="32"/>
        </w:rPr>
        <w:t>可分为财政拨款、财政性资金基本保证、财政性资金定额或定项补助、财政性资金零补助四类。</w:t>
      </w:r>
    </w:p>
    <w:p>
      <w:pPr>
        <w:pStyle w:val="6"/>
        <w:rPr>
          <w:rFonts w:ascii="仿宋_GB2312" w:eastAsia="仿宋_GB2312" w:cs="ArialUnicodeMS" w:hAnsiTheme="minorHAnsi"/>
          <w:kern w:val="0"/>
          <w:sz w:val="32"/>
          <w:szCs w:val="32"/>
        </w:rPr>
        <w:sectPr>
          <w:pgSz w:w="11906" w:h="16838"/>
          <w:pgMar w:top="2098" w:right="1474" w:bottom="1985" w:left="1588" w:header="851" w:footer="992" w:gutter="0"/>
          <w:cols w:space="425" w:num="1"/>
          <w:docGrid w:type="lines" w:linePitch="312" w:charSpace="0"/>
        </w:sectPr>
      </w:pPr>
    </w:p>
    <w:p>
      <w:pPr>
        <w:widowControl/>
        <w:spacing w:after="0" w:line="560" w:lineRule="exact"/>
        <w:ind w:firstLine="640" w:firstLineChars="200"/>
        <w:rPr>
          <w:rFonts w:ascii="仿宋_GB2312" w:eastAsia="仿宋_GB2312" w:cs="ArialUnicodeMS" w:hAnsiTheme="minorHAnsi"/>
          <w:kern w:val="0"/>
          <w:sz w:val="32"/>
          <w:szCs w:val="32"/>
        </w:rPr>
      </w:pPr>
      <w:r>
        <w:rPr>
          <w:rFonts w:ascii="仿宋_GB2312" w:eastAsia="仿宋_GB2312" w:cs="ArialUnicodeMS" w:hAnsiTheme="minorHAnsi"/>
          <w:kern w:val="0"/>
          <w:sz w:val="32"/>
          <w:szCs w:val="32"/>
        </w:rPr>
        <w:drawing>
          <wp:anchor distT="0" distB="0" distL="114300" distR="114300" simplePos="0" relativeHeight="251663360" behindDoc="1" locked="0" layoutInCell="1" allowOverlap="1">
            <wp:simplePos x="0" y="0"/>
            <wp:positionH relativeFrom="column">
              <wp:posOffset>-990600</wp:posOffset>
            </wp:positionH>
            <wp:positionV relativeFrom="paragraph">
              <wp:posOffset>-1355090</wp:posOffset>
            </wp:positionV>
            <wp:extent cx="7590155" cy="10735945"/>
            <wp:effectExtent l="0" t="0" r="10795" b="8255"/>
            <wp:wrapNone/>
            <wp:docPr id="101" name="图片 101"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图片 101" descr="3"/>
                    <pic:cNvPicPr>
                      <a:picLocks noChangeAspect="1"/>
                    </pic:cNvPicPr>
                  </pic:nvPicPr>
                  <pic:blipFill>
                    <a:blip r:embed="rId13"/>
                    <a:stretch>
                      <a:fillRect/>
                    </a:stretch>
                  </pic:blipFill>
                  <pic:spPr>
                    <a:xfrm>
                      <a:off x="0" y="0"/>
                      <a:ext cx="7590155" cy="10735945"/>
                    </a:xfrm>
                    <a:prstGeom prst="rect">
                      <a:avLst/>
                    </a:prstGeom>
                  </pic:spPr>
                </pic:pic>
              </a:graphicData>
            </a:graphic>
          </wp:anchor>
        </w:drawing>
      </w:r>
    </w:p>
    <w:sectPr>
      <w:pgSz w:w="11906" w:h="16838"/>
      <w:pgMar w:top="2098" w:right="1474" w:bottom="1985" w:left="1588"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embedRegular r:id="rId1" w:fontKey="{0700A8AE-E709-4072-AD95-3DC0E45006E6}"/>
  </w:font>
  <w:font w:name="黑体">
    <w:panose1 w:val="02010609060101010101"/>
    <w:charset w:val="86"/>
    <w:family w:val="auto"/>
    <w:pitch w:val="default"/>
    <w:sig w:usb0="800002BF" w:usb1="38CF7CFA" w:usb2="00000016" w:usb3="00000000" w:csb0="00040001" w:csb1="00000000"/>
    <w:embedRegular r:id="rId2" w:fontKey="{57E45200-FFE2-4258-A843-396FBD661353}"/>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3" w:fontKey="{56A92653-3705-4CB9-A45B-E1ED2AB1A5B4}"/>
  </w:font>
  <w:font w:name="Cambria">
    <w:panose1 w:val="02040503050406030204"/>
    <w:charset w:val="00"/>
    <w:family w:val="roman"/>
    <w:pitch w:val="default"/>
    <w:sig w:usb0="E00002FF" w:usb1="400004FF" w:usb2="00000000" w:usb3="00000000" w:csb0="2000019F" w:csb1="00000000"/>
    <w:embedRegular r:id="rId4" w:fontKey="{40334FC9-DA4F-48D5-91CA-7C8CBA214BF0}"/>
  </w:font>
  <w:font w:name="微软雅黑">
    <w:panose1 w:val="020B0503020204020204"/>
    <w:charset w:val="86"/>
    <w:family w:val="swiss"/>
    <w:pitch w:val="default"/>
    <w:sig w:usb0="80000287" w:usb1="280F3C52" w:usb2="00000016" w:usb3="00000000" w:csb0="0004001F" w:csb1="00000000"/>
    <w:embedRegular r:id="rId5" w:fontKey="{FB77A011-ECF1-48AC-A3B3-428AE19F4D19}"/>
  </w:font>
  <w:font w:name="楷体_GB2312">
    <w:altName w:val="楷体"/>
    <w:panose1 w:val="00000000000000000000"/>
    <w:charset w:val="86"/>
    <w:family w:val="modern"/>
    <w:pitch w:val="default"/>
    <w:sig w:usb0="00000000" w:usb1="00000000" w:usb2="00000010" w:usb3="00000000" w:csb0="00040000" w:csb1="00000000"/>
    <w:embedRegular r:id="rId6" w:fontKey="{740EFF21-871F-4CEF-996F-FC22E0896AD3}"/>
  </w:font>
  <w:font w:name="楷体">
    <w:panose1 w:val="02010609060101010101"/>
    <w:charset w:val="86"/>
    <w:family w:val="modern"/>
    <w:pitch w:val="default"/>
    <w:sig w:usb0="800002BF" w:usb1="38CF7CFA" w:usb2="00000016" w:usb3="00000000" w:csb0="00040001" w:csb1="00000000"/>
    <w:embedRegular r:id="rId7" w:fontKey="{153882F8-D109-403F-B43B-F5C1E4BEFD2A}"/>
  </w:font>
  <w:font w:name="仿宋_GB2312">
    <w:altName w:val="仿宋"/>
    <w:panose1 w:val="00000000000000000000"/>
    <w:charset w:val="86"/>
    <w:family w:val="modern"/>
    <w:pitch w:val="default"/>
    <w:sig w:usb0="00000000" w:usb1="00000000" w:usb2="00000010" w:usb3="00000000" w:csb0="00040000" w:csb1="00000000"/>
    <w:embedRegular r:id="rId8" w:fontKey="{F50821A4-7BEB-43FD-A306-5C806E15B721}"/>
  </w:font>
  <w:font w:name="ArialUnicodeMS">
    <w:altName w:val="Malgun Gothic"/>
    <w:panose1 w:val="00000000000000000000"/>
    <w:charset w:val="81"/>
    <w:family w:val="auto"/>
    <w:pitch w:val="default"/>
    <w:sig w:usb0="00000000" w:usb1="00000000" w:usb2="00000010" w:usb3="00000000" w:csb0="00080001" w:csb1="00000000"/>
    <w:embedRegular r:id="rId9" w:fontKey="{7F86192A-9BB5-4842-A4AE-B333F4469725}"/>
  </w:font>
  <w:font w:name="仿宋">
    <w:panose1 w:val="02010609060101010101"/>
    <w:charset w:val="86"/>
    <w:family w:val="modern"/>
    <w:pitch w:val="default"/>
    <w:sig w:usb0="800002BF" w:usb1="38CF7CFA" w:usb2="00000016" w:usb3="00000000" w:csb0="00040001" w:csb1="00000000"/>
    <w:embedRegular r:id="rId10" w:fontKey="{AA280D24-8798-4F6F-A4EE-BD4D711310D2}"/>
  </w:font>
  <w:font w:name="___WRD_EMBED_SUB_48">
    <w:altName w:val="微软雅黑"/>
    <w:panose1 w:val="00000000000000000000"/>
    <w:charset w:val="86"/>
    <w:family w:val="modern"/>
    <w:pitch w:val="default"/>
    <w:sig w:usb0="00000000" w:usb1="00000000" w:usb2="00000010" w:usb3="00000000" w:csb0="00040000" w:csb1="00000000"/>
    <w:embedRegular r:id="rId11" w:fontKey="{B4C4DC9D-5B24-4315-8180-09AB631F3DE3}"/>
  </w:font>
  <w:font w:name="MS-UIGothic,Bold">
    <w:altName w:val="Malgun Gothic"/>
    <w:panose1 w:val="00000000000000000000"/>
    <w:charset w:val="81"/>
    <w:family w:val="auto"/>
    <w:pitch w:val="default"/>
    <w:sig w:usb0="00000000" w:usb1="00000000" w:usb2="00000010" w:usb3="00000000" w:csb0="00080000" w:csb1="00000000"/>
    <w:embedRegular r:id="rId12" w:fontKey="{F54335C4-9AB8-4BC6-AD56-9A9CA231E31F}"/>
  </w:font>
  <w:font w:name="DengXian-Regular">
    <w:altName w:val="宋体"/>
    <w:panose1 w:val="00000000000000000000"/>
    <w:charset w:val="86"/>
    <w:family w:val="auto"/>
    <w:pitch w:val="default"/>
    <w:sig w:usb0="00000000" w:usb1="00000000" w:usb2="00000010" w:usb3="00000000" w:csb0="00040001" w:csb1="00000000"/>
    <w:embedRegular r:id="rId13" w:fontKey="{E268D49D-1009-44D4-8AAB-D1D7A86C5AAA}"/>
  </w:font>
  <w:font w:name="DengXian-Bold">
    <w:altName w:val="宋体"/>
    <w:panose1 w:val="00000000000000000000"/>
    <w:charset w:val="86"/>
    <w:family w:val="auto"/>
    <w:pitch w:val="default"/>
    <w:sig w:usb0="00000000" w:usb1="00000000" w:usb2="00000010" w:usb3="00000000" w:csb0="00040001" w:csb1="00000000"/>
    <w:embedRegular r:id="rId14" w:fontKey="{A3DB5608-45DE-4F4E-982F-39BEFC0880F9}"/>
  </w:font>
  <w:font w:name="TimesNewRomanPSMT">
    <w:altName w:val="Arial"/>
    <w:panose1 w:val="00000000000000000000"/>
    <w:charset w:val="00"/>
    <w:family w:val="swiss"/>
    <w:pitch w:val="default"/>
    <w:sig w:usb0="00000000" w:usb1="00000000" w:usb2="00000000" w:usb3="00000000" w:csb0="00000001" w:csb1="00000000"/>
  </w:font>
  <w:font w:name="Gulim">
    <w:panose1 w:val="020B0600000101010101"/>
    <w:charset w:val="81"/>
    <w:family w:val="auto"/>
    <w:pitch w:val="default"/>
    <w:sig w:usb0="B00002AF" w:usb1="69D77CFB" w:usb2="00000030" w:usb3="00000000" w:csb0="4008009F" w:csb1="DFD70000"/>
  </w:font>
  <w:font w:name="Malgun Gothic">
    <w:panose1 w:val="020B0503020000020004"/>
    <w:charset w:val="81"/>
    <w:family w:val="auto"/>
    <w:pitch w:val="default"/>
    <w:sig w:usb0="900002AF" w:usb1="01D77CFB" w:usb2="00000012" w:usb3="00000000" w:csb0="0008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480" w:lineRule="auto"/>
      </w:pPr>
      <w:r>
        <w:separator/>
      </w:r>
    </w:p>
  </w:footnote>
  <w:footnote w:type="continuationSeparator" w:id="1">
    <w:p>
      <w:pPr>
        <w:spacing w:before="0" w:after="0" w:line="48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DB9A87"/>
    <w:multiLevelType w:val="singleLevel"/>
    <w:tmpl w:val="45DB9A87"/>
    <w:lvl w:ilvl="0" w:tentative="0">
      <w:start w:val="3"/>
      <w:numFmt w:val="chineseCounting"/>
      <w:suff w:val="nothing"/>
      <w:lvlText w:val="（%1）"/>
      <w:lvlJc w:val="left"/>
      <w:rPr>
        <w:rFonts w:hint="eastAsia"/>
        <w:lang w:val="en-U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8"/>
  <w:embedTrueTypeFonts/>
  <w:saveSubsetFonts/>
  <w:bordersDoNotSurroundHeader w:val="1"/>
  <w:bordersDoNotSurroundFooter w:val="1"/>
  <w:documentProtection w:enforcement="0"/>
  <w:defaultTabStop w:val="420"/>
  <w:drawingGridHorizontalSpacing w:val="105"/>
  <w:drawingGridVerticalSpacing w:val="156"/>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gxNmMyMWJlNGMxMmU4ZGY0Y2NkZGI5ZjQ4ODE4OTQifQ=="/>
  </w:docVars>
  <w:rsids>
    <w:rsidRoot w:val="003C1413"/>
    <w:rsid w:val="00024E7F"/>
    <w:rsid w:val="000316F0"/>
    <w:rsid w:val="000475A0"/>
    <w:rsid w:val="000838C3"/>
    <w:rsid w:val="0009318D"/>
    <w:rsid w:val="00096C31"/>
    <w:rsid w:val="000B2446"/>
    <w:rsid w:val="000D7C65"/>
    <w:rsid w:val="000E2F81"/>
    <w:rsid w:val="000E7B19"/>
    <w:rsid w:val="00117946"/>
    <w:rsid w:val="00117E2C"/>
    <w:rsid w:val="00124FB6"/>
    <w:rsid w:val="00146C47"/>
    <w:rsid w:val="00152FB8"/>
    <w:rsid w:val="00176658"/>
    <w:rsid w:val="0018239E"/>
    <w:rsid w:val="001B3410"/>
    <w:rsid w:val="001C030D"/>
    <w:rsid w:val="001C2821"/>
    <w:rsid w:val="001C4A84"/>
    <w:rsid w:val="001E5902"/>
    <w:rsid w:val="002101A9"/>
    <w:rsid w:val="00225AAA"/>
    <w:rsid w:val="00233705"/>
    <w:rsid w:val="00275CA2"/>
    <w:rsid w:val="002A3CF6"/>
    <w:rsid w:val="002A65A5"/>
    <w:rsid w:val="002C04C4"/>
    <w:rsid w:val="002D08B0"/>
    <w:rsid w:val="002D1AE3"/>
    <w:rsid w:val="002E63FA"/>
    <w:rsid w:val="002F2ECE"/>
    <w:rsid w:val="00341253"/>
    <w:rsid w:val="00341C8F"/>
    <w:rsid w:val="003515E1"/>
    <w:rsid w:val="0035463A"/>
    <w:rsid w:val="00365BC2"/>
    <w:rsid w:val="00371525"/>
    <w:rsid w:val="00391D9D"/>
    <w:rsid w:val="00391E1D"/>
    <w:rsid w:val="003B6C51"/>
    <w:rsid w:val="003C1413"/>
    <w:rsid w:val="003C549F"/>
    <w:rsid w:val="003D397F"/>
    <w:rsid w:val="003D5A16"/>
    <w:rsid w:val="003E7DB3"/>
    <w:rsid w:val="003F7EC9"/>
    <w:rsid w:val="00403523"/>
    <w:rsid w:val="00413754"/>
    <w:rsid w:val="00431175"/>
    <w:rsid w:val="00457716"/>
    <w:rsid w:val="004754C5"/>
    <w:rsid w:val="004939BA"/>
    <w:rsid w:val="004A69EF"/>
    <w:rsid w:val="004B6E37"/>
    <w:rsid w:val="004C32BA"/>
    <w:rsid w:val="004F2570"/>
    <w:rsid w:val="00550F99"/>
    <w:rsid w:val="005571C6"/>
    <w:rsid w:val="00575922"/>
    <w:rsid w:val="00592888"/>
    <w:rsid w:val="005A6C90"/>
    <w:rsid w:val="005B737D"/>
    <w:rsid w:val="005E3FB0"/>
    <w:rsid w:val="005F4B66"/>
    <w:rsid w:val="005F5208"/>
    <w:rsid w:val="00641318"/>
    <w:rsid w:val="0064405D"/>
    <w:rsid w:val="00651C68"/>
    <w:rsid w:val="006644F5"/>
    <w:rsid w:val="00685302"/>
    <w:rsid w:val="00695557"/>
    <w:rsid w:val="006B7F3D"/>
    <w:rsid w:val="006C47E8"/>
    <w:rsid w:val="006D4EA7"/>
    <w:rsid w:val="006F3231"/>
    <w:rsid w:val="0070012A"/>
    <w:rsid w:val="0070664B"/>
    <w:rsid w:val="007071B8"/>
    <w:rsid w:val="0072531A"/>
    <w:rsid w:val="007414DE"/>
    <w:rsid w:val="007458CD"/>
    <w:rsid w:val="0077375C"/>
    <w:rsid w:val="007905A9"/>
    <w:rsid w:val="007C4112"/>
    <w:rsid w:val="007E5500"/>
    <w:rsid w:val="007F055B"/>
    <w:rsid w:val="0080644C"/>
    <w:rsid w:val="00811C2F"/>
    <w:rsid w:val="00812EFC"/>
    <w:rsid w:val="00833D46"/>
    <w:rsid w:val="00840A97"/>
    <w:rsid w:val="008B5B2B"/>
    <w:rsid w:val="008C0149"/>
    <w:rsid w:val="008D5DED"/>
    <w:rsid w:val="008E25CA"/>
    <w:rsid w:val="008E515A"/>
    <w:rsid w:val="008F34FC"/>
    <w:rsid w:val="009012C7"/>
    <w:rsid w:val="00944CD7"/>
    <w:rsid w:val="009719CF"/>
    <w:rsid w:val="009831B2"/>
    <w:rsid w:val="009875ED"/>
    <w:rsid w:val="009A1ABE"/>
    <w:rsid w:val="009E21A4"/>
    <w:rsid w:val="009F22C6"/>
    <w:rsid w:val="009F3FAE"/>
    <w:rsid w:val="00A07E50"/>
    <w:rsid w:val="00A11D80"/>
    <w:rsid w:val="00A15397"/>
    <w:rsid w:val="00A27918"/>
    <w:rsid w:val="00A35CE0"/>
    <w:rsid w:val="00A4462E"/>
    <w:rsid w:val="00A44AA4"/>
    <w:rsid w:val="00A478DB"/>
    <w:rsid w:val="00A61623"/>
    <w:rsid w:val="00A702F3"/>
    <w:rsid w:val="00A84687"/>
    <w:rsid w:val="00A8561D"/>
    <w:rsid w:val="00AA0453"/>
    <w:rsid w:val="00AB0A0E"/>
    <w:rsid w:val="00AC3B22"/>
    <w:rsid w:val="00AD3B6E"/>
    <w:rsid w:val="00AE58DA"/>
    <w:rsid w:val="00AF1A08"/>
    <w:rsid w:val="00B1751F"/>
    <w:rsid w:val="00B56722"/>
    <w:rsid w:val="00B74D39"/>
    <w:rsid w:val="00B91DA4"/>
    <w:rsid w:val="00BB7A24"/>
    <w:rsid w:val="00BE6031"/>
    <w:rsid w:val="00BF0580"/>
    <w:rsid w:val="00BF4EFF"/>
    <w:rsid w:val="00C12630"/>
    <w:rsid w:val="00C25885"/>
    <w:rsid w:val="00C34562"/>
    <w:rsid w:val="00C3774E"/>
    <w:rsid w:val="00C56DE6"/>
    <w:rsid w:val="00C57456"/>
    <w:rsid w:val="00C57501"/>
    <w:rsid w:val="00C65387"/>
    <w:rsid w:val="00C87FAB"/>
    <w:rsid w:val="00C91FF7"/>
    <w:rsid w:val="00C94E53"/>
    <w:rsid w:val="00CB0928"/>
    <w:rsid w:val="00D0048E"/>
    <w:rsid w:val="00D23E7A"/>
    <w:rsid w:val="00D61063"/>
    <w:rsid w:val="00DB35AF"/>
    <w:rsid w:val="00DD3B95"/>
    <w:rsid w:val="00DD72D7"/>
    <w:rsid w:val="00DF5B88"/>
    <w:rsid w:val="00E0589E"/>
    <w:rsid w:val="00E241FA"/>
    <w:rsid w:val="00E2595E"/>
    <w:rsid w:val="00E35374"/>
    <w:rsid w:val="00E4763F"/>
    <w:rsid w:val="00E50C19"/>
    <w:rsid w:val="00E64655"/>
    <w:rsid w:val="00E73081"/>
    <w:rsid w:val="00E777F9"/>
    <w:rsid w:val="00E80270"/>
    <w:rsid w:val="00E856C9"/>
    <w:rsid w:val="00E8672A"/>
    <w:rsid w:val="00EB6A8B"/>
    <w:rsid w:val="00EF38C6"/>
    <w:rsid w:val="00F30DA7"/>
    <w:rsid w:val="00F31290"/>
    <w:rsid w:val="00F6782D"/>
    <w:rsid w:val="00F679C7"/>
    <w:rsid w:val="00F7711A"/>
    <w:rsid w:val="00F93D9D"/>
    <w:rsid w:val="00FA0D58"/>
    <w:rsid w:val="00FA56F4"/>
    <w:rsid w:val="00FB4EDA"/>
    <w:rsid w:val="00FC5A18"/>
    <w:rsid w:val="00FD0A28"/>
    <w:rsid w:val="00FD3BD5"/>
    <w:rsid w:val="00FE3700"/>
    <w:rsid w:val="00FE3DC8"/>
    <w:rsid w:val="04073F84"/>
    <w:rsid w:val="0B60750A"/>
    <w:rsid w:val="10686488"/>
    <w:rsid w:val="10DF728A"/>
    <w:rsid w:val="1264200E"/>
    <w:rsid w:val="141C5B77"/>
    <w:rsid w:val="18D8339D"/>
    <w:rsid w:val="1A21388F"/>
    <w:rsid w:val="1A3A51AF"/>
    <w:rsid w:val="1A570D2F"/>
    <w:rsid w:val="1F090566"/>
    <w:rsid w:val="26626097"/>
    <w:rsid w:val="28FB0B8D"/>
    <w:rsid w:val="2A9870FC"/>
    <w:rsid w:val="2D2B7942"/>
    <w:rsid w:val="2D46481D"/>
    <w:rsid w:val="2E733B28"/>
    <w:rsid w:val="31852B5A"/>
    <w:rsid w:val="32D01238"/>
    <w:rsid w:val="3DFC59A8"/>
    <w:rsid w:val="3ECF245E"/>
    <w:rsid w:val="3FB96314"/>
    <w:rsid w:val="4DAA6E40"/>
    <w:rsid w:val="53603E21"/>
    <w:rsid w:val="53A44FAF"/>
    <w:rsid w:val="594329EC"/>
    <w:rsid w:val="5BEE1540"/>
    <w:rsid w:val="5DE61A5D"/>
    <w:rsid w:val="63C04243"/>
    <w:rsid w:val="649C01C7"/>
    <w:rsid w:val="670442F2"/>
    <w:rsid w:val="699A3F60"/>
    <w:rsid w:val="72902E62"/>
    <w:rsid w:val="73C61104"/>
    <w:rsid w:val="776452EA"/>
    <w:rsid w:val="7DC663B9"/>
    <w:rsid w:val="7FD21032"/>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semiHidden="0"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1"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8"/>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29"/>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30"/>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31"/>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5">
    <w:name w:val="Default Paragraph Font"/>
    <w:semiHidden/>
    <w:unhideWhenUsed/>
    <w:qFormat/>
    <w:uiPriority w:val="1"/>
  </w:style>
  <w:style w:type="table" w:default="1" w:styleId="13">
    <w:name w:val="Normal Table"/>
    <w:semiHidden/>
    <w:unhideWhenUsed/>
    <w:qFormat/>
    <w:uiPriority w:val="99"/>
    <w:tblPr>
      <w:tblCellMar>
        <w:top w:w="0" w:type="dxa"/>
        <w:left w:w="108" w:type="dxa"/>
        <w:bottom w:w="0" w:type="dxa"/>
        <w:right w:w="108" w:type="dxa"/>
      </w:tblCellMar>
    </w:tblPr>
  </w:style>
  <w:style w:type="paragraph" w:styleId="6">
    <w:name w:val="caption"/>
    <w:basedOn w:val="1"/>
    <w:next w:val="1"/>
    <w:unhideWhenUsed/>
    <w:qFormat/>
    <w:uiPriority w:val="35"/>
    <w:rPr>
      <w:rFonts w:eastAsia="黑体" w:asciiTheme="majorHAnsi" w:hAnsiTheme="majorHAnsi" w:cstheme="majorBidi"/>
      <w:sz w:val="20"/>
      <w:szCs w:val="20"/>
    </w:rPr>
  </w:style>
  <w:style w:type="paragraph" w:styleId="7">
    <w:name w:val="Date"/>
    <w:basedOn w:val="1"/>
    <w:next w:val="1"/>
    <w:link w:val="32"/>
    <w:semiHidden/>
    <w:unhideWhenUsed/>
    <w:qFormat/>
    <w:uiPriority w:val="99"/>
    <w:pPr>
      <w:ind w:left="100" w:leftChars="2500"/>
    </w:pPr>
  </w:style>
  <w:style w:type="paragraph" w:styleId="8">
    <w:name w:val="Balloon Text"/>
    <w:basedOn w:val="1"/>
    <w:link w:val="20"/>
    <w:semiHidden/>
    <w:unhideWhenUsed/>
    <w:qFormat/>
    <w:uiPriority w:val="99"/>
    <w:rPr>
      <w:sz w:val="18"/>
      <w:szCs w:val="18"/>
    </w:rPr>
  </w:style>
  <w:style w:type="paragraph" w:styleId="9">
    <w:name w:val="footer"/>
    <w:basedOn w:val="1"/>
    <w:link w:val="1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0">
    <w:name w:val="header"/>
    <w:basedOn w:val="1"/>
    <w:link w:val="16"/>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1">
    <w:name w:val="Subtitle"/>
    <w:basedOn w:val="1"/>
    <w:next w:val="1"/>
    <w:link w:val="22"/>
    <w:qFormat/>
    <w:uiPriority w:val="11"/>
    <w:pPr>
      <w:widowControl/>
      <w:spacing w:after="200" w:line="276" w:lineRule="auto"/>
      <w:jc w:val="left"/>
    </w:pPr>
    <w:rPr>
      <w:rFonts w:asciiTheme="majorHAnsi" w:hAnsiTheme="majorHAnsi" w:eastAsiaTheme="majorEastAsia" w:cstheme="majorBidi"/>
      <w:i/>
      <w:iCs/>
      <w:color w:val="F0A22E" w:themeColor="accent1"/>
      <w:spacing w:val="15"/>
      <w:kern w:val="0"/>
      <w:sz w:val="24"/>
      <w14:textFill>
        <w14:solidFill>
          <w14:schemeClr w14:val="accent1"/>
        </w14:solidFill>
      </w14:textFill>
    </w:rPr>
  </w:style>
  <w:style w:type="paragraph" w:styleId="12">
    <w:name w:val="Title"/>
    <w:basedOn w:val="1"/>
    <w:next w:val="1"/>
    <w:link w:val="21"/>
    <w:qFormat/>
    <w:uiPriority w:val="10"/>
    <w:pPr>
      <w:widowControl/>
      <w:pBdr>
        <w:bottom w:val="single" w:color="F0A22E" w:themeColor="accent1" w:sz="8" w:space="4"/>
      </w:pBdr>
      <w:spacing w:after="300"/>
      <w:contextualSpacing/>
      <w:jc w:val="left"/>
    </w:pPr>
    <w:rPr>
      <w:rFonts w:asciiTheme="majorHAnsi" w:hAnsiTheme="majorHAnsi" w:eastAsiaTheme="majorEastAsia" w:cstheme="majorBidi"/>
      <w:color w:val="3B2C24" w:themeColor="text2" w:themeShade="BF"/>
      <w:spacing w:val="5"/>
      <w:kern w:val="28"/>
      <w:sz w:val="52"/>
      <w:szCs w:val="52"/>
    </w:rPr>
  </w:style>
  <w:style w:type="table" w:styleId="14">
    <w:name w:val="Table Grid"/>
    <w:basedOn w:val="13"/>
    <w:qFormat/>
    <w:uiPriority w:val="1"/>
    <w:rPr>
      <w:sz w:val="22"/>
    </w:r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
  </w:style>
  <w:style w:type="character" w:customStyle="1" w:styleId="16">
    <w:name w:val="页眉 字符"/>
    <w:basedOn w:val="15"/>
    <w:link w:val="10"/>
    <w:qFormat/>
    <w:uiPriority w:val="99"/>
    <w:rPr>
      <w:sz w:val="18"/>
      <w:szCs w:val="18"/>
    </w:rPr>
  </w:style>
  <w:style w:type="character" w:customStyle="1" w:styleId="17">
    <w:name w:val="页脚 字符"/>
    <w:basedOn w:val="15"/>
    <w:link w:val="9"/>
    <w:qFormat/>
    <w:uiPriority w:val="99"/>
    <w:rPr>
      <w:sz w:val="18"/>
      <w:szCs w:val="18"/>
    </w:rPr>
  </w:style>
  <w:style w:type="paragraph" w:styleId="18">
    <w:name w:val="No Spacing"/>
    <w:link w:val="19"/>
    <w:qFormat/>
    <w:uiPriority w:val="1"/>
    <w:pPr>
      <w:spacing w:after="160" w:line="480" w:lineRule="auto"/>
    </w:pPr>
    <w:rPr>
      <w:rFonts w:asciiTheme="minorHAnsi" w:hAnsiTheme="minorHAnsi" w:eastAsiaTheme="minorEastAsia" w:cstheme="minorBidi"/>
      <w:sz w:val="22"/>
      <w:szCs w:val="22"/>
      <w:lang w:val="en-US" w:eastAsia="zh-CN" w:bidi="ar-SA"/>
    </w:rPr>
  </w:style>
  <w:style w:type="character" w:customStyle="1" w:styleId="19">
    <w:name w:val="无间隔 字符"/>
    <w:basedOn w:val="15"/>
    <w:link w:val="18"/>
    <w:qFormat/>
    <w:uiPriority w:val="1"/>
    <w:rPr>
      <w:kern w:val="0"/>
      <w:sz w:val="22"/>
    </w:rPr>
  </w:style>
  <w:style w:type="character" w:customStyle="1" w:styleId="20">
    <w:name w:val="批注框文本 字符"/>
    <w:basedOn w:val="15"/>
    <w:link w:val="8"/>
    <w:semiHidden/>
    <w:qFormat/>
    <w:uiPriority w:val="99"/>
    <w:rPr>
      <w:rFonts w:ascii="Times New Roman" w:hAnsi="Times New Roman" w:eastAsia="宋体" w:cs="Times New Roman"/>
      <w:sz w:val="18"/>
      <w:szCs w:val="18"/>
    </w:rPr>
  </w:style>
  <w:style w:type="character" w:customStyle="1" w:styleId="21">
    <w:name w:val="标题 字符"/>
    <w:basedOn w:val="15"/>
    <w:link w:val="12"/>
    <w:qFormat/>
    <w:uiPriority w:val="10"/>
    <w:rPr>
      <w:rFonts w:asciiTheme="majorHAnsi" w:hAnsiTheme="majorHAnsi" w:eastAsiaTheme="majorEastAsia" w:cstheme="majorBidi"/>
      <w:color w:val="3B2C24" w:themeColor="text2" w:themeShade="BF"/>
      <w:spacing w:val="5"/>
      <w:kern w:val="28"/>
      <w:sz w:val="52"/>
      <w:szCs w:val="52"/>
    </w:rPr>
  </w:style>
  <w:style w:type="character" w:customStyle="1" w:styleId="22">
    <w:name w:val="副标题 字符"/>
    <w:basedOn w:val="15"/>
    <w:link w:val="11"/>
    <w:qFormat/>
    <w:uiPriority w:val="11"/>
    <w:rPr>
      <w:rFonts w:asciiTheme="majorHAnsi" w:hAnsiTheme="majorHAnsi" w:eastAsiaTheme="majorEastAsia" w:cstheme="majorBidi"/>
      <w:i/>
      <w:iCs/>
      <w:color w:val="F0A22E" w:themeColor="accent1"/>
      <w:spacing w:val="15"/>
      <w:kern w:val="0"/>
      <w:sz w:val="24"/>
      <w:szCs w:val="24"/>
      <w14:textFill>
        <w14:solidFill>
          <w14:schemeClr w14:val="accent1"/>
        </w14:solidFill>
      </w14:textFill>
    </w:rPr>
  </w:style>
  <w:style w:type="character" w:customStyle="1" w:styleId="23">
    <w:name w:val="Style1"/>
    <w:basedOn w:val="15"/>
    <w:qFormat/>
    <w:uiPriority w:val="1"/>
    <w:rPr>
      <w:rFonts w:asciiTheme="minorHAnsi" w:hAnsiTheme="minorEastAsia" w:eastAsiaTheme="minorEastAsia" w:cstheme="minorBidi"/>
      <w:sz w:val="22"/>
      <w:szCs w:val="22"/>
      <w:lang w:eastAsia="zh-CN"/>
    </w:rPr>
  </w:style>
  <w:style w:type="character" w:customStyle="1" w:styleId="24">
    <w:name w:val="Style2"/>
    <w:basedOn w:val="15"/>
    <w:qFormat/>
    <w:uiPriority w:val="1"/>
    <w:rPr>
      <w:rFonts w:asciiTheme="minorHAnsi" w:hAnsiTheme="minorEastAsia" w:eastAsiaTheme="minorEastAsia" w:cstheme="minorBidi"/>
      <w:sz w:val="22"/>
      <w:szCs w:val="22"/>
      <w:lang w:eastAsia="zh-CN"/>
    </w:rPr>
  </w:style>
  <w:style w:type="character" w:customStyle="1" w:styleId="25">
    <w:name w:val="Style3"/>
    <w:basedOn w:val="15"/>
    <w:qFormat/>
    <w:uiPriority w:val="1"/>
    <w:rPr>
      <w:rFonts w:asciiTheme="minorHAnsi" w:hAnsiTheme="minorEastAsia" w:eastAsiaTheme="minorEastAsia" w:cstheme="minorBidi"/>
      <w:szCs w:val="22"/>
      <w:lang w:eastAsia="zh-CN"/>
    </w:rPr>
  </w:style>
  <w:style w:type="character" w:customStyle="1" w:styleId="26">
    <w:name w:val="Style4"/>
    <w:basedOn w:val="15"/>
    <w:qFormat/>
    <w:uiPriority w:val="1"/>
    <w:rPr>
      <w:rFonts w:asciiTheme="minorHAnsi" w:hAnsiTheme="minorEastAsia" w:eastAsiaTheme="minorEastAsia" w:cstheme="minorBidi"/>
      <w:szCs w:val="22"/>
      <w:lang w:eastAsia="zh-CN"/>
    </w:rPr>
  </w:style>
  <w:style w:type="character" w:customStyle="1" w:styleId="27">
    <w:name w:val="Style5"/>
    <w:basedOn w:val="15"/>
    <w:qFormat/>
    <w:uiPriority w:val="1"/>
    <w:rPr>
      <w:rFonts w:asciiTheme="minorHAnsi" w:hAnsiTheme="minorEastAsia" w:eastAsiaTheme="minorEastAsia" w:cstheme="minorBidi"/>
      <w:sz w:val="22"/>
      <w:szCs w:val="22"/>
      <w:lang w:eastAsia="zh-CN"/>
    </w:rPr>
  </w:style>
  <w:style w:type="character" w:customStyle="1" w:styleId="28">
    <w:name w:val="标题 1 字符"/>
    <w:basedOn w:val="15"/>
    <w:link w:val="2"/>
    <w:qFormat/>
    <w:uiPriority w:val="9"/>
    <w:rPr>
      <w:rFonts w:ascii="Times New Roman" w:hAnsi="Times New Roman" w:eastAsia="宋体" w:cs="Times New Roman"/>
      <w:b/>
      <w:bCs/>
      <w:kern w:val="44"/>
      <w:sz w:val="44"/>
      <w:szCs w:val="44"/>
    </w:rPr>
  </w:style>
  <w:style w:type="character" w:customStyle="1" w:styleId="29">
    <w:name w:val="标题 2 字符"/>
    <w:basedOn w:val="15"/>
    <w:link w:val="3"/>
    <w:qFormat/>
    <w:uiPriority w:val="9"/>
    <w:rPr>
      <w:rFonts w:asciiTheme="majorHAnsi" w:hAnsiTheme="majorHAnsi" w:eastAsiaTheme="majorEastAsia" w:cstheme="majorBidi"/>
      <w:b/>
      <w:bCs/>
      <w:sz w:val="32"/>
      <w:szCs w:val="32"/>
    </w:rPr>
  </w:style>
  <w:style w:type="character" w:customStyle="1" w:styleId="30">
    <w:name w:val="标题 3 字符"/>
    <w:basedOn w:val="15"/>
    <w:link w:val="4"/>
    <w:qFormat/>
    <w:uiPriority w:val="9"/>
    <w:rPr>
      <w:rFonts w:ascii="Times New Roman" w:hAnsi="Times New Roman" w:eastAsia="宋体" w:cs="Times New Roman"/>
      <w:b/>
      <w:bCs/>
      <w:sz w:val="32"/>
      <w:szCs w:val="32"/>
    </w:rPr>
  </w:style>
  <w:style w:type="character" w:customStyle="1" w:styleId="31">
    <w:name w:val="标题 4 字符"/>
    <w:basedOn w:val="15"/>
    <w:link w:val="5"/>
    <w:qFormat/>
    <w:uiPriority w:val="9"/>
    <w:rPr>
      <w:rFonts w:asciiTheme="majorHAnsi" w:hAnsiTheme="majorHAnsi" w:eastAsiaTheme="majorEastAsia" w:cstheme="majorBidi"/>
      <w:b/>
      <w:bCs/>
      <w:sz w:val="28"/>
      <w:szCs w:val="28"/>
    </w:rPr>
  </w:style>
  <w:style w:type="character" w:customStyle="1" w:styleId="32">
    <w:name w:val="日期 字符"/>
    <w:basedOn w:val="15"/>
    <w:link w:val="7"/>
    <w:semiHidden/>
    <w:qFormat/>
    <w:uiPriority w:val="99"/>
    <w:rPr>
      <w:rFonts w:ascii="Times New Roman" w:hAnsi="Times New Roman" w:eastAsia="宋体" w:cs="Times New Roman"/>
      <w:szCs w:val="24"/>
    </w:rPr>
  </w:style>
  <w:style w:type="paragraph" w:styleId="33">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chart" Target="charts/chart2.xml"/><Relationship Id="rId8" Type="http://schemas.openxmlformats.org/officeDocument/2006/relationships/chart" Target="charts/chart1.xml"/><Relationship Id="rId7" Type="http://schemas.openxmlformats.org/officeDocument/2006/relationships/image" Target="media/image2.jpeg"/><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8" Type="http://schemas.openxmlformats.org/officeDocument/2006/relationships/fontTable" Target="fontTable.xml"/><Relationship Id="rId17" Type="http://schemas.openxmlformats.org/officeDocument/2006/relationships/customXml" Target="../customXml/item3.xml"/><Relationship Id="rId16" Type="http://schemas.openxmlformats.org/officeDocument/2006/relationships/customXml" Target="../customXml/item2.xml"/><Relationship Id="rId15" Type="http://schemas.openxmlformats.org/officeDocument/2006/relationships/numbering" Target="numbering.xml"/><Relationship Id="rId14" Type="http://schemas.openxmlformats.org/officeDocument/2006/relationships/customXml" Target="../customXml/item1.xml"/><Relationship Id="rId13" Type="http://schemas.openxmlformats.org/officeDocument/2006/relationships/image" Target="media/image5.jpeg"/><Relationship Id="rId12" Type="http://schemas.openxmlformats.org/officeDocument/2006/relationships/chart" Target="charts/chart3.xml"/><Relationship Id="rId11" Type="http://schemas.openxmlformats.org/officeDocument/2006/relationships/image" Target="media/image4.png"/><Relationship Id="rId10" Type="http://schemas.openxmlformats.org/officeDocument/2006/relationships/image" Target="media/image3.png"/><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4" Type="http://schemas.openxmlformats.org/officeDocument/2006/relationships/font" Target="fonts/font14.odttf"/><Relationship Id="rId13" Type="http://schemas.openxmlformats.org/officeDocument/2006/relationships/font" Target="fonts/font13.odttf"/><Relationship Id="rId12" Type="http://schemas.openxmlformats.org/officeDocument/2006/relationships/font" Target="fonts/font1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2.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3.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c:spPr>
    </c:floor>
    <c:sideWall>
      <c:thickness val="0"/>
      <c:spPr>
        <a:noFill/>
        <a:ln>
          <a:noFill/>
        </a:ln>
        <a:effectLst/>
      </c:spPr>
    </c:sideWall>
    <c:backWall>
      <c:thickness val="0"/>
      <c:spPr>
        <a:noFill/>
        <a:ln>
          <a:noFill/>
        </a:ln>
        <a:effectLst/>
      </c:spPr>
    </c:backWall>
    <c:plotArea>
      <c:layout/>
      <c:pie3DChart>
        <c:varyColors val="1"/>
        <c:ser>
          <c:idx val="0"/>
          <c:order val="0"/>
          <c:tx>
            <c:strRef>
              <c:f>Sheet1!$B$1</c:f>
              <c:strCache>
                <c:ptCount val="1"/>
                <c:pt idx="0">
                  <c:v>列1</c:v>
                </c:pt>
              </c:strCache>
            </c:strRef>
          </c:tx>
          <c:spPr/>
          <c:explosion val="0"/>
          <c:dPt>
            <c:idx val="0"/>
            <c:bubble3D val="0"/>
            <c:spPr>
              <a:solidFill>
                <a:schemeClr val="accent1">
                  <a:tint val="100000"/>
                  <a:shade val="100000"/>
                  <a:hueMod val="100000"/>
                  <a:satMod val="100000"/>
                </a:schemeClr>
              </a:solidFill>
              <a:ln w="25400">
                <a:solidFill>
                  <a:schemeClr val="lt1"/>
                </a:solidFill>
              </a:ln>
              <a:effectLst/>
              <a:scene3d>
                <a:camera prst="orthographicFront"/>
                <a:lightRig rig="threePt" dir="t"/>
              </a:scene3d>
              <a:sp3d contourW="25400">
                <a:contourClr>
                  <a:schemeClr val="lt1"/>
                </a:contourClr>
              </a:sp3d>
            </c:spPr>
          </c:dPt>
          <c:dPt>
            <c:idx val="1"/>
            <c:bubble3D val="0"/>
            <c:spPr>
              <a:solidFill>
                <a:schemeClr val="accent2">
                  <a:tint val="100000"/>
                  <a:shade val="100000"/>
                  <a:hueMod val="100000"/>
                  <a:satMod val="100000"/>
                </a:schemeClr>
              </a:solidFill>
              <a:ln w="25400">
                <a:solidFill>
                  <a:schemeClr val="lt1"/>
                </a:solidFill>
              </a:ln>
              <a:effectLst/>
              <a:scene3d>
                <a:camera prst="orthographicFront"/>
                <a:lightRig rig="threePt" dir="t"/>
              </a:scene3d>
              <a:sp3d contourW="25400">
                <a:contourClr>
                  <a:schemeClr val="lt1"/>
                </a:contourClr>
              </a:sp3d>
            </c:spPr>
          </c:dPt>
          <c:dPt>
            <c:idx val="2"/>
            <c:bubble3D val="0"/>
            <c:spPr>
              <a:solidFill>
                <a:schemeClr val="accent3">
                  <a:tint val="100000"/>
                  <a:shade val="100000"/>
                  <a:hueMod val="100000"/>
                  <a:satMod val="100000"/>
                </a:schemeClr>
              </a:solidFill>
              <a:ln w="25400">
                <a:solidFill>
                  <a:schemeClr val="lt1"/>
                </a:solidFill>
              </a:ln>
              <a:effectLst/>
              <a:scene3d>
                <a:camera prst="orthographicFront"/>
                <a:lightRig rig="threePt" dir="t"/>
              </a:scene3d>
              <a:sp3d contourW="25400">
                <a:contourClr>
                  <a:schemeClr val="lt1"/>
                </a:contourClr>
              </a:sp3d>
            </c:spPr>
          </c:dPt>
          <c:dPt>
            <c:idx val="3"/>
            <c:bubble3D val="0"/>
            <c:spPr>
              <a:solidFill>
                <a:schemeClr val="accent4">
                  <a:tint val="100000"/>
                  <a:shade val="100000"/>
                  <a:hueMod val="100000"/>
                  <a:satMod val="100000"/>
                </a:schemeClr>
              </a:solidFill>
              <a:ln w="25400">
                <a:solidFill>
                  <a:schemeClr val="lt1"/>
                </a:solidFill>
              </a:ln>
              <a:effectLst/>
              <a:scene3d>
                <a:camera prst="orthographicFront"/>
                <a:lightRig rig="threePt" dir="t"/>
              </a:scene3d>
              <a:sp3d contourW="25400">
                <a:contourClr>
                  <a:schemeClr val="lt1"/>
                </a:contourClr>
              </a:sp3d>
            </c:spPr>
          </c:dPt>
          <c:dLbls>
            <c:dLbl>
              <c:idx val="0"/>
              <c:layout>
                <c:manualLayout>
                  <c:x val="-0.0163298553198092"/>
                  <c:y val="-0.409848348056638"/>
                </c:manualLayout>
              </c:layout>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0"/>
            <c:showCatName val="1"/>
            <c:showSerName val="0"/>
            <c:showPercent val="1"/>
            <c:showBubbleSize val="0"/>
            <c:showLeaderLines val="0"/>
            <c:extLst>
              <c:ext xmlns:c15="http://schemas.microsoft.com/office/drawing/2012/chart" uri="{CE6537A1-D6FC-4f65-9D91-7224C49458BB}">
                <c15:layout/>
                <c15:showLeaderLines val="0"/>
                <c15:leaderLines>
                  <c:spPr>
                    <a:ln w="9525" cap="flat" cmpd="sng" algn="ctr">
                      <a:solidFill>
                        <a:schemeClr val="tx1">
                          <a:lumMod val="35000"/>
                          <a:lumOff val="65000"/>
                        </a:schemeClr>
                      </a:solidFill>
                      <a:round/>
                    </a:ln>
                    <a:effectLst/>
                  </c:spPr>
                </c15:leaderLines>
              </c:ext>
            </c:extLst>
          </c:dLbls>
          <c:cat>
            <c:strRef>
              <c:f>Sheet1!$A$2:$A$5</c:f>
              <c:strCache>
                <c:ptCount val="2"/>
                <c:pt idx="0">
                  <c:v>财政拨款收入</c:v>
                </c:pt>
                <c:pt idx="1">
                  <c:v>其他收入</c:v>
                </c:pt>
              </c:strCache>
            </c:strRef>
          </c:cat>
          <c:val>
            <c:numRef>
              <c:f>Sheet1!$B$2:$B$5</c:f>
              <c:numCache>
                <c:formatCode>0.00%</c:formatCode>
                <c:ptCount val="4"/>
                <c:pt idx="0">
                  <c:v>0.968</c:v>
                </c:pt>
                <c:pt idx="1">
                  <c:v>0.032</c:v>
                </c:pt>
              </c:numCache>
            </c:numRef>
          </c:val>
        </c:ser>
        <c:dLbls>
          <c:showLegendKey val="0"/>
          <c:showVal val="0"/>
          <c:showCatName val="1"/>
          <c:showSerName val="0"/>
          <c:showPercent val="1"/>
          <c:showBubbleSize val="0"/>
        </c:dLbls>
      </c:pie3D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c:spPr>
    </c:floor>
    <c:sideWall>
      <c:thickness val="0"/>
      <c:spPr>
        <a:noFill/>
        <a:ln>
          <a:noFill/>
        </a:ln>
        <a:effectLst/>
      </c:spPr>
    </c:sideWall>
    <c:backWall>
      <c:thickness val="0"/>
      <c:spPr>
        <a:noFill/>
        <a:ln>
          <a:noFill/>
        </a:ln>
        <a:effectLst/>
      </c:spPr>
    </c:backWall>
    <c:plotArea>
      <c:layout/>
      <c:pie3DChart>
        <c:varyColors val="1"/>
        <c:ser>
          <c:idx val="0"/>
          <c:order val="0"/>
          <c:tx>
            <c:strRef>
              <c:f>Sheet1!$B$1</c:f>
              <c:strCache>
                <c:ptCount val="1"/>
                <c:pt idx="0">
                  <c:v>列1</c:v>
                </c:pt>
              </c:strCache>
            </c:strRef>
          </c:tx>
          <c:spPr/>
          <c:explosion val="0"/>
          <c:dPt>
            <c:idx val="0"/>
            <c:bubble3D val="0"/>
            <c:spPr>
              <a:solidFill>
                <a:schemeClr val="accent1">
                  <a:tint val="100000"/>
                  <a:shade val="100000"/>
                  <a:hueMod val="100000"/>
                  <a:satMod val="100000"/>
                </a:schemeClr>
              </a:solidFill>
              <a:ln w="25400">
                <a:solidFill>
                  <a:schemeClr val="lt1"/>
                </a:solidFill>
              </a:ln>
              <a:effectLst/>
              <a:scene3d>
                <a:camera prst="orthographicFront"/>
                <a:lightRig rig="threePt" dir="t"/>
              </a:scene3d>
              <a:sp3d contourW="25400">
                <a:contourClr>
                  <a:schemeClr val="lt1"/>
                </a:contourClr>
              </a:sp3d>
            </c:spPr>
          </c:dPt>
          <c:dPt>
            <c:idx val="1"/>
            <c:bubble3D val="0"/>
            <c:spPr>
              <a:solidFill>
                <a:schemeClr val="accent2">
                  <a:tint val="100000"/>
                  <a:shade val="100000"/>
                  <a:hueMod val="100000"/>
                  <a:satMod val="100000"/>
                </a:schemeClr>
              </a:solidFill>
              <a:ln w="25400">
                <a:solidFill>
                  <a:schemeClr val="lt1"/>
                </a:solidFill>
              </a:ln>
              <a:effectLst/>
              <a:scene3d>
                <a:camera prst="orthographicFront"/>
                <a:lightRig rig="threePt" dir="t"/>
              </a:scene3d>
              <a:sp3d contourW="25400">
                <a:contourClr>
                  <a:schemeClr val="lt1"/>
                </a:contourClr>
              </a:sp3d>
            </c:spPr>
          </c:dPt>
          <c:dPt>
            <c:idx val="2"/>
            <c:bubble3D val="0"/>
            <c:spPr>
              <a:solidFill>
                <a:schemeClr val="accent3">
                  <a:tint val="100000"/>
                  <a:shade val="100000"/>
                  <a:hueMod val="100000"/>
                  <a:satMod val="100000"/>
                </a:schemeClr>
              </a:solidFill>
              <a:ln w="25400">
                <a:solidFill>
                  <a:schemeClr val="lt1"/>
                </a:solidFill>
              </a:ln>
              <a:effectLst/>
              <a:scene3d>
                <a:camera prst="orthographicFront"/>
                <a:lightRig rig="threePt" dir="t"/>
              </a:scene3d>
              <a:sp3d contourW="25400">
                <a:contourClr>
                  <a:schemeClr val="lt1"/>
                </a:contourClr>
              </a:sp3d>
            </c:spPr>
          </c:dPt>
          <c:dPt>
            <c:idx val="3"/>
            <c:bubble3D val="0"/>
            <c:spPr>
              <a:solidFill>
                <a:schemeClr val="accent4">
                  <a:tint val="100000"/>
                  <a:shade val="100000"/>
                  <a:hueMod val="100000"/>
                  <a:satMod val="100000"/>
                </a:schemeClr>
              </a:solidFill>
              <a:ln w="25400">
                <a:solidFill>
                  <a:schemeClr val="lt1"/>
                </a:solidFill>
              </a:ln>
              <a:effectLst/>
              <a:scene3d>
                <a:camera prst="orthographicFront"/>
                <a:lightRig rig="threePt" dir="t"/>
              </a:scene3d>
              <a:sp3d contourW="25400">
                <a:contourClr>
                  <a:schemeClr val="lt1"/>
                </a:contourClr>
              </a:sp3d>
            </c:spPr>
          </c:dPt>
          <c:dLbls>
            <c:spPr>
              <a:noFill/>
              <a:ln>
                <a:noFill/>
              </a:ln>
              <a:effectLst/>
            </c:spPr>
            <c:txPr>
              <a:bodyPr rot="0" spcFirstLastPara="1" vertOverflow="ellipsis" vert="horz" wrap="square" lIns="38100" tIns="19050" rIns="38100" bIns="19050" anchor="ctr" anchorCtr="1">
                <a:spAutoFit/>
              </a:bodyPr>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0"/>
            <c:showCatName val="1"/>
            <c:showSerName val="0"/>
            <c:showPercent val="1"/>
            <c:showBubbleSize val="0"/>
            <c:showLeaderLines val="0"/>
            <c:extLst>
              <c:ext xmlns:c15="http://schemas.microsoft.com/office/drawing/2012/chart" uri="{CE6537A1-D6FC-4f65-9D91-7224C49458BB}">
                <c15:layout/>
                <c15:showLeaderLines val="0"/>
                <c15:leaderLines>
                  <c:spPr>
                    <a:ln w="9525" cap="flat" cmpd="sng" algn="ctr">
                      <a:solidFill>
                        <a:schemeClr val="tx1">
                          <a:lumMod val="35000"/>
                          <a:lumOff val="65000"/>
                        </a:schemeClr>
                      </a:solidFill>
                      <a:round/>
                    </a:ln>
                    <a:effectLst/>
                  </c:spPr>
                </c15:leaderLines>
              </c:ext>
            </c:extLst>
          </c:dLbls>
          <c:cat>
            <c:strRef>
              <c:f>Sheet1!$A$2:$A$5</c:f>
              <c:strCache>
                <c:ptCount val="1"/>
                <c:pt idx="0">
                  <c:v>基本支出</c:v>
                </c:pt>
              </c:strCache>
            </c:strRef>
          </c:cat>
          <c:val>
            <c:numRef>
              <c:f>Sheet1!$B$2:$B$5</c:f>
              <c:numCache>
                <c:formatCode>0%</c:formatCode>
                <c:ptCount val="4"/>
                <c:pt idx="0">
                  <c:v>1</c:v>
                </c:pt>
              </c:numCache>
            </c:numRef>
          </c:val>
        </c:ser>
        <c:dLbls>
          <c:showLegendKey val="0"/>
          <c:showVal val="0"/>
          <c:showCatName val="1"/>
          <c:showSerName val="0"/>
          <c:showPercent val="1"/>
          <c:showBubbleSize val="0"/>
        </c:dLbls>
      </c:pie3D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c:spPr>
    </c:floor>
    <c:sideWall>
      <c:thickness val="0"/>
      <c:spPr>
        <a:noFill/>
        <a:ln>
          <a:noFill/>
        </a:ln>
        <a:effectLst/>
      </c:spPr>
    </c:sideWall>
    <c:backWall>
      <c:thickness val="0"/>
      <c:spPr>
        <a:noFill/>
        <a:ln>
          <a:noFill/>
        </a:ln>
        <a:effectLst/>
      </c:spPr>
    </c:backWall>
    <c:plotArea>
      <c:layout/>
      <c:pie3DChart>
        <c:varyColors val="1"/>
        <c:ser>
          <c:idx val="0"/>
          <c:order val="0"/>
          <c:tx>
            <c:strRef>
              <c:f>Sheet1!$B$1</c:f>
              <c:strCache>
                <c:ptCount val="1"/>
                <c:pt idx="0">
                  <c:v>列1</c:v>
                </c:pt>
              </c:strCache>
            </c:strRef>
          </c:tx>
          <c:spPr/>
          <c:explosion val="0"/>
          <c:dPt>
            <c:idx val="0"/>
            <c:bubble3D val="0"/>
            <c:spPr>
              <a:solidFill>
                <a:schemeClr val="accent1">
                  <a:tint val="100000"/>
                  <a:shade val="100000"/>
                  <a:hueMod val="100000"/>
                  <a:satMod val="100000"/>
                </a:schemeClr>
              </a:solidFill>
              <a:ln w="25400">
                <a:solidFill>
                  <a:schemeClr val="lt1"/>
                </a:solidFill>
              </a:ln>
              <a:effectLst/>
              <a:scene3d>
                <a:camera prst="orthographicFront"/>
                <a:lightRig rig="threePt" dir="t"/>
              </a:scene3d>
              <a:sp3d contourW="25400">
                <a:contourClr>
                  <a:schemeClr val="lt1"/>
                </a:contourClr>
              </a:sp3d>
            </c:spPr>
          </c:dPt>
          <c:dPt>
            <c:idx val="1"/>
            <c:bubble3D val="0"/>
            <c:spPr>
              <a:solidFill>
                <a:schemeClr val="accent2">
                  <a:tint val="100000"/>
                  <a:shade val="100000"/>
                  <a:hueMod val="100000"/>
                  <a:satMod val="100000"/>
                </a:schemeClr>
              </a:solidFill>
              <a:ln w="25400">
                <a:solidFill>
                  <a:schemeClr val="lt1"/>
                </a:solidFill>
              </a:ln>
              <a:effectLst/>
              <a:scene3d>
                <a:camera prst="orthographicFront"/>
                <a:lightRig rig="threePt" dir="t"/>
              </a:scene3d>
              <a:sp3d contourW="25400">
                <a:contourClr>
                  <a:schemeClr val="lt1"/>
                </a:contourClr>
              </a:sp3d>
            </c:spPr>
          </c:dPt>
          <c:dPt>
            <c:idx val="2"/>
            <c:bubble3D val="0"/>
            <c:spPr>
              <a:solidFill>
                <a:schemeClr val="accent3">
                  <a:tint val="100000"/>
                  <a:shade val="100000"/>
                  <a:hueMod val="100000"/>
                  <a:satMod val="100000"/>
                </a:schemeClr>
              </a:solidFill>
              <a:ln w="25400">
                <a:solidFill>
                  <a:schemeClr val="lt1"/>
                </a:solidFill>
              </a:ln>
              <a:effectLst/>
              <a:scene3d>
                <a:camera prst="orthographicFront"/>
                <a:lightRig rig="threePt" dir="t"/>
              </a:scene3d>
              <a:sp3d contourW="25400">
                <a:contourClr>
                  <a:schemeClr val="lt1"/>
                </a:contourClr>
              </a:sp3d>
            </c:spPr>
          </c:dPt>
          <c:dPt>
            <c:idx val="3"/>
            <c:bubble3D val="0"/>
            <c:spPr>
              <a:solidFill>
                <a:schemeClr val="accent4">
                  <a:tint val="100000"/>
                  <a:shade val="100000"/>
                  <a:hueMod val="100000"/>
                  <a:satMod val="100000"/>
                </a:schemeClr>
              </a:solidFill>
              <a:ln w="25400">
                <a:solidFill>
                  <a:schemeClr val="lt1"/>
                </a:solidFill>
              </a:ln>
              <a:effectLst/>
              <a:scene3d>
                <a:camera prst="orthographicFront"/>
                <a:lightRig rig="threePt" dir="t"/>
              </a:scene3d>
              <a:sp3d contourW="25400">
                <a:contourClr>
                  <a:schemeClr val="lt1"/>
                </a:contourClr>
              </a:sp3d>
            </c:spPr>
          </c:dPt>
          <c:dLbls>
            <c:dLbl>
              <c:idx val="0"/>
              <c:layout/>
              <c:tx>
                <c:rich>
                  <a:bodyPr rot="0" spcFirstLastPara="1"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r>
                      <a:rPr lang="zh-CN" altLang="en-US"/>
                      <a:t>文化体育与传媒支出</a:t>
                    </a:r>
                    <a:r>
                      <a:rPr lang="en-US" altLang="zh-CN"/>
                      <a:t>86.36%</a:t>
                    </a:r>
                    <a:endParaRPr lang="en-US" altLang="zh-CN"/>
                  </a:p>
                </c:rich>
              </c:tx>
              <c:dLblPos val="bestFit"/>
              <c:showLegendKey val="0"/>
              <c:showVal val="1"/>
              <c:showCatName val="1"/>
              <c:showSerName val="0"/>
              <c:showPercent val="0"/>
              <c:showBubbleSize val="0"/>
              <c:extLst>
                <c:ext xmlns:c15="http://schemas.microsoft.com/office/drawing/2012/chart" uri="{CE6537A1-D6FC-4f65-9D91-7224C49458BB}"/>
              </c:extLst>
            </c:dLbl>
            <c:dLbl>
              <c:idx val="1"/>
              <c:layout>
                <c:manualLayout>
                  <c:x val="-0.0333557738442827"/>
                  <c:y val="-0.0182849685924091"/>
                </c:manualLayout>
              </c:layout>
              <c:tx>
                <c:rich>
                  <a:bodyPr rot="0" spcFirstLastPara="1"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r>
                      <a:rPr lang="zh-CN" altLang="en-US"/>
                      <a:t>社会保障和就业支出</a:t>
                    </a:r>
                    <a:r>
                      <a:rPr lang="en-US" altLang="zh-CN"/>
                      <a:t>5.20%</a:t>
                    </a:r>
                    <a:endParaRPr lang="en-US" altLang="zh-CN"/>
                  </a:p>
                </c:rich>
              </c:tx>
              <c:dLblPos val="bestFit"/>
              <c:showLegendKey val="0"/>
              <c:showVal val="1"/>
              <c:showCatName val="1"/>
              <c:showSerName val="0"/>
              <c:showPercent val="0"/>
              <c:showBubbleSize val="0"/>
              <c:extLst>
                <c:ext xmlns:c15="http://schemas.microsoft.com/office/drawing/2012/chart" uri="{CE6537A1-D6FC-4f65-9D91-7224C49458BB}">
                  <c15:layout/>
                </c:ext>
              </c:extLst>
            </c:dLbl>
            <c:dLbl>
              <c:idx val="2"/>
              <c:layout>
                <c:manualLayout>
                  <c:x val="0.0499196344263783"/>
                  <c:y val="-0.00291904171230656"/>
                </c:manualLayout>
              </c:layout>
              <c:tx>
                <c:rich>
                  <a:bodyPr rot="0" spcFirstLastPara="1"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r>
                      <a:rPr lang="zh-CN" altLang="en-US"/>
                      <a:t>医疗卫生与计划生育支出</a:t>
                    </a:r>
                    <a:r>
                      <a:rPr lang="en-US" altLang="zh-CN"/>
                      <a:t>4.37%</a:t>
                    </a:r>
                    <a:endParaRPr lang="en-US" altLang="zh-CN"/>
                  </a:p>
                </c:rich>
              </c:tx>
              <c:dLblPos val="bestFit"/>
              <c:showLegendKey val="0"/>
              <c:showVal val="1"/>
              <c:showCatName val="1"/>
              <c:showSerName val="0"/>
              <c:showPercent val="0"/>
              <c:showBubbleSize val="0"/>
              <c:extLst>
                <c:ext xmlns:c15="http://schemas.microsoft.com/office/drawing/2012/chart" uri="{CE6537A1-D6FC-4f65-9D91-7224C49458BB}">
                  <c15:layout/>
                </c:ext>
              </c:extLst>
            </c:dLbl>
            <c:dLbl>
              <c:idx val="3"/>
              <c:layout>
                <c:manualLayout>
                  <c:x val="0.117109641176688"/>
                  <c:y val="0.00781964485048724"/>
                </c:manualLayout>
              </c:layout>
              <c:tx>
                <c:rich>
                  <a:bodyPr rot="0" spcFirstLastPara="1"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r>
                      <a:rPr lang="zh-CN" altLang="en-US"/>
                      <a:t>住房保障支出</a:t>
                    </a:r>
                    <a:r>
                      <a:rPr lang="en-US" altLang="zh-CN"/>
                      <a:t>4.05%</a:t>
                    </a:r>
                    <a:endParaRPr lang="en-US" altLang="zh-CN"/>
                  </a:p>
                </c:rich>
              </c:tx>
              <c:dLblPos val="bestFit"/>
              <c:showLegendKey val="0"/>
              <c:showVal val="1"/>
              <c:showCatName val="1"/>
              <c:showSerName val="0"/>
              <c:showPercent val="0"/>
              <c:showBubbleSize val="0"/>
              <c:extLs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1"/>
            <c:showSerName val="0"/>
            <c:showPercent val="0"/>
            <c:showBubbleSize val="0"/>
            <c:showLeaderLines val="0"/>
            <c:extLst>
              <c:ext xmlns:c15="http://schemas.microsoft.com/office/drawing/2012/chart" uri="{CE6537A1-D6FC-4f65-9D91-7224C49458BB}">
                <c15:layout/>
                <c15:showLeaderLines val="0"/>
                <c15:leaderLines>
                  <c:spPr>
                    <a:ln w="9525" cap="flat" cmpd="sng" algn="ctr">
                      <a:solidFill>
                        <a:schemeClr val="tx1">
                          <a:lumMod val="35000"/>
                          <a:lumOff val="65000"/>
                        </a:schemeClr>
                      </a:solidFill>
                      <a:round/>
                    </a:ln>
                    <a:effectLst/>
                  </c:spPr>
                </c15:leaderLines>
              </c:ext>
            </c:extLst>
          </c:dLbls>
          <c:cat>
            <c:strRef>
              <c:f>Sheet1!$A$2:$A$5</c:f>
              <c:strCache>
                <c:ptCount val="4"/>
                <c:pt idx="0">
                  <c:v>文化体育与传媒支出</c:v>
                </c:pt>
                <c:pt idx="1">
                  <c:v>社会保障和就业支出</c:v>
                </c:pt>
                <c:pt idx="2">
                  <c:v>医疗卫生与计划生育支出</c:v>
                </c:pt>
                <c:pt idx="3">
                  <c:v>住房保障支出</c:v>
                </c:pt>
              </c:strCache>
            </c:strRef>
          </c:cat>
          <c:val>
            <c:numRef>
              <c:f>Sheet1!$B$2:$B$5</c:f>
              <c:numCache>
                <c:formatCode>0.00%</c:formatCode>
                <c:ptCount val="4"/>
                <c:pt idx="0">
                  <c:v>0.8636</c:v>
                </c:pt>
                <c:pt idx="1">
                  <c:v>0.052</c:v>
                </c:pt>
                <c:pt idx="2">
                  <c:v>0.0437</c:v>
                </c:pt>
                <c:pt idx="3">
                  <c:v>0.0405</c:v>
                </c:pt>
              </c:numCache>
            </c:numRef>
          </c:val>
        </c:ser>
        <c:dLbls>
          <c:showLegendKey val="0"/>
          <c:showVal val="1"/>
          <c:showCatName val="1"/>
          <c:showSerName val="0"/>
          <c:showPercent val="0"/>
          <c:showBubbleSize val="0"/>
        </c:dLbls>
      </c:pie3D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跋涉">
      <a:dk1>
        <a:sysClr val="windowText" lastClr="000000"/>
      </a:dk1>
      <a:lt1>
        <a:sysClr val="window" lastClr="FFFFFF"/>
      </a:lt1>
      <a:dk2>
        <a:srgbClr val="4E3B30"/>
      </a:dk2>
      <a:lt2>
        <a:srgbClr val="FBEEC9"/>
      </a:lt2>
      <a:accent1>
        <a:srgbClr val="F0A22E"/>
      </a:accent1>
      <a:accent2>
        <a:srgbClr val="A5644E"/>
      </a:accent2>
      <a:accent3>
        <a:srgbClr val="B58B80"/>
      </a:accent3>
      <a:accent4>
        <a:srgbClr val="C3986D"/>
      </a:accent4>
      <a:accent5>
        <a:srgbClr val="A19574"/>
      </a:accent5>
      <a:accent6>
        <a:srgbClr val="C17529"/>
      </a:accent6>
      <a:hlink>
        <a:srgbClr val="AD1F1F"/>
      </a:hlink>
      <a:folHlink>
        <a:srgbClr val="FFC42F"/>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凤舞九天">
      <a:fillStyleLst>
        <a:solidFill>
          <a:schemeClr val="phClr">
            <a:tint val="100000"/>
            <a:shade val="100000"/>
            <a:hueMod val="100000"/>
            <a:satMod val="100000"/>
          </a:schemeClr>
        </a:solidFill>
        <a:gradFill rotWithShape="1">
          <a:gsLst>
            <a:gs pos="0">
              <a:schemeClr val="phClr">
                <a:tint val="65000"/>
                <a:satMod val="180000"/>
              </a:schemeClr>
            </a:gs>
            <a:gs pos="50000">
              <a:schemeClr val="phClr">
                <a:tint val="40000"/>
                <a:satMod val="175000"/>
              </a:schemeClr>
            </a:gs>
            <a:gs pos="100000">
              <a:schemeClr val="phClr">
                <a:tint val="65000"/>
                <a:satMod val="180000"/>
              </a:schemeClr>
            </a:gs>
          </a:gsLst>
          <a:lin ang="0" scaled="1"/>
        </a:gradFill>
        <a:gradFill rotWithShape="1">
          <a:gsLst>
            <a:gs pos="0">
              <a:schemeClr val="phClr">
                <a:shade val="38000"/>
                <a:satMod val="150000"/>
              </a:schemeClr>
            </a:gs>
            <a:gs pos="50000">
              <a:schemeClr val="phClr">
                <a:shade val="100000"/>
                <a:satMod val="100000"/>
              </a:schemeClr>
            </a:gs>
            <a:gs pos="100000">
              <a:schemeClr val="phClr">
                <a:shade val="38000"/>
                <a:satMod val="150000"/>
              </a:schemeClr>
            </a:gs>
          </a:gsLst>
          <a:lin ang="0" scaled="1"/>
        </a:gradFill>
      </a:fillStyleLst>
      <a:lnStyleLst>
        <a:ln w="12700" cap="flat" cmpd="sng" algn="ctr">
          <a:solidFill>
            <a:schemeClr val="phClr"/>
          </a:solidFill>
          <a:prstDash val="solid"/>
        </a:ln>
        <a:ln w="25400" cap="flat" cmpd="sng" algn="ctr">
          <a:solidFill>
            <a:schemeClr val="phClr"/>
          </a:solidFill>
          <a:prstDash val="solid"/>
        </a:ln>
        <a:ln w="38100" cap="flat" cmpd="dbl" algn="ctr">
          <a:solidFill>
            <a:schemeClr val="phClr"/>
          </a:solidFill>
          <a:prstDash val="solid"/>
        </a:ln>
      </a:lnStyleLst>
      <a:effectStyleLst>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scene3d>
            <a:camera prst="orthographicFront" fov="0">
              <a:rot lat="0" lon="0" rev="0"/>
            </a:camera>
            <a:lightRig rig="soft" dir="tl">
              <a:rot lat="0" lon="0" rev="20100000"/>
            </a:lightRig>
          </a:scene3d>
          <a:sp3d>
            <a:bevelT w="50800" h="508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CoverPageProperties xmlns="http://schemas.microsoft.com/office/2006/coverPageProps">
  <PublishDate>2017</PublishDate>
  <Abstract/>
  <CompanyAddress/>
  <CompanyPhone/>
  <CompanyFax/>
  <CompanyEmail/>
</CoverPageProperties>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5AF091B-3C7A-41E3-B477-F2FDAA23CFDA}">
  <ds:schemaRefs/>
</ds:datastoreItem>
</file>

<file path=customXml/itemProps3.xml><?xml version="1.0" encoding="utf-8"?>
<ds:datastoreItem xmlns:ds="http://schemas.openxmlformats.org/officeDocument/2006/customXml" ds:itemID="{69500CE7-D041-4462-B7D8-E9A02BFED4FD}">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33</Pages>
  <Words>1715</Words>
  <Characters>9776</Characters>
  <Lines>81</Lines>
  <Paragraphs>22</Paragraphs>
  <TotalTime>2</TotalTime>
  <ScaleCrop>false</ScaleCrop>
  <LinksUpToDate>false</LinksUpToDate>
  <CharactersWithSpaces>11469</CharactersWithSpaces>
  <Application>WPS Office_12.1.0.15374_F1E327BC-269C-435d-A152-05C5408002CA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2019-09-10T01:56:00Z</dcterms:created>
  <dc:creator>User</dc:creator>
  <cp:lastModifiedBy>鹿泉新媒体</cp:lastModifiedBy>
  <cp:lastPrinted>2019-08-02T01:01:00Z</cp:lastPrinted>
  <dcterms:modified xsi:type="dcterms:W3CDTF">2023-09-15T08:07:00Z</dcterms:modified>
  <dc:subject>石家庄市xxx部门</dc:subject>
  <dc:title>2017年度部门决算</dc:title>
  <cp:revision>59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CC53EE0B7C3D4E30BD16CA4FB16A987D_12</vt:lpwstr>
  </property>
</Properties>
</file>