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adjustRightInd w:val="0"/>
        <w:snapToGrid w:val="0"/>
        <w:spacing w:line="576" w:lineRule="exact"/>
        <w:ind w:left="0"/>
        <w:jc w:val="center"/>
        <w:textAlignment w:val="auto"/>
        <w:rPr>
          <w:rFonts w:hint="eastAsia" w:ascii="宋体" w:hAnsi="宋体" w:eastAsia="方正小标宋简体" w:cs="方正小标宋简体"/>
          <w:bCs/>
          <w:color w:val="000000" w:themeColor="text1"/>
          <w:sz w:val="44"/>
          <w:szCs w:val="44"/>
          <w:lang w:eastAsia="zh-CN"/>
          <w14:textFill>
            <w14:solidFill>
              <w14:schemeClr w14:val="tx1"/>
            </w14:solidFill>
          </w14:textFill>
        </w:rPr>
      </w:pPr>
      <w:r>
        <w:rPr>
          <w:rFonts w:hint="eastAsia" w:ascii="宋体" w:hAnsi="宋体" w:eastAsia="方正小标宋简体" w:cs="方正小标宋简体"/>
          <w:bCs/>
          <w:color w:val="000000" w:themeColor="text1"/>
          <w:sz w:val="44"/>
          <w:szCs w:val="44"/>
          <w:lang w:eastAsia="zh-CN"/>
          <w14:textFill>
            <w14:solidFill>
              <w14:schemeClr w14:val="tx1"/>
            </w14:solidFill>
          </w14:textFill>
        </w:rPr>
        <w:t>石家庄市鹿泉区应急管理局</w:t>
      </w:r>
    </w:p>
    <w:p>
      <w:pPr>
        <w:keepNext w:val="0"/>
        <w:keepLines w:val="0"/>
        <w:pageBreakBefore w:val="0"/>
        <w:widowControl w:val="0"/>
        <w:kinsoku/>
        <w:wordWrap/>
        <w:overflowPunct/>
        <w:topLinePunct w:val="0"/>
        <w:bidi w:val="0"/>
        <w:adjustRightInd w:val="0"/>
        <w:snapToGrid w:val="0"/>
        <w:spacing w:line="576" w:lineRule="exact"/>
        <w:ind w:left="0"/>
        <w:jc w:val="center"/>
        <w:textAlignment w:val="auto"/>
        <w:rPr>
          <w:rFonts w:hint="eastAsia" w:ascii="宋体" w:hAnsi="宋体" w:eastAsia="方正小标宋简体" w:cs="方正小标宋简体"/>
          <w:bCs/>
          <w:color w:val="000000" w:themeColor="text1"/>
          <w:sz w:val="44"/>
          <w:szCs w:val="44"/>
          <w14:textFill>
            <w14:solidFill>
              <w14:schemeClr w14:val="tx1"/>
            </w14:solidFill>
          </w14:textFill>
        </w:rPr>
      </w:pPr>
      <w:r>
        <w:rPr>
          <w:rFonts w:hint="eastAsia" w:ascii="宋体" w:hAnsi="宋体" w:eastAsia="方正小标宋简体" w:cs="方正小标宋简体"/>
          <w:bCs/>
          <w:color w:val="000000" w:themeColor="text1"/>
          <w:sz w:val="44"/>
          <w:szCs w:val="44"/>
          <w14:textFill>
            <w14:solidFill>
              <w14:schemeClr w14:val="tx1"/>
            </w14:solidFill>
          </w14:textFill>
        </w:rPr>
        <w:t>2020年部门预算信息公开情况说明</w:t>
      </w:r>
    </w:p>
    <w:p>
      <w:pPr>
        <w:keepNext w:val="0"/>
        <w:keepLines w:val="0"/>
        <w:pageBreakBefore w:val="0"/>
        <w:widowControl w:val="0"/>
        <w:kinsoku/>
        <w:wordWrap/>
        <w:overflowPunct/>
        <w:topLinePunct w:val="0"/>
        <w:bidi w:val="0"/>
        <w:spacing w:line="576" w:lineRule="exact"/>
        <w:ind w:left="0" w:firstLine="640"/>
        <w:textAlignment w:val="auto"/>
        <w:rPr>
          <w:rFonts w:ascii="宋体" w:hAnsi="宋体" w:eastAsia="仿宋" w:cs="Times New Roman"/>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按照《</w:t>
      </w:r>
      <w:r>
        <w:rPr>
          <w:rFonts w:hint="eastAsia" w:ascii="宋体" w:hAnsi="宋体" w:eastAsia="仿宋" w:cs="仿宋"/>
          <w:color w:val="000000" w:themeColor="text1"/>
          <w:sz w:val="32"/>
          <w:szCs w:val="32"/>
          <w:lang w:eastAsia="zh-CN"/>
          <w14:textFill>
            <w14:solidFill>
              <w14:schemeClr w14:val="tx1"/>
            </w14:solidFill>
          </w14:textFill>
        </w:rPr>
        <w:t>中华人民共和国</w:t>
      </w:r>
      <w:r>
        <w:rPr>
          <w:rFonts w:hint="eastAsia" w:ascii="宋体" w:hAnsi="宋体" w:eastAsia="仿宋" w:cs="仿宋"/>
          <w:color w:val="000000" w:themeColor="text1"/>
          <w:sz w:val="32"/>
          <w:szCs w:val="32"/>
          <w14:textFill>
            <w14:solidFill>
              <w14:schemeClr w14:val="tx1"/>
            </w14:solidFill>
          </w14:textFill>
        </w:rPr>
        <w:t>预算法》、《地方预决算公开操作规程》和《河北省省级预算公开办法》规定，现将</w:t>
      </w:r>
      <w:r>
        <w:rPr>
          <w:rFonts w:hint="eastAsia" w:ascii="宋体" w:hAnsi="宋体" w:eastAsia="仿宋" w:cs="仿宋"/>
          <w:color w:val="000000" w:themeColor="text1"/>
          <w:sz w:val="32"/>
          <w:szCs w:val="32"/>
          <w:lang w:eastAsia="zh-CN"/>
          <w14:textFill>
            <w14:solidFill>
              <w14:schemeClr w14:val="tx1"/>
            </w14:solidFill>
          </w14:textFill>
        </w:rPr>
        <w:t>石家庄市鹿泉区应急管理局</w:t>
      </w:r>
      <w:r>
        <w:rPr>
          <w:rFonts w:hint="eastAsia" w:ascii="宋体" w:hAnsi="宋体" w:eastAsia="仿宋" w:cs="仿宋"/>
          <w:color w:val="000000" w:themeColor="text1"/>
          <w:sz w:val="32"/>
          <w:szCs w:val="32"/>
          <w14:textFill>
            <w14:solidFill>
              <w14:schemeClr w14:val="tx1"/>
            </w14:solidFill>
          </w14:textFill>
        </w:rPr>
        <w:t>2020年部门预算公开如下：</w:t>
      </w:r>
    </w:p>
    <w:p>
      <w:pPr>
        <w:keepNext w:val="0"/>
        <w:keepLines w:val="0"/>
        <w:pageBreakBefore w:val="0"/>
        <w:widowControl w:val="0"/>
        <w:kinsoku/>
        <w:wordWrap/>
        <w:overflowPunct/>
        <w:topLinePunct w:val="0"/>
        <w:bidi w:val="0"/>
        <w:spacing w:line="576" w:lineRule="exact"/>
        <w:ind w:left="0" w:firstLine="640"/>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一、部门职责及机构设置情况</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黑体" w:cs="黑体"/>
          <w:b w:val="0"/>
          <w:bCs/>
          <w:color w:val="000000" w:themeColor="text1"/>
          <w:sz w:val="32"/>
          <w:szCs w:val="32"/>
          <w14:textFill>
            <w14:solidFill>
              <w14:schemeClr w14:val="tx1"/>
            </w14:solidFill>
          </w14:textFill>
        </w:rPr>
      </w:pPr>
      <w:r>
        <w:rPr>
          <w:rFonts w:hint="eastAsia" w:ascii="宋体" w:hAnsi="宋体" w:eastAsia="黑体" w:cs="黑体"/>
          <w:b w:val="0"/>
          <w:bCs/>
          <w:color w:val="000000" w:themeColor="text1"/>
          <w:sz w:val="32"/>
          <w:szCs w:val="32"/>
          <w14:textFill>
            <w14:solidFill>
              <w14:schemeClr w14:val="tx1"/>
            </w14:solidFill>
          </w14:textFill>
        </w:rPr>
        <w:t>部门职责：</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根据《石家庄市鹿泉区应急管理局职能配置、内设机构和人员编制规定》，石家庄市鹿泉区应急管理局的主要职责是：</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（一）负责应急管理工作。指导全区各级各部门应对安全生产类、自然灾害类等突发事件和综合防灾减灾救灾工作；负责安全生产综合监督管理和工矿商贸行业安全生产监督管理工作。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（二）拟订应急管理、安全生产等工作规定，组织编制区应急体系建设、安全生产和综合防灾减灾规划，执行上级地方性法规和政府规章，组织制定相关具体规程并监督实施。</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（四）与国家和省、市系统对接，建立完善全区应急管理信息系统，负责管辖范围内的信息传输渠道的规划和布局；建立监测预警和灾情报告制度，健全自然灾害信息资源获取和共享机制，依法统一发布灾情。</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（五）组织协调安全生产类、自然灾害类等突发事件应急救援，综合研判突发事件发展态势并提出应对建议，协助区委、区政府指定的负责同志组织重大灾害应急处置工作。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（六）统一协调指挥各类应急专业队伍，建立应急协调联动机制，推进指挥平台对接，衔接驻鹿部队参与应急救援工作。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（七）统筹应急救援力量建设，负责抗洪抢险、地震和地质灾害救援、生产安全事故救援等专业应急救援力量建设，综合协调应急救援队伍，指导各级及社会应急救援力量建设。</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（八）组织协调水旱灾害、地震和地质灾害等防治工作；负责自然灾害综合监测预警工作；会同有关部门做好自然灾害综合风险评估工作。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（九）组织协调灾害救助工作，负责灾情核查、损失评估、救灾捐赠工作，管理、分配救灾款物并监督使用。</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（十）依法行使安全生产综合监督管理职权，指导协调、监督检查区有关部门和各乡（镇）政府、区政府派出机构的安全生产工作，组织开展安全生产考核工作。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（十二）依法开展生产安全事故调查处理，监督事故查处和责任追究落实情况；组织开展自然灾害类突发事件的调查评估工作。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（十三）制定应急物资储备和应急救援装备规划并组织实施，会同区粮食和物资储备局等部门建立健全应急物资信息平台和调拨制度，在救灾时统一调度。</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（十四）负责应急管理、安全生产宣传教育和培训工作，负责应急管理、安全生产科技成果推广应用和信息化建设工作。</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（十五）负责组织协调、指导监督全区安全生产行政执法工作，组织开展对区属企业的执法检查，配合上级部门对驻鹿中央企业、省属企业、市属企业的执法抽查。</w:t>
      </w:r>
    </w:p>
    <w:p>
      <w:pPr>
        <w:keepNext w:val="0"/>
        <w:keepLines w:val="0"/>
        <w:pageBreakBefore w:val="0"/>
        <w:widowControl w:val="0"/>
        <w:kinsoku/>
        <w:wordWrap/>
        <w:overflowPunct/>
        <w:topLinePunct w:val="0"/>
        <w:bidi w:val="0"/>
        <w:spacing w:line="576" w:lineRule="exact"/>
        <w:ind w:left="0" w:firstLine="640" w:firstLineChars="200"/>
        <w:jc w:val="left"/>
        <w:textAlignment w:val="auto"/>
        <w:rPr>
          <w:rFonts w:ascii="宋体" w:hAnsi="宋体" w:eastAsia="方正仿宋_GBK"/>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（十六）组织开展应急管理方面的区域交流与合作。</w:t>
      </w:r>
    </w:p>
    <w:p>
      <w:pPr>
        <w:keepNext w:val="0"/>
        <w:keepLines w:val="0"/>
        <w:pageBreakBefore w:val="0"/>
        <w:widowControl w:val="0"/>
        <w:kinsoku/>
        <w:wordWrap/>
        <w:overflowPunct/>
        <w:topLinePunct w:val="0"/>
        <w:bidi w:val="0"/>
        <w:spacing w:line="576" w:lineRule="exact"/>
        <w:ind w:left="0" w:firstLine="640" w:firstLineChars="200"/>
        <w:textAlignment w:val="auto"/>
        <w:rPr>
          <w:rFonts w:hint="eastAsia" w:ascii="宋体" w:hAnsi="宋体" w:eastAsia="黑体" w:cs="黑体"/>
          <w:b w:val="0"/>
          <w:bCs/>
          <w:color w:val="000000" w:themeColor="text1"/>
          <w:sz w:val="32"/>
          <w:szCs w:val="32"/>
          <w14:textFill>
            <w14:solidFill>
              <w14:schemeClr w14:val="tx1"/>
            </w14:solidFill>
          </w14:textFill>
        </w:rPr>
      </w:pPr>
      <w:r>
        <w:rPr>
          <w:rFonts w:hint="eastAsia" w:ascii="宋体" w:hAnsi="宋体" w:eastAsia="黑体" w:cs="黑体"/>
          <w:b w:val="0"/>
          <w:bCs/>
          <w:color w:val="000000" w:themeColor="text1"/>
          <w:sz w:val="32"/>
          <w:szCs w:val="32"/>
          <w14:textFill>
            <w14:solidFill>
              <w14:schemeClr w14:val="tx1"/>
            </w14:solidFill>
          </w14:textFill>
        </w:rPr>
        <w:t>机构设置：</w:t>
      </w:r>
    </w:p>
    <w:p>
      <w:pPr>
        <w:keepNext w:val="0"/>
        <w:keepLines w:val="0"/>
        <w:pageBreakBefore w:val="0"/>
        <w:widowControl w:val="0"/>
        <w:kinsoku/>
        <w:wordWrap/>
        <w:overflowPunct/>
        <w:topLinePunct w:val="0"/>
        <w:bidi w:val="0"/>
        <w:spacing w:line="576" w:lineRule="exact"/>
        <w:ind w:left="0"/>
        <w:jc w:val="center"/>
        <w:textAlignment w:val="auto"/>
        <w:outlineLvl w:val="0"/>
        <w:rPr>
          <w:rFonts w:hint="eastAsia" w:ascii="宋体" w:hAnsi="宋体" w:eastAsia="仿宋" w:cs="仿宋"/>
          <w:b/>
          <w:bCs/>
          <w:color w:val="000000" w:themeColor="text1"/>
          <w:sz w:val="32"/>
          <w:szCs w:val="24"/>
          <w14:textFill>
            <w14:solidFill>
              <w14:schemeClr w14:val="tx1"/>
            </w14:solidFill>
          </w14:textFill>
        </w:rPr>
      </w:pPr>
      <w:r>
        <w:rPr>
          <w:rFonts w:hint="eastAsia" w:ascii="宋体" w:hAnsi="宋体" w:eastAsia="仿宋" w:cs="仿宋"/>
          <w:b/>
          <w:bCs/>
          <w:color w:val="000000" w:themeColor="text1"/>
          <w:sz w:val="32"/>
          <w:szCs w:val="24"/>
          <w14:textFill>
            <w14:solidFill>
              <w14:schemeClr w14:val="tx1"/>
            </w14:solidFill>
          </w14:textFill>
        </w:rPr>
        <w:t>部门机构设置情况</w:t>
      </w:r>
    </w:p>
    <w:tbl>
      <w:tblPr>
        <w:tblStyle w:val="7"/>
        <w:tblW w:w="96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83"/>
        <w:gridCol w:w="1494"/>
        <w:gridCol w:w="1259"/>
        <w:gridCol w:w="28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83" w:type="dxa"/>
            <w:vMerge w:val="restart"/>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b/>
                <w:color w:val="000000" w:themeColor="text1"/>
                <w:szCs w:val="24"/>
                <w14:textFill>
                  <w14:solidFill>
                    <w14:schemeClr w14:val="tx1"/>
                  </w14:solidFill>
                </w14:textFill>
              </w:rPr>
            </w:pPr>
            <w:r>
              <w:rPr>
                <w:rFonts w:ascii="宋体" w:hAnsi="宋体" w:eastAsia="方正书宋_GBK" w:cs="Times New Roman"/>
                <w:b/>
                <w:color w:val="000000" w:themeColor="text1"/>
                <w:szCs w:val="24"/>
                <w14:textFill>
                  <w14:solidFill>
                    <w14:schemeClr w14:val="tx1"/>
                  </w14:solidFill>
                </w14:textFill>
              </w:rPr>
              <w:t>单位名称</w:t>
            </w:r>
          </w:p>
        </w:tc>
        <w:tc>
          <w:tcPr>
            <w:tcW w:w="1494" w:type="dxa"/>
            <w:vMerge w:val="restart"/>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b/>
                <w:color w:val="000000" w:themeColor="text1"/>
                <w:szCs w:val="24"/>
                <w14:textFill>
                  <w14:solidFill>
                    <w14:schemeClr w14:val="tx1"/>
                  </w14:solidFill>
                </w14:textFill>
              </w:rPr>
            </w:pPr>
            <w:r>
              <w:rPr>
                <w:rFonts w:ascii="宋体" w:hAnsi="宋体" w:eastAsia="方正书宋_GBK" w:cs="Times New Roman"/>
                <w:b/>
                <w:color w:val="000000" w:themeColor="text1"/>
                <w:szCs w:val="24"/>
                <w14:textFill>
                  <w14:solidFill>
                    <w14:schemeClr w14:val="tx1"/>
                  </w14:solidFill>
                </w14:textFill>
              </w:rPr>
              <w:t>单位性质</w:t>
            </w:r>
          </w:p>
        </w:tc>
        <w:tc>
          <w:tcPr>
            <w:tcW w:w="1259" w:type="dxa"/>
            <w:vMerge w:val="restart"/>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b/>
                <w:color w:val="000000" w:themeColor="text1"/>
                <w:szCs w:val="24"/>
                <w14:textFill>
                  <w14:solidFill>
                    <w14:schemeClr w14:val="tx1"/>
                  </w14:solidFill>
                </w14:textFill>
              </w:rPr>
            </w:pPr>
            <w:r>
              <w:rPr>
                <w:rFonts w:ascii="宋体" w:hAnsi="宋体" w:eastAsia="方正书宋_GBK" w:cs="Times New Roman"/>
                <w:b/>
                <w:color w:val="000000" w:themeColor="text1"/>
                <w:szCs w:val="24"/>
                <w14:textFill>
                  <w14:solidFill>
                    <w14:schemeClr w14:val="tx1"/>
                  </w14:solidFill>
                </w14:textFill>
              </w:rPr>
              <w:t>单位规格</w:t>
            </w:r>
          </w:p>
        </w:tc>
        <w:tc>
          <w:tcPr>
            <w:tcW w:w="2864" w:type="dxa"/>
            <w:vMerge w:val="restart"/>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b/>
                <w:color w:val="000000" w:themeColor="text1"/>
                <w:szCs w:val="24"/>
                <w14:textFill>
                  <w14:solidFill>
                    <w14:schemeClr w14:val="tx1"/>
                  </w14:solidFill>
                </w14:textFill>
              </w:rPr>
            </w:pPr>
            <w:r>
              <w:rPr>
                <w:rFonts w:ascii="宋体" w:hAnsi="宋体" w:eastAsia="方正书宋_GBK" w:cs="Times New Roman"/>
                <w:b/>
                <w:color w:val="000000" w:themeColor="text1"/>
                <w:szCs w:val="24"/>
                <w14:textFill>
                  <w14:solidFill>
                    <w14:schemeClr w14:val="tx1"/>
                  </w14:solidFill>
                </w14:textFill>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83" w:type="dxa"/>
            <w:vMerge w:val="continue"/>
            <w:vAlign w:val="center"/>
          </w:tcPr>
          <w:p>
            <w:pPr>
              <w:keepNext w:val="0"/>
              <w:keepLines w:val="0"/>
              <w:pageBreakBefore w:val="0"/>
              <w:widowControl w:val="0"/>
              <w:kinsoku/>
              <w:wordWrap/>
              <w:overflowPunct/>
              <w:topLinePunct w:val="0"/>
              <w:bidi w:val="0"/>
              <w:spacing w:line="576" w:lineRule="exact"/>
              <w:ind w:left="0"/>
              <w:jc w:val="left"/>
              <w:textAlignment w:val="auto"/>
              <w:outlineLvl w:val="0"/>
              <w:rPr>
                <w:rFonts w:ascii="宋体" w:hAnsi="宋体" w:cs="Times New Roman"/>
                <w:color w:val="000000" w:themeColor="text1"/>
                <w:szCs w:val="24"/>
                <w14:textFill>
                  <w14:solidFill>
                    <w14:schemeClr w14:val="tx1"/>
                  </w14:solidFill>
                </w14:textFill>
              </w:rPr>
            </w:pPr>
          </w:p>
        </w:tc>
        <w:tc>
          <w:tcPr>
            <w:tcW w:w="1494" w:type="dxa"/>
            <w:vMerge w:val="continue"/>
            <w:vAlign w:val="center"/>
          </w:tcPr>
          <w:p>
            <w:pPr>
              <w:keepNext w:val="0"/>
              <w:keepLines w:val="0"/>
              <w:pageBreakBefore w:val="0"/>
              <w:widowControl w:val="0"/>
              <w:kinsoku/>
              <w:wordWrap/>
              <w:overflowPunct/>
              <w:topLinePunct w:val="0"/>
              <w:bidi w:val="0"/>
              <w:spacing w:line="576" w:lineRule="exact"/>
              <w:ind w:left="0"/>
              <w:jc w:val="left"/>
              <w:textAlignment w:val="auto"/>
              <w:outlineLvl w:val="0"/>
              <w:rPr>
                <w:rFonts w:ascii="宋体" w:hAnsi="宋体" w:cs="Times New Roman"/>
                <w:color w:val="000000" w:themeColor="text1"/>
                <w:szCs w:val="24"/>
                <w14:textFill>
                  <w14:solidFill>
                    <w14:schemeClr w14:val="tx1"/>
                  </w14:solidFill>
                </w14:textFill>
              </w:rPr>
            </w:pPr>
          </w:p>
        </w:tc>
        <w:tc>
          <w:tcPr>
            <w:tcW w:w="1259" w:type="dxa"/>
            <w:vMerge w:val="continue"/>
            <w:vAlign w:val="center"/>
          </w:tcPr>
          <w:p>
            <w:pPr>
              <w:keepNext w:val="0"/>
              <w:keepLines w:val="0"/>
              <w:pageBreakBefore w:val="0"/>
              <w:widowControl w:val="0"/>
              <w:kinsoku/>
              <w:wordWrap/>
              <w:overflowPunct/>
              <w:topLinePunct w:val="0"/>
              <w:bidi w:val="0"/>
              <w:spacing w:line="576" w:lineRule="exact"/>
              <w:ind w:left="0"/>
              <w:jc w:val="left"/>
              <w:textAlignment w:val="auto"/>
              <w:outlineLvl w:val="0"/>
              <w:rPr>
                <w:rFonts w:ascii="宋体" w:hAnsi="宋体" w:cs="Times New Roman"/>
                <w:color w:val="000000" w:themeColor="text1"/>
                <w:szCs w:val="24"/>
                <w14:textFill>
                  <w14:solidFill>
                    <w14:schemeClr w14:val="tx1"/>
                  </w14:solidFill>
                </w14:textFill>
              </w:rPr>
            </w:pPr>
          </w:p>
        </w:tc>
        <w:tc>
          <w:tcPr>
            <w:tcW w:w="2864" w:type="dxa"/>
            <w:vMerge w:val="continue"/>
            <w:vAlign w:val="center"/>
          </w:tcPr>
          <w:p>
            <w:pPr>
              <w:keepNext w:val="0"/>
              <w:keepLines w:val="0"/>
              <w:pageBreakBefore w:val="0"/>
              <w:widowControl w:val="0"/>
              <w:kinsoku/>
              <w:wordWrap/>
              <w:overflowPunct/>
              <w:topLinePunct w:val="0"/>
              <w:bidi w:val="0"/>
              <w:spacing w:line="576" w:lineRule="exact"/>
              <w:ind w:left="0"/>
              <w:jc w:val="left"/>
              <w:textAlignment w:val="auto"/>
              <w:outlineLvl w:val="0"/>
              <w:rPr>
                <w:rFonts w:ascii="宋体" w:hAnsi="宋体" w:cs="Times New Roman"/>
                <w:color w:val="000000" w:themeColor="text1"/>
                <w:szCs w:val="24"/>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83" w:type="dxa"/>
            <w:vAlign w:val="center"/>
          </w:tcPr>
          <w:p>
            <w:pPr>
              <w:keepNext w:val="0"/>
              <w:keepLines w:val="0"/>
              <w:pageBreakBefore w:val="0"/>
              <w:widowControl w:val="0"/>
              <w:kinsoku/>
              <w:wordWrap/>
              <w:overflowPunct/>
              <w:topLinePunct w:val="0"/>
              <w:bidi w:val="0"/>
              <w:spacing w:line="576" w:lineRule="exact"/>
              <w:ind w:left="0"/>
              <w:jc w:val="left"/>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石家庄市鹿泉区应急管理局</w:t>
            </w:r>
          </w:p>
        </w:tc>
        <w:tc>
          <w:tcPr>
            <w:tcW w:w="149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行政</w:t>
            </w:r>
          </w:p>
        </w:tc>
        <w:tc>
          <w:tcPr>
            <w:tcW w:w="1259"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正科级</w:t>
            </w:r>
          </w:p>
        </w:tc>
        <w:tc>
          <w:tcPr>
            <w:tcW w:w="286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83" w:type="dxa"/>
            <w:vAlign w:val="center"/>
          </w:tcPr>
          <w:p>
            <w:pPr>
              <w:keepNext w:val="0"/>
              <w:keepLines w:val="0"/>
              <w:pageBreakBefore w:val="0"/>
              <w:widowControl w:val="0"/>
              <w:kinsoku/>
              <w:wordWrap/>
              <w:overflowPunct/>
              <w:topLinePunct w:val="0"/>
              <w:bidi w:val="0"/>
              <w:spacing w:line="576" w:lineRule="exact"/>
              <w:ind w:left="0"/>
              <w:jc w:val="left"/>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石家庄市鹿泉区安全生产监察大队</w:t>
            </w:r>
          </w:p>
        </w:tc>
        <w:tc>
          <w:tcPr>
            <w:tcW w:w="149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事业</w:t>
            </w:r>
          </w:p>
        </w:tc>
        <w:tc>
          <w:tcPr>
            <w:tcW w:w="1259"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副科级</w:t>
            </w:r>
          </w:p>
        </w:tc>
        <w:tc>
          <w:tcPr>
            <w:tcW w:w="286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83" w:type="dxa"/>
            <w:vAlign w:val="center"/>
          </w:tcPr>
          <w:p>
            <w:pPr>
              <w:keepNext w:val="0"/>
              <w:keepLines w:val="0"/>
              <w:pageBreakBefore w:val="0"/>
              <w:widowControl w:val="0"/>
              <w:kinsoku/>
              <w:wordWrap/>
              <w:overflowPunct/>
              <w:topLinePunct w:val="0"/>
              <w:bidi w:val="0"/>
              <w:spacing w:line="576" w:lineRule="exact"/>
              <w:ind w:left="0"/>
              <w:jc w:val="left"/>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石家庄市鹿泉区应急消防大队</w:t>
            </w:r>
          </w:p>
        </w:tc>
        <w:tc>
          <w:tcPr>
            <w:tcW w:w="149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事业</w:t>
            </w:r>
          </w:p>
        </w:tc>
        <w:tc>
          <w:tcPr>
            <w:tcW w:w="1259"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股级</w:t>
            </w:r>
          </w:p>
        </w:tc>
        <w:tc>
          <w:tcPr>
            <w:tcW w:w="286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83" w:type="dxa"/>
            <w:vAlign w:val="center"/>
          </w:tcPr>
          <w:p>
            <w:pPr>
              <w:keepNext w:val="0"/>
              <w:keepLines w:val="0"/>
              <w:pageBreakBefore w:val="0"/>
              <w:widowControl w:val="0"/>
              <w:kinsoku/>
              <w:wordWrap/>
              <w:overflowPunct/>
              <w:topLinePunct w:val="0"/>
              <w:bidi w:val="0"/>
              <w:spacing w:line="576" w:lineRule="exact"/>
              <w:ind w:left="0"/>
              <w:jc w:val="left"/>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石家庄市鹿泉区防震减灾服务中心</w:t>
            </w:r>
          </w:p>
        </w:tc>
        <w:tc>
          <w:tcPr>
            <w:tcW w:w="149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事业</w:t>
            </w:r>
          </w:p>
        </w:tc>
        <w:tc>
          <w:tcPr>
            <w:tcW w:w="1259"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hint="eastAsia" w:ascii="宋体" w:hAnsi="宋体" w:eastAsia="方正书宋_GBK" w:cs="Times New Roman"/>
                <w:color w:val="000000" w:themeColor="text1"/>
                <w:szCs w:val="24"/>
                <w:lang w:eastAsia="zh-CN"/>
                <w14:textFill>
                  <w14:solidFill>
                    <w14:schemeClr w14:val="tx1"/>
                  </w14:solidFill>
                </w14:textFill>
              </w:rPr>
            </w:pPr>
            <w:r>
              <w:rPr>
                <w:rFonts w:hint="eastAsia" w:ascii="宋体" w:hAnsi="宋体" w:eastAsia="方正书宋_GBK" w:cs="Times New Roman"/>
                <w:color w:val="000000" w:themeColor="text1"/>
                <w:szCs w:val="24"/>
                <w:lang w:eastAsia="zh-CN"/>
                <w14:textFill>
                  <w14:solidFill>
                    <w14:schemeClr w14:val="tx1"/>
                  </w14:solidFill>
                </w14:textFill>
              </w:rPr>
              <w:t>股级</w:t>
            </w:r>
          </w:p>
        </w:tc>
        <w:tc>
          <w:tcPr>
            <w:tcW w:w="2864" w:type="dxa"/>
            <w:vAlign w:val="center"/>
          </w:tcPr>
          <w:p>
            <w:pPr>
              <w:keepNext w:val="0"/>
              <w:keepLines w:val="0"/>
              <w:pageBreakBefore w:val="0"/>
              <w:widowControl w:val="0"/>
              <w:kinsoku/>
              <w:wordWrap/>
              <w:overflowPunct/>
              <w:topLinePunct w:val="0"/>
              <w:bidi w:val="0"/>
              <w:spacing w:line="576" w:lineRule="exact"/>
              <w:ind w:left="0"/>
              <w:jc w:val="center"/>
              <w:textAlignment w:val="auto"/>
              <w:rPr>
                <w:rFonts w:ascii="宋体" w:hAnsi="宋体" w:eastAsia="方正书宋_GBK" w:cs="Times New Roman"/>
                <w:color w:val="000000" w:themeColor="text1"/>
                <w:szCs w:val="24"/>
                <w14:textFill>
                  <w14:solidFill>
                    <w14:schemeClr w14:val="tx1"/>
                  </w14:solidFill>
                </w14:textFill>
              </w:rPr>
            </w:pPr>
            <w:r>
              <w:rPr>
                <w:rFonts w:hint="eastAsia" w:ascii="宋体" w:hAnsi="宋体" w:eastAsia="方正书宋_GBK"/>
                <w:color w:val="000000" w:themeColor="text1"/>
                <w14:textFill>
                  <w14:solidFill>
                    <w14:schemeClr w14:val="tx1"/>
                  </w14:solidFill>
                </w14:textFill>
              </w:rPr>
              <w:t>财政拨款</w:t>
            </w:r>
          </w:p>
        </w:tc>
      </w:tr>
    </w:tbl>
    <w:p>
      <w:pPr>
        <w:keepNext w:val="0"/>
        <w:keepLines w:val="0"/>
        <w:pageBreakBefore w:val="0"/>
        <w:widowControl w:val="0"/>
        <w:kinsoku/>
        <w:wordWrap/>
        <w:overflowPunct/>
        <w:topLinePunct w:val="0"/>
        <w:bidi w:val="0"/>
        <w:spacing w:line="576" w:lineRule="exact"/>
        <w:ind w:left="0" w:firstLine="640"/>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二、部门预算安排的总体情况</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按照预算管理有关规定，目前我</w:t>
      </w:r>
      <w:r>
        <w:rPr>
          <w:rFonts w:hint="eastAsia" w:ascii="宋体" w:hAnsi="宋体" w:eastAsia="仿宋" w:cs="仿宋"/>
          <w:color w:val="000000" w:themeColor="text1"/>
          <w:sz w:val="32"/>
          <w:szCs w:val="32"/>
          <w:lang w:eastAsia="zh-CN"/>
          <w14:textFill>
            <w14:solidFill>
              <w14:schemeClr w14:val="tx1"/>
            </w14:solidFill>
          </w14:textFill>
        </w:rPr>
        <w:t>局部门</w:t>
      </w:r>
      <w:r>
        <w:rPr>
          <w:rFonts w:hint="eastAsia" w:ascii="宋体" w:hAnsi="宋体" w:eastAsia="仿宋" w:cs="仿宋"/>
          <w:color w:val="000000" w:themeColor="text1"/>
          <w:sz w:val="32"/>
          <w:szCs w:val="32"/>
          <w14:textFill>
            <w14:solidFill>
              <w14:schemeClr w14:val="tx1"/>
            </w14:solidFill>
          </w14:textFill>
        </w:rPr>
        <w:t>预算</w:t>
      </w:r>
      <w:r>
        <w:rPr>
          <w:rFonts w:hint="eastAsia" w:ascii="宋体" w:hAnsi="宋体" w:eastAsia="仿宋" w:cs="仿宋"/>
          <w:color w:val="000000" w:themeColor="text1"/>
          <w:sz w:val="32"/>
          <w:szCs w:val="32"/>
          <w:lang w:eastAsia="zh-CN"/>
          <w14:textFill>
            <w14:solidFill>
              <w14:schemeClr w14:val="tx1"/>
            </w14:solidFill>
          </w14:textFill>
        </w:rPr>
        <w:t>实行统一</w:t>
      </w:r>
      <w:r>
        <w:rPr>
          <w:rFonts w:hint="eastAsia" w:ascii="宋体" w:hAnsi="宋体" w:eastAsia="仿宋" w:cs="仿宋"/>
          <w:color w:val="000000" w:themeColor="text1"/>
          <w:sz w:val="32"/>
          <w:szCs w:val="32"/>
          <w14:textFill>
            <w14:solidFill>
              <w14:schemeClr w14:val="tx1"/>
            </w14:solidFill>
          </w14:textFill>
        </w:rPr>
        <w:t>管理，即全部收入和支出都反映的预算中。</w:t>
      </w:r>
      <w:r>
        <w:rPr>
          <w:rFonts w:hint="eastAsia" w:ascii="宋体" w:hAnsi="宋体" w:eastAsia="仿宋" w:cs="仿宋"/>
          <w:color w:val="000000" w:themeColor="text1"/>
          <w:sz w:val="32"/>
          <w:szCs w:val="32"/>
          <w:lang w:eastAsia="zh-CN"/>
          <w14:textFill>
            <w14:solidFill>
              <w14:schemeClr w14:val="tx1"/>
            </w14:solidFill>
          </w14:textFill>
        </w:rPr>
        <w:t>我局</w:t>
      </w:r>
      <w:r>
        <w:rPr>
          <w:rFonts w:hint="eastAsia" w:ascii="宋体" w:hAnsi="宋体" w:eastAsia="仿宋" w:cs="仿宋"/>
          <w:color w:val="000000" w:themeColor="text1"/>
          <w:sz w:val="32"/>
          <w:szCs w:val="32"/>
          <w14:textFill>
            <w14:solidFill>
              <w14:schemeClr w14:val="tx1"/>
            </w14:solidFill>
          </w14:textFill>
        </w:rPr>
        <w:t>所属事业单位的收支包含在部门预算中。</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1、收入说明</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反映本部门当年全部收入。2020年预算收入</w:t>
      </w:r>
      <w:r>
        <w:rPr>
          <w:rFonts w:hint="eastAsia" w:ascii="宋体" w:hAnsi="宋体" w:eastAsia="仿宋" w:cs="仿宋"/>
          <w:color w:val="000000" w:themeColor="text1"/>
          <w:sz w:val="32"/>
          <w:szCs w:val="32"/>
          <w:lang w:val="en-US" w:eastAsia="zh-CN"/>
          <w14:textFill>
            <w14:solidFill>
              <w14:schemeClr w14:val="tx1"/>
            </w14:solidFill>
          </w14:textFill>
        </w:rPr>
        <w:t>1937.04</w:t>
      </w:r>
      <w:r>
        <w:rPr>
          <w:rFonts w:hint="eastAsia" w:ascii="宋体" w:hAnsi="宋体" w:eastAsia="仿宋" w:cs="仿宋"/>
          <w:color w:val="000000" w:themeColor="text1"/>
          <w:sz w:val="32"/>
          <w:szCs w:val="32"/>
          <w14:textFill>
            <w14:solidFill>
              <w14:schemeClr w14:val="tx1"/>
            </w14:solidFill>
          </w14:textFill>
        </w:rPr>
        <w:t>万元，其中：一般公共预算收入</w:t>
      </w:r>
      <w:r>
        <w:rPr>
          <w:rFonts w:hint="eastAsia" w:ascii="宋体" w:hAnsi="宋体" w:eastAsia="仿宋" w:cs="仿宋"/>
          <w:color w:val="000000" w:themeColor="text1"/>
          <w:sz w:val="32"/>
          <w:szCs w:val="32"/>
          <w:lang w:val="en-US" w:eastAsia="zh-CN"/>
          <w14:textFill>
            <w14:solidFill>
              <w14:schemeClr w14:val="tx1"/>
            </w14:solidFill>
          </w14:textFill>
        </w:rPr>
        <w:t>1937.04</w:t>
      </w:r>
      <w:r>
        <w:rPr>
          <w:rFonts w:hint="eastAsia" w:ascii="宋体" w:hAnsi="宋体" w:eastAsia="仿宋" w:cs="仿宋"/>
          <w:color w:val="000000" w:themeColor="text1"/>
          <w:sz w:val="32"/>
          <w:szCs w:val="32"/>
          <w14:textFill>
            <w14:solidFill>
              <w14:schemeClr w14:val="tx1"/>
            </w14:solidFill>
          </w14:textFill>
        </w:rPr>
        <w:t>万元，基金预算收入0万元，</w:t>
      </w:r>
      <w:r>
        <w:rPr>
          <w:rFonts w:hint="eastAsia" w:ascii="宋体" w:hAnsi="宋体" w:eastAsia="仿宋" w:cs="仿宋"/>
          <w:color w:val="000000" w:themeColor="text1"/>
          <w:sz w:val="32"/>
          <w:szCs w:val="32"/>
          <w:lang w:eastAsia="zh-CN"/>
          <w14:textFill>
            <w14:solidFill>
              <w14:schemeClr w14:val="tx1"/>
            </w14:solidFill>
          </w14:textFill>
        </w:rPr>
        <w:t>国有资本经营预算拨款收入</w:t>
      </w:r>
      <w:r>
        <w:rPr>
          <w:rFonts w:hint="eastAsia" w:ascii="宋体" w:hAnsi="宋体" w:eastAsia="仿宋" w:cs="仿宋"/>
          <w:color w:val="000000" w:themeColor="text1"/>
          <w:sz w:val="32"/>
          <w:szCs w:val="32"/>
          <w:lang w:val="en-US" w:eastAsia="zh-CN"/>
          <w14:textFill>
            <w14:solidFill>
              <w14:schemeClr w14:val="tx1"/>
            </w14:solidFill>
          </w14:textFill>
        </w:rPr>
        <w:t>0万元，</w:t>
      </w:r>
      <w:r>
        <w:rPr>
          <w:rFonts w:hint="eastAsia" w:ascii="宋体" w:hAnsi="宋体" w:eastAsia="仿宋" w:cs="仿宋"/>
          <w:color w:val="000000" w:themeColor="text1"/>
          <w:sz w:val="32"/>
          <w:szCs w:val="32"/>
          <w14:textFill>
            <w14:solidFill>
              <w14:schemeClr w14:val="tx1"/>
            </w14:solidFill>
          </w14:textFill>
        </w:rPr>
        <w:t>财政专户核拨收入0万元，其他来源收入0万元。</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2、支出说明</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收支预算总表支出栏、基本支出表、项目支出表按经济分类和支出功能分类科目编制，反映</w:t>
      </w:r>
      <w:r>
        <w:rPr>
          <w:rFonts w:hint="eastAsia" w:ascii="宋体" w:hAnsi="宋体" w:eastAsia="仿宋" w:cs="仿宋"/>
          <w:color w:val="000000" w:themeColor="text1"/>
          <w:sz w:val="32"/>
          <w:szCs w:val="32"/>
          <w:lang w:eastAsia="zh-CN"/>
          <w14:textFill>
            <w14:solidFill>
              <w14:schemeClr w14:val="tx1"/>
            </w14:solidFill>
          </w14:textFill>
        </w:rPr>
        <w:t>石家庄市鹿泉区应急管理局</w:t>
      </w:r>
      <w:r>
        <w:rPr>
          <w:rFonts w:hint="eastAsia" w:ascii="宋体" w:hAnsi="宋体" w:eastAsia="仿宋" w:cs="仿宋"/>
          <w:color w:val="000000" w:themeColor="text1"/>
          <w:sz w:val="32"/>
          <w:szCs w:val="32"/>
          <w14:textFill>
            <w14:solidFill>
              <w14:schemeClr w14:val="tx1"/>
            </w14:solidFill>
          </w14:textFill>
        </w:rPr>
        <w:t>年度部门预算中支出预算的总体情况。</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lang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2020年部门支出预算为</w:t>
      </w:r>
      <w:r>
        <w:rPr>
          <w:rFonts w:hint="eastAsia" w:ascii="宋体" w:hAnsi="宋体" w:eastAsia="仿宋" w:cs="仿宋"/>
          <w:color w:val="000000" w:themeColor="text1"/>
          <w:sz w:val="32"/>
          <w:szCs w:val="32"/>
          <w:lang w:val="en-US" w:eastAsia="zh-CN"/>
          <w14:textFill>
            <w14:solidFill>
              <w14:schemeClr w14:val="tx1"/>
            </w14:solidFill>
          </w14:textFill>
        </w:rPr>
        <w:t>1937.04</w:t>
      </w:r>
      <w:r>
        <w:rPr>
          <w:rFonts w:hint="eastAsia" w:ascii="宋体" w:hAnsi="宋体" w:eastAsia="仿宋" w:cs="仿宋"/>
          <w:color w:val="000000" w:themeColor="text1"/>
          <w:sz w:val="32"/>
          <w:szCs w:val="32"/>
          <w14:textFill>
            <w14:solidFill>
              <w14:schemeClr w14:val="tx1"/>
            </w14:solidFill>
          </w14:textFill>
        </w:rPr>
        <w:t>万元</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lang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其中</w:t>
      </w:r>
      <w:r>
        <w:rPr>
          <w:rFonts w:hint="eastAsia" w:ascii="宋体" w:hAnsi="宋体" w:eastAsia="仿宋" w:cs="仿宋"/>
          <w:color w:val="000000" w:themeColor="text1"/>
          <w:sz w:val="32"/>
          <w:szCs w:val="32"/>
          <w:lang w:eastAsia="zh-CN"/>
          <w14:textFill>
            <w14:solidFill>
              <w14:schemeClr w14:val="tx1"/>
            </w14:solidFill>
          </w14:textFill>
        </w:rPr>
        <w:t>：</w:t>
      </w:r>
      <w:r>
        <w:rPr>
          <w:rFonts w:hint="eastAsia" w:ascii="宋体" w:hAnsi="宋体" w:eastAsia="仿宋" w:cs="仿宋"/>
          <w:color w:val="000000" w:themeColor="text1"/>
          <w:sz w:val="32"/>
          <w:szCs w:val="32"/>
          <w:lang w:val="en-US" w:eastAsia="zh-CN"/>
          <w14:textFill>
            <w14:solidFill>
              <w14:schemeClr w14:val="tx1"/>
            </w14:solidFill>
          </w14:textFill>
        </w:rPr>
        <w:t>（一）</w:t>
      </w:r>
      <w:r>
        <w:rPr>
          <w:rFonts w:hint="eastAsia" w:ascii="宋体" w:hAnsi="宋体" w:eastAsia="仿宋" w:cs="仿宋"/>
          <w:color w:val="000000" w:themeColor="text1"/>
          <w:sz w:val="32"/>
          <w:szCs w:val="32"/>
          <w14:textFill>
            <w14:solidFill>
              <w14:schemeClr w14:val="tx1"/>
            </w14:solidFill>
          </w14:textFill>
        </w:rPr>
        <w:t>基本支出</w:t>
      </w:r>
      <w:r>
        <w:rPr>
          <w:rFonts w:hint="eastAsia" w:ascii="宋体" w:hAnsi="宋体" w:eastAsia="仿宋" w:cs="仿宋"/>
          <w:color w:val="000000" w:themeColor="text1"/>
          <w:sz w:val="32"/>
          <w:szCs w:val="32"/>
          <w:lang w:val="en-US" w:eastAsia="zh-CN"/>
          <w14:textFill>
            <w14:solidFill>
              <w14:schemeClr w14:val="tx1"/>
            </w14:solidFill>
          </w14:textFill>
        </w:rPr>
        <w:t>1440.94</w:t>
      </w:r>
      <w:r>
        <w:rPr>
          <w:rFonts w:hint="eastAsia" w:ascii="宋体" w:hAnsi="宋体" w:eastAsia="仿宋" w:cs="仿宋"/>
          <w:color w:val="000000" w:themeColor="text1"/>
          <w:sz w:val="32"/>
          <w:szCs w:val="32"/>
          <w14:textFill>
            <w14:solidFill>
              <w14:schemeClr w14:val="tx1"/>
            </w14:solidFill>
          </w14:textFill>
        </w:rPr>
        <w:t>万元，包括人员经费</w:t>
      </w:r>
      <w:r>
        <w:rPr>
          <w:rFonts w:hint="eastAsia" w:ascii="宋体" w:hAnsi="宋体" w:eastAsia="仿宋" w:cs="仿宋"/>
          <w:color w:val="000000" w:themeColor="text1"/>
          <w:sz w:val="32"/>
          <w:szCs w:val="32"/>
          <w:lang w:val="en-US" w:eastAsia="zh-CN"/>
          <w14:textFill>
            <w14:solidFill>
              <w14:schemeClr w14:val="tx1"/>
            </w14:solidFill>
          </w14:textFill>
        </w:rPr>
        <w:t>1279.37</w:t>
      </w:r>
      <w:r>
        <w:rPr>
          <w:rFonts w:hint="eastAsia" w:ascii="宋体" w:hAnsi="宋体" w:eastAsia="仿宋" w:cs="仿宋"/>
          <w:color w:val="000000" w:themeColor="text1"/>
          <w:sz w:val="32"/>
          <w:szCs w:val="32"/>
          <w14:textFill>
            <w14:solidFill>
              <w14:schemeClr w14:val="tx1"/>
            </w14:solidFill>
          </w14:textFill>
        </w:rPr>
        <w:t>万元和日常公用经费</w:t>
      </w:r>
      <w:r>
        <w:rPr>
          <w:rFonts w:hint="eastAsia" w:ascii="宋体" w:hAnsi="宋体" w:eastAsia="仿宋" w:cs="仿宋"/>
          <w:color w:val="000000" w:themeColor="text1"/>
          <w:sz w:val="32"/>
          <w:szCs w:val="32"/>
          <w:lang w:val="en-US" w:eastAsia="zh-CN"/>
          <w14:textFill>
            <w14:solidFill>
              <w14:schemeClr w14:val="tx1"/>
            </w14:solidFill>
          </w14:textFill>
        </w:rPr>
        <w:t>161.57</w:t>
      </w:r>
      <w:r>
        <w:rPr>
          <w:rFonts w:hint="eastAsia" w:ascii="宋体" w:hAnsi="宋体" w:eastAsia="仿宋" w:cs="仿宋"/>
          <w:color w:val="000000" w:themeColor="text1"/>
          <w:sz w:val="32"/>
          <w:szCs w:val="32"/>
          <w14:textFill>
            <w14:solidFill>
              <w14:schemeClr w14:val="tx1"/>
            </w14:solidFill>
          </w14:textFill>
        </w:rPr>
        <w:t>万元</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（二）</w:t>
      </w:r>
      <w:r>
        <w:rPr>
          <w:rFonts w:hint="eastAsia" w:ascii="宋体" w:hAnsi="宋体" w:eastAsia="仿宋" w:cs="仿宋"/>
          <w:color w:val="000000" w:themeColor="text1"/>
          <w:sz w:val="32"/>
          <w:szCs w:val="32"/>
          <w14:textFill>
            <w14:solidFill>
              <w14:schemeClr w14:val="tx1"/>
            </w14:solidFill>
          </w14:textFill>
        </w:rPr>
        <w:t>项目支出</w:t>
      </w:r>
      <w:r>
        <w:rPr>
          <w:rFonts w:hint="eastAsia" w:ascii="宋体" w:hAnsi="宋体" w:eastAsia="仿宋" w:cs="仿宋"/>
          <w:color w:val="000000" w:themeColor="text1"/>
          <w:sz w:val="32"/>
          <w:szCs w:val="32"/>
          <w:lang w:val="en-US" w:eastAsia="zh-CN"/>
          <w14:textFill>
            <w14:solidFill>
              <w14:schemeClr w14:val="tx1"/>
            </w14:solidFill>
          </w14:textFill>
        </w:rPr>
        <w:t>496.10</w:t>
      </w:r>
      <w:r>
        <w:rPr>
          <w:rFonts w:hint="eastAsia" w:ascii="宋体" w:hAnsi="宋体" w:eastAsia="仿宋" w:cs="仿宋"/>
          <w:color w:val="000000" w:themeColor="text1"/>
          <w:sz w:val="32"/>
          <w:szCs w:val="32"/>
          <w14:textFill>
            <w14:solidFill>
              <w14:schemeClr w14:val="tx1"/>
            </w14:solidFill>
          </w14:textFill>
        </w:rPr>
        <w:t>万元，</w:t>
      </w:r>
      <w:r>
        <w:rPr>
          <w:rFonts w:hint="eastAsia" w:ascii="宋体" w:hAnsi="宋体" w:eastAsia="仿宋" w:cs="仿宋"/>
          <w:color w:val="000000" w:themeColor="text1"/>
          <w:sz w:val="32"/>
          <w:szCs w:val="32"/>
          <w:lang w:eastAsia="zh-CN"/>
          <w14:textFill>
            <w14:solidFill>
              <w14:schemeClr w14:val="tx1"/>
            </w14:solidFill>
          </w14:textFill>
        </w:rPr>
        <w:t>包括：</w:t>
      </w:r>
      <w:r>
        <w:rPr>
          <w:rFonts w:hint="eastAsia" w:ascii="宋体" w:hAnsi="宋体" w:eastAsia="仿宋" w:cs="仿宋"/>
          <w:color w:val="000000" w:themeColor="text1"/>
          <w:sz w:val="32"/>
          <w:szCs w:val="32"/>
          <w:lang w:val="en-US" w:eastAsia="zh-CN"/>
          <w14:textFill>
            <w14:solidFill>
              <w14:schemeClr w14:val="tx1"/>
            </w14:solidFill>
          </w14:textFill>
        </w:rPr>
        <w:t>1、</w:t>
      </w:r>
      <w:r>
        <w:rPr>
          <w:rFonts w:hint="eastAsia" w:ascii="宋体" w:hAnsi="宋体" w:eastAsia="仿宋" w:cs="仿宋"/>
          <w:color w:val="000000" w:themeColor="text1"/>
          <w:sz w:val="32"/>
          <w:szCs w:val="32"/>
          <w:lang w:eastAsia="zh-CN"/>
          <w14:textFill>
            <w14:solidFill>
              <w14:schemeClr w14:val="tx1"/>
            </w14:solidFill>
          </w14:textFill>
        </w:rPr>
        <w:t>宣传教育培训费</w:t>
      </w:r>
      <w:r>
        <w:rPr>
          <w:rFonts w:hint="eastAsia" w:ascii="宋体" w:hAnsi="宋体" w:eastAsia="仿宋" w:cs="仿宋"/>
          <w:color w:val="000000" w:themeColor="text1"/>
          <w:sz w:val="32"/>
          <w:szCs w:val="32"/>
          <w:lang w:val="en-US" w:eastAsia="zh-CN"/>
          <w14:textFill>
            <w14:solidFill>
              <w14:schemeClr w14:val="tx1"/>
            </w14:solidFill>
          </w14:textFill>
        </w:rPr>
        <w:t>5万元；2、安全生产举报奖励费5万元；3、安全生产目标奖励费58万元；4、各类应急预案演练5万元；5、安全员工资16.50万元；6、防汛抗旱卫星电话通讯维修费3.90万元；7、防汛抗旱指挥部防汛号备物资、应急物品、办公经费6万元；8、关于提前下达2020年非煤矿山综合治理专项资金的通知180万元；9、关于提前下达2020年自然灾害救助专项资金的通知42万元；10、农村住房灾害保险50万元；11、涉军公益岗位工资7.70万元；12、危险化学品安全生产风险监测预警系统建设10万元；13、应急防护服装和装备配备10万元；14、应急指挥中心建设资金10万元；15、政府购买应急管理服务费10万元；16、执法业务费37万元；17、重大危险源监控专线租赁费和维护费10万元；18、综合防灾专项规划30万元。</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3、比上年增减情况</w:t>
      </w:r>
    </w:p>
    <w:p>
      <w:pPr>
        <w:keepNext w:val="0"/>
        <w:keepLines w:val="0"/>
        <w:pageBreakBefore w:val="0"/>
        <w:widowControl w:val="0"/>
        <w:kinsoku/>
        <w:wordWrap/>
        <w:overflowPunct/>
        <w:topLinePunct w:val="0"/>
        <w:bidi w:val="0"/>
        <w:spacing w:line="576" w:lineRule="exact"/>
        <w:ind w:left="0" w:firstLine="64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2020年部门预算收支安排</w:t>
      </w:r>
      <w:r>
        <w:rPr>
          <w:rFonts w:hint="eastAsia" w:ascii="宋体" w:hAnsi="宋体" w:eastAsia="仿宋" w:cs="仿宋"/>
          <w:color w:val="000000" w:themeColor="text1"/>
          <w:sz w:val="32"/>
          <w:szCs w:val="32"/>
          <w:lang w:val="en-US" w:eastAsia="zh-CN"/>
          <w14:textFill>
            <w14:solidFill>
              <w14:schemeClr w14:val="tx1"/>
            </w14:solidFill>
          </w14:textFill>
        </w:rPr>
        <w:t>1937.04</w:t>
      </w:r>
      <w:r>
        <w:rPr>
          <w:rFonts w:hint="eastAsia" w:ascii="宋体" w:hAnsi="宋体" w:eastAsia="仿宋" w:cs="仿宋"/>
          <w:color w:val="000000" w:themeColor="text1"/>
          <w:sz w:val="32"/>
          <w:szCs w:val="32"/>
          <w14:textFill>
            <w14:solidFill>
              <w14:schemeClr w14:val="tx1"/>
            </w14:solidFill>
          </w14:textFill>
        </w:rPr>
        <w:t>万元，较2019年增加</w:t>
      </w:r>
      <w:r>
        <w:rPr>
          <w:rFonts w:hint="eastAsia" w:ascii="宋体" w:hAnsi="宋体" w:eastAsia="仿宋" w:cs="仿宋"/>
          <w:color w:val="000000" w:themeColor="text1"/>
          <w:sz w:val="32"/>
          <w:szCs w:val="32"/>
          <w:lang w:val="en-US" w:eastAsia="zh-CN"/>
          <w14:textFill>
            <w14:solidFill>
              <w14:schemeClr w14:val="tx1"/>
            </w14:solidFill>
          </w14:textFill>
        </w:rPr>
        <w:t>1202.04</w:t>
      </w:r>
      <w:r>
        <w:rPr>
          <w:rFonts w:hint="eastAsia" w:ascii="宋体" w:hAnsi="宋体" w:eastAsia="仿宋" w:cs="仿宋"/>
          <w:color w:val="000000" w:themeColor="text1"/>
          <w:sz w:val="32"/>
          <w:szCs w:val="32"/>
          <w14:textFill>
            <w14:solidFill>
              <w14:schemeClr w14:val="tx1"/>
            </w14:solidFill>
          </w14:textFill>
        </w:rPr>
        <w:t>万元，其中：基本支出</w:t>
      </w:r>
      <w:r>
        <w:rPr>
          <w:rFonts w:hint="eastAsia" w:ascii="宋体" w:hAnsi="宋体" w:eastAsia="仿宋" w:cs="仿宋"/>
          <w:color w:val="000000" w:themeColor="text1"/>
          <w:sz w:val="32"/>
          <w:szCs w:val="32"/>
          <w:lang w:eastAsia="zh-CN"/>
          <w14:textFill>
            <w14:solidFill>
              <w14:schemeClr w14:val="tx1"/>
            </w14:solidFill>
          </w14:textFill>
        </w:rPr>
        <w:t>增加</w:t>
      </w:r>
      <w:r>
        <w:rPr>
          <w:rFonts w:hint="eastAsia" w:ascii="宋体" w:hAnsi="宋体" w:eastAsia="仿宋" w:cs="仿宋"/>
          <w:color w:val="000000" w:themeColor="text1"/>
          <w:sz w:val="32"/>
          <w:szCs w:val="32"/>
          <w:lang w:val="en-US" w:eastAsia="zh-CN"/>
          <w14:textFill>
            <w14:solidFill>
              <w14:schemeClr w14:val="tx1"/>
            </w14:solidFill>
          </w14:textFill>
        </w:rPr>
        <w:t>913.34</w:t>
      </w:r>
      <w:r>
        <w:rPr>
          <w:rFonts w:hint="eastAsia" w:ascii="宋体" w:hAnsi="宋体" w:eastAsia="仿宋" w:cs="仿宋"/>
          <w:color w:val="000000" w:themeColor="text1"/>
          <w:sz w:val="32"/>
          <w:szCs w:val="32"/>
          <w14:textFill>
            <w14:solidFill>
              <w14:schemeClr w14:val="tx1"/>
            </w14:solidFill>
          </w14:textFill>
        </w:rPr>
        <w:t>万元，主要是</w:t>
      </w:r>
      <w:r>
        <w:rPr>
          <w:rFonts w:hint="eastAsia" w:ascii="宋体" w:hAnsi="宋体" w:eastAsia="仿宋" w:cs="仿宋"/>
          <w:color w:val="000000" w:themeColor="text1"/>
          <w:sz w:val="32"/>
          <w:szCs w:val="32"/>
          <w:lang w:eastAsia="zh-CN"/>
          <w14:textFill>
            <w14:solidFill>
              <w14:schemeClr w14:val="tx1"/>
            </w14:solidFill>
          </w14:textFill>
        </w:rPr>
        <w:t>因机构改革要求从鹿泉区公安局、科技局、水利局等部门划转我局</w:t>
      </w:r>
      <w:r>
        <w:rPr>
          <w:rFonts w:hint="eastAsia" w:ascii="宋体" w:hAnsi="宋体" w:eastAsia="仿宋" w:cs="仿宋"/>
          <w:color w:val="000000" w:themeColor="text1"/>
          <w:sz w:val="32"/>
          <w:szCs w:val="32"/>
          <w:lang w:val="en-US" w:eastAsia="zh-CN"/>
          <w14:textFill>
            <w14:solidFill>
              <w14:schemeClr w14:val="tx1"/>
            </w14:solidFill>
          </w14:textFill>
        </w:rPr>
        <w:t>58人</w:t>
      </w:r>
      <w:r>
        <w:rPr>
          <w:rFonts w:hint="eastAsia" w:ascii="宋体" w:hAnsi="宋体" w:eastAsia="仿宋" w:cs="仿宋"/>
          <w:color w:val="000000" w:themeColor="text1"/>
          <w:sz w:val="32"/>
          <w:szCs w:val="32"/>
          <w14:textFill>
            <w14:solidFill>
              <w14:schemeClr w14:val="tx1"/>
            </w14:solidFill>
          </w14:textFill>
        </w:rPr>
        <w:t>，相应</w:t>
      </w:r>
      <w:r>
        <w:rPr>
          <w:rFonts w:hint="eastAsia" w:ascii="宋体" w:hAnsi="宋体" w:eastAsia="仿宋" w:cs="仿宋"/>
          <w:color w:val="000000" w:themeColor="text1"/>
          <w:sz w:val="32"/>
          <w:szCs w:val="32"/>
          <w:lang w:eastAsia="zh-CN"/>
          <w14:textFill>
            <w14:solidFill>
              <w14:schemeClr w14:val="tx1"/>
            </w14:solidFill>
          </w14:textFill>
        </w:rPr>
        <w:t>增加</w:t>
      </w:r>
      <w:r>
        <w:rPr>
          <w:rFonts w:hint="eastAsia" w:ascii="宋体" w:hAnsi="宋体" w:eastAsia="仿宋" w:cs="仿宋"/>
          <w:color w:val="000000" w:themeColor="text1"/>
          <w:sz w:val="32"/>
          <w:szCs w:val="32"/>
          <w14:textFill>
            <w14:solidFill>
              <w14:schemeClr w14:val="tx1"/>
            </w14:solidFill>
          </w14:textFill>
        </w:rPr>
        <w:t>人员经费和日常公用经费；项目支出增加</w:t>
      </w:r>
      <w:r>
        <w:rPr>
          <w:rFonts w:hint="eastAsia" w:ascii="宋体" w:hAnsi="宋体" w:eastAsia="仿宋" w:cs="仿宋"/>
          <w:color w:val="000000" w:themeColor="text1"/>
          <w:sz w:val="32"/>
          <w:szCs w:val="32"/>
          <w:lang w:val="en-US" w:eastAsia="zh-CN"/>
          <w14:textFill>
            <w14:solidFill>
              <w14:schemeClr w14:val="tx1"/>
            </w14:solidFill>
          </w14:textFill>
        </w:rPr>
        <w:t>288.70</w:t>
      </w:r>
      <w:r>
        <w:rPr>
          <w:rFonts w:hint="eastAsia" w:ascii="宋体" w:hAnsi="宋体" w:eastAsia="仿宋" w:cs="仿宋"/>
          <w:color w:val="000000" w:themeColor="text1"/>
          <w:sz w:val="32"/>
          <w:szCs w:val="32"/>
          <w14:textFill>
            <w14:solidFill>
              <w14:schemeClr w14:val="tx1"/>
            </w14:solidFill>
          </w14:textFill>
        </w:rPr>
        <w:t>万元，主要是</w:t>
      </w:r>
      <w:r>
        <w:rPr>
          <w:rFonts w:hint="eastAsia" w:ascii="宋体" w:hAnsi="宋体" w:eastAsia="仿宋" w:cs="仿宋"/>
          <w:color w:val="000000" w:themeColor="text1"/>
          <w:sz w:val="32"/>
          <w:szCs w:val="32"/>
          <w:lang w:eastAsia="zh-CN"/>
          <w14:textFill>
            <w14:solidFill>
              <w14:schemeClr w14:val="tx1"/>
            </w14:solidFill>
          </w14:textFill>
        </w:rPr>
        <w:t>因机构改革原因，从科技局、水利局等单位的应急救援、救灾等职能划转到我局，主要增加防汛抗旱卫星电话通讯维修费、防汛抗旱指挥部防汛号备物资费、关于提前下达</w:t>
      </w:r>
      <w:r>
        <w:rPr>
          <w:rFonts w:hint="eastAsia" w:ascii="宋体" w:hAnsi="宋体" w:eastAsia="仿宋" w:cs="仿宋"/>
          <w:color w:val="000000" w:themeColor="text1"/>
          <w:sz w:val="32"/>
          <w:szCs w:val="32"/>
          <w:lang w:val="en-US" w:eastAsia="zh-CN"/>
          <w14:textFill>
            <w14:solidFill>
              <w14:schemeClr w14:val="tx1"/>
            </w14:solidFill>
          </w14:textFill>
        </w:rPr>
        <w:t>2020年非煤矿山综合治理专项资金、关于提前下达2020年自然灾害求助专项资金、农村住房灾害保险、应急防护服装和装备配备、应急指挥中心建设资金、综合防灾专项规划等项目资金的增加</w:t>
      </w:r>
      <w:r>
        <w:rPr>
          <w:rFonts w:hint="eastAsia" w:ascii="宋体" w:hAnsi="宋体" w:eastAsia="仿宋" w:cs="仿宋"/>
          <w:color w:val="000000" w:themeColor="text1"/>
          <w:sz w:val="32"/>
          <w:szCs w:val="32"/>
          <w14:textFill>
            <w14:solidFill>
              <w14:schemeClr w14:val="tx1"/>
            </w14:solidFill>
          </w14:textFill>
        </w:rPr>
        <w:t>；其他支出无增减变化。</w:t>
      </w:r>
    </w:p>
    <w:p>
      <w:pPr>
        <w:keepNext w:val="0"/>
        <w:keepLines w:val="0"/>
        <w:pageBreakBefore w:val="0"/>
        <w:widowControl w:val="0"/>
        <w:kinsoku/>
        <w:wordWrap/>
        <w:overflowPunct/>
        <w:topLinePunct w:val="0"/>
        <w:autoSpaceDE w:val="0"/>
        <w:autoSpaceDN w:val="0"/>
        <w:bidi w:val="0"/>
        <w:adjustRightInd w:val="0"/>
        <w:spacing w:line="576" w:lineRule="exact"/>
        <w:ind w:left="0" w:firstLine="960" w:firstLineChars="300"/>
        <w:jc w:val="left"/>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三、机关运行经费安排情况</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2020年，我部门机关运行经费共计安排</w:t>
      </w:r>
      <w:r>
        <w:rPr>
          <w:rFonts w:hint="eastAsia" w:ascii="宋体" w:hAnsi="宋体" w:eastAsia="仿宋" w:cs="仿宋"/>
          <w:color w:val="000000" w:themeColor="text1"/>
          <w:sz w:val="32"/>
          <w:szCs w:val="32"/>
          <w:lang w:val="en-US" w:eastAsia="zh-CN"/>
          <w14:textFill>
            <w14:solidFill>
              <w14:schemeClr w14:val="tx1"/>
            </w14:solidFill>
          </w14:textFill>
        </w:rPr>
        <w:t>161.57</w:t>
      </w:r>
      <w:r>
        <w:rPr>
          <w:rFonts w:hint="eastAsia" w:ascii="宋体" w:hAnsi="宋体" w:eastAsia="仿宋" w:cs="仿宋"/>
          <w:color w:val="000000" w:themeColor="text1"/>
          <w:sz w:val="32"/>
          <w:szCs w:val="32"/>
          <w14:textFill>
            <w14:solidFill>
              <w14:schemeClr w14:val="tx1"/>
            </w14:solidFill>
          </w14:textFill>
        </w:rPr>
        <w:t>万元，主要用于保证机关正常运转的办公费、</w:t>
      </w:r>
      <w:r>
        <w:rPr>
          <w:rFonts w:hint="eastAsia" w:ascii="宋体" w:hAnsi="宋体" w:eastAsia="仿宋" w:cs="仿宋"/>
          <w:color w:val="000000" w:themeColor="text1"/>
          <w:sz w:val="32"/>
          <w:szCs w:val="32"/>
          <w:lang w:eastAsia="zh-CN"/>
          <w14:textFill>
            <w14:solidFill>
              <w14:schemeClr w14:val="tx1"/>
            </w14:solidFill>
          </w14:textFill>
        </w:rPr>
        <w:t>水费、电费、</w:t>
      </w:r>
      <w:r>
        <w:rPr>
          <w:rFonts w:hint="eastAsia" w:ascii="宋体" w:hAnsi="宋体" w:eastAsia="仿宋" w:cs="仿宋"/>
          <w:color w:val="000000" w:themeColor="text1"/>
          <w:sz w:val="32"/>
          <w:szCs w:val="32"/>
          <w14:textFill>
            <w14:solidFill>
              <w14:schemeClr w14:val="tx1"/>
            </w14:solidFill>
          </w14:textFill>
        </w:rPr>
        <w:t>邮电费、</w:t>
      </w:r>
      <w:r>
        <w:rPr>
          <w:rFonts w:hint="eastAsia" w:ascii="宋体" w:hAnsi="宋体" w:eastAsia="仿宋" w:cs="仿宋"/>
          <w:color w:val="000000" w:themeColor="text1"/>
          <w:sz w:val="32"/>
          <w:szCs w:val="32"/>
          <w:lang w:eastAsia="zh-CN"/>
          <w14:textFill>
            <w14:solidFill>
              <w14:schemeClr w14:val="tx1"/>
            </w14:solidFill>
          </w14:textFill>
        </w:rPr>
        <w:t>办公取暖费</w:t>
      </w:r>
      <w:r>
        <w:rPr>
          <w:rFonts w:hint="eastAsia" w:ascii="宋体" w:hAnsi="宋体" w:eastAsia="仿宋" w:cs="仿宋"/>
          <w:color w:val="000000" w:themeColor="text1"/>
          <w:sz w:val="32"/>
          <w:szCs w:val="32"/>
          <w14:textFill>
            <w14:solidFill>
              <w14:schemeClr w14:val="tx1"/>
            </w14:solidFill>
          </w14:textFill>
        </w:rPr>
        <w:t>、</w:t>
      </w:r>
      <w:r>
        <w:rPr>
          <w:rFonts w:hint="eastAsia" w:ascii="宋体" w:hAnsi="宋体" w:eastAsia="仿宋" w:cs="仿宋"/>
          <w:color w:val="000000" w:themeColor="text1"/>
          <w:sz w:val="32"/>
          <w:szCs w:val="32"/>
          <w:lang w:eastAsia="zh-CN"/>
          <w14:textFill>
            <w14:solidFill>
              <w14:schemeClr w14:val="tx1"/>
            </w14:solidFill>
          </w14:textFill>
        </w:rPr>
        <w:t>物业管理费、公务用车运行维护费、公务交通补贴费、劳务费、委托业务费、工会经费、福利费、党组织活动经费</w:t>
      </w:r>
      <w:r>
        <w:rPr>
          <w:rFonts w:hint="eastAsia" w:ascii="宋体" w:hAnsi="宋体" w:eastAsia="仿宋" w:cs="仿宋"/>
          <w:color w:val="000000" w:themeColor="text1"/>
          <w:sz w:val="32"/>
          <w:szCs w:val="32"/>
          <w14:textFill>
            <w14:solidFill>
              <w14:schemeClr w14:val="tx1"/>
            </w14:solidFill>
          </w14:textFill>
        </w:rPr>
        <w:t>等支出。</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四、财政拨款</w:t>
      </w:r>
      <w:r>
        <w:rPr>
          <w:rFonts w:ascii="宋体" w:hAnsi="宋体" w:eastAsia="黑体" w:cs="Times New Roman"/>
          <w:color w:val="000000" w:themeColor="text1"/>
          <w:sz w:val="32"/>
          <w:szCs w:val="32"/>
          <w14:textFill>
            <w14:solidFill>
              <w14:schemeClr w14:val="tx1"/>
            </w14:solidFill>
          </w14:textFill>
        </w:rPr>
        <w:t>“</w:t>
      </w:r>
      <w:r>
        <w:rPr>
          <w:rFonts w:hint="eastAsia" w:ascii="宋体" w:hAnsi="宋体" w:eastAsia="黑体" w:cs="Times New Roman"/>
          <w:color w:val="000000" w:themeColor="text1"/>
          <w:sz w:val="32"/>
          <w:szCs w:val="32"/>
          <w14:textFill>
            <w14:solidFill>
              <w14:schemeClr w14:val="tx1"/>
            </w14:solidFill>
          </w14:textFill>
        </w:rPr>
        <w:t>三公</w:t>
      </w:r>
      <w:r>
        <w:rPr>
          <w:rFonts w:ascii="宋体" w:hAnsi="宋体" w:eastAsia="黑体" w:cs="Times New Roman"/>
          <w:color w:val="000000" w:themeColor="text1"/>
          <w:sz w:val="32"/>
          <w:szCs w:val="32"/>
          <w14:textFill>
            <w14:solidFill>
              <w14:schemeClr w14:val="tx1"/>
            </w14:solidFill>
          </w14:textFill>
        </w:rPr>
        <w:t>”</w:t>
      </w:r>
      <w:r>
        <w:rPr>
          <w:rFonts w:hint="eastAsia" w:ascii="宋体" w:hAnsi="宋体" w:eastAsia="黑体" w:cs="Times New Roman"/>
          <w:color w:val="000000" w:themeColor="text1"/>
          <w:sz w:val="32"/>
          <w:szCs w:val="32"/>
          <w14:textFill>
            <w14:solidFill>
              <w14:schemeClr w14:val="tx1"/>
            </w14:solidFill>
          </w14:textFill>
        </w:rPr>
        <w:t>经费预算情况及增减变化原因</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2020年，我部门财政拨款“三公”经费预算安排</w:t>
      </w:r>
      <w:r>
        <w:rPr>
          <w:rFonts w:hint="eastAsia" w:ascii="宋体" w:hAnsi="宋体" w:eastAsia="仿宋" w:cs="仿宋"/>
          <w:color w:val="000000" w:themeColor="text1"/>
          <w:sz w:val="32"/>
          <w:szCs w:val="32"/>
          <w:lang w:val="en-US" w:eastAsia="zh-CN"/>
          <w14:textFill>
            <w14:solidFill>
              <w14:schemeClr w14:val="tx1"/>
            </w14:solidFill>
          </w14:textFill>
        </w:rPr>
        <w:t>8.10</w:t>
      </w:r>
      <w:r>
        <w:rPr>
          <w:rFonts w:hint="eastAsia" w:ascii="宋体" w:hAnsi="宋体" w:eastAsia="仿宋" w:cs="仿宋"/>
          <w:color w:val="000000" w:themeColor="text1"/>
          <w:sz w:val="32"/>
          <w:szCs w:val="32"/>
          <w14:textFill>
            <w14:solidFill>
              <w14:schemeClr w14:val="tx1"/>
            </w14:solidFill>
          </w14:textFill>
        </w:rPr>
        <w:t>万元，其中：公务用车购置及运维费</w:t>
      </w:r>
      <w:r>
        <w:rPr>
          <w:rFonts w:hint="eastAsia" w:ascii="宋体" w:hAnsi="宋体" w:eastAsia="仿宋" w:cs="仿宋"/>
          <w:color w:val="000000" w:themeColor="text1"/>
          <w:sz w:val="32"/>
          <w:szCs w:val="32"/>
          <w:lang w:val="en-US" w:eastAsia="zh-CN"/>
          <w14:textFill>
            <w14:solidFill>
              <w14:schemeClr w14:val="tx1"/>
            </w14:solidFill>
          </w14:textFill>
        </w:rPr>
        <w:t>8.10</w:t>
      </w:r>
      <w:r>
        <w:rPr>
          <w:rFonts w:hint="eastAsia" w:ascii="宋体" w:hAnsi="宋体" w:eastAsia="仿宋" w:cs="仿宋"/>
          <w:color w:val="000000" w:themeColor="text1"/>
          <w:sz w:val="32"/>
          <w:szCs w:val="32"/>
          <w14:textFill>
            <w14:solidFill>
              <w14:schemeClr w14:val="tx1"/>
            </w14:solidFill>
          </w14:textFill>
        </w:rPr>
        <w:t>万元（其中：公务用车购置费0万元，公务用车运行维护费</w:t>
      </w:r>
      <w:r>
        <w:rPr>
          <w:rFonts w:hint="eastAsia" w:ascii="宋体" w:hAnsi="宋体" w:eastAsia="仿宋" w:cs="仿宋"/>
          <w:color w:val="000000" w:themeColor="text1"/>
          <w:sz w:val="32"/>
          <w:szCs w:val="32"/>
          <w:lang w:val="en-US" w:eastAsia="zh-CN"/>
          <w14:textFill>
            <w14:solidFill>
              <w14:schemeClr w14:val="tx1"/>
            </w14:solidFill>
          </w14:textFill>
        </w:rPr>
        <w:t>8.10</w:t>
      </w:r>
      <w:r>
        <w:rPr>
          <w:rFonts w:hint="eastAsia" w:ascii="宋体" w:hAnsi="宋体" w:eastAsia="仿宋" w:cs="仿宋"/>
          <w:color w:val="000000" w:themeColor="text1"/>
          <w:sz w:val="32"/>
          <w:szCs w:val="32"/>
          <w14:textFill>
            <w14:solidFill>
              <w14:schemeClr w14:val="tx1"/>
            </w14:solidFill>
          </w14:textFill>
        </w:rPr>
        <w:t>万元)；公务接待费</w:t>
      </w:r>
      <w:r>
        <w:rPr>
          <w:rFonts w:hint="eastAsia" w:ascii="宋体" w:hAnsi="宋体" w:eastAsia="仿宋" w:cs="仿宋"/>
          <w:color w:val="000000" w:themeColor="text1"/>
          <w:sz w:val="32"/>
          <w:szCs w:val="32"/>
          <w:lang w:val="en-US" w:eastAsia="zh-CN"/>
          <w14:textFill>
            <w14:solidFill>
              <w14:schemeClr w14:val="tx1"/>
            </w14:solidFill>
          </w14:textFill>
        </w:rPr>
        <w:t>0</w:t>
      </w:r>
      <w:r>
        <w:rPr>
          <w:rFonts w:hint="eastAsia" w:ascii="宋体" w:hAnsi="宋体" w:eastAsia="仿宋" w:cs="仿宋"/>
          <w:color w:val="000000" w:themeColor="text1"/>
          <w:sz w:val="32"/>
          <w:szCs w:val="32"/>
          <w14:textFill>
            <w14:solidFill>
              <w14:schemeClr w14:val="tx1"/>
            </w14:solidFill>
          </w14:textFill>
        </w:rPr>
        <w:t>万元。“三公”经费与上年</w:t>
      </w:r>
      <w:r>
        <w:rPr>
          <w:rFonts w:hint="eastAsia" w:ascii="宋体" w:hAnsi="宋体" w:eastAsia="仿宋" w:cs="仿宋"/>
          <w:color w:val="000000" w:themeColor="text1"/>
          <w:sz w:val="32"/>
          <w:szCs w:val="32"/>
          <w:lang w:eastAsia="zh-CN"/>
          <w14:textFill>
            <w14:solidFill>
              <w14:schemeClr w14:val="tx1"/>
            </w14:solidFill>
          </w14:textFill>
        </w:rPr>
        <w:t>相比减少</w:t>
      </w:r>
      <w:r>
        <w:rPr>
          <w:rFonts w:hint="eastAsia" w:ascii="宋体" w:hAnsi="宋体" w:eastAsia="仿宋" w:cs="仿宋"/>
          <w:color w:val="000000" w:themeColor="text1"/>
          <w:sz w:val="32"/>
          <w:szCs w:val="32"/>
          <w:lang w:val="en-US" w:eastAsia="zh-CN"/>
          <w14:textFill>
            <w14:solidFill>
              <w14:schemeClr w14:val="tx1"/>
            </w14:solidFill>
          </w14:textFill>
        </w:rPr>
        <w:t>1.5万元</w:t>
      </w:r>
      <w:r>
        <w:rPr>
          <w:rFonts w:hint="eastAsia" w:ascii="宋体" w:hAnsi="宋体" w:eastAsia="仿宋" w:cs="仿宋"/>
          <w:color w:val="000000" w:themeColor="text1"/>
          <w:sz w:val="32"/>
          <w:szCs w:val="32"/>
          <w14:textFill>
            <w14:solidFill>
              <w14:schemeClr w14:val="tx1"/>
            </w14:solidFill>
          </w14:textFill>
        </w:rPr>
        <w:t>，</w:t>
      </w:r>
      <w:r>
        <w:rPr>
          <w:rFonts w:hint="eastAsia" w:ascii="宋体" w:hAnsi="宋体" w:eastAsia="仿宋" w:cs="仿宋"/>
          <w:color w:val="000000" w:themeColor="text1"/>
          <w:sz w:val="32"/>
          <w:szCs w:val="32"/>
          <w:lang w:eastAsia="zh-CN"/>
          <w14:textFill>
            <w14:solidFill>
              <w14:schemeClr w14:val="tx1"/>
            </w14:solidFill>
          </w14:textFill>
        </w:rPr>
        <w:t>去年公务接待费预算安排</w:t>
      </w:r>
      <w:r>
        <w:rPr>
          <w:rFonts w:hint="eastAsia" w:ascii="宋体" w:hAnsi="宋体" w:eastAsia="仿宋" w:cs="仿宋"/>
          <w:color w:val="000000" w:themeColor="text1"/>
          <w:sz w:val="32"/>
          <w:szCs w:val="32"/>
          <w:lang w:val="en-US" w:eastAsia="zh-CN"/>
          <w14:textFill>
            <w14:solidFill>
              <w14:schemeClr w14:val="tx1"/>
            </w14:solidFill>
          </w14:textFill>
        </w:rPr>
        <w:t>1.50万元，今年公务接待费预算安排0万元</w:t>
      </w:r>
      <w:r>
        <w:rPr>
          <w:rFonts w:hint="eastAsia" w:ascii="宋体" w:hAnsi="宋体"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spacing w:line="576" w:lineRule="exact"/>
        <w:ind w:left="0" w:firstLine="640" w:firstLineChars="200"/>
        <w:jc w:val="left"/>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五、预算绩效信息</w:t>
      </w:r>
    </w:p>
    <w:p>
      <w:pPr>
        <w:keepNext w:val="0"/>
        <w:keepLines w:val="0"/>
        <w:pageBreakBefore w:val="0"/>
        <w:widowControl w:val="0"/>
        <w:kinsoku/>
        <w:wordWrap/>
        <w:overflowPunct/>
        <w:topLinePunct w:val="0"/>
        <w:bidi w:val="0"/>
        <w:snapToGrid/>
        <w:spacing w:line="576" w:lineRule="exact"/>
        <w:ind w:left="0" w:firstLine="640" w:firstLineChars="200"/>
        <w:jc w:val="center"/>
        <w:textAlignment w:val="auto"/>
        <w:rPr>
          <w:rFonts w:hint="eastAsia" w:ascii="宋体" w:hAnsi="宋体" w:eastAsia="黑体" w:cs="黑体"/>
          <w:b w:val="0"/>
          <w:bCs/>
          <w:color w:val="000000" w:themeColor="text1"/>
          <w:sz w:val="32"/>
          <w:szCs w:val="32"/>
          <w14:textFill>
            <w14:solidFill>
              <w14:schemeClr w14:val="tx1"/>
            </w14:solidFill>
          </w14:textFill>
        </w:rPr>
      </w:pPr>
      <w:bookmarkStart w:id="0" w:name="_Toc471398463"/>
      <w:r>
        <w:rPr>
          <w:rFonts w:hint="eastAsia" w:ascii="宋体" w:hAnsi="宋体" w:eastAsia="黑体" w:cs="黑体"/>
          <w:b w:val="0"/>
          <w:bCs/>
          <w:color w:val="000000" w:themeColor="text1"/>
          <w:sz w:val="32"/>
          <w:szCs w:val="32"/>
          <w14:textFill>
            <w14:solidFill>
              <w14:schemeClr w14:val="tx1"/>
            </w14:solidFill>
          </w14:textFill>
        </w:rPr>
        <w:t>第一部分  部门整体绩效目标</w:t>
      </w:r>
    </w:p>
    <w:p>
      <w:pPr>
        <w:keepNext w:val="0"/>
        <w:keepLines w:val="0"/>
        <w:pageBreakBefore w:val="0"/>
        <w:widowControl w:val="0"/>
        <w:kinsoku/>
        <w:wordWrap/>
        <w:overflowPunct/>
        <w:topLinePunct w:val="0"/>
        <w:autoSpaceDE/>
        <w:autoSpaceDN/>
        <w:bidi w:val="0"/>
        <w:snapToGrid/>
        <w:spacing w:line="576" w:lineRule="exact"/>
        <w:ind w:left="0" w:firstLine="629"/>
        <w:textAlignment w:val="auto"/>
        <w:rPr>
          <w:rFonts w:hint="eastAsia" w:ascii="宋体" w:hAnsi="宋体" w:eastAsia="仿宋" w:cs="仿宋"/>
          <w:b w:val="0"/>
          <w:bCs/>
          <w:color w:val="000000" w:themeColor="text1"/>
          <w:sz w:val="32"/>
          <w:szCs w:val="32"/>
          <w14:textFill>
            <w14:solidFill>
              <w14:schemeClr w14:val="tx1"/>
            </w14:solidFill>
          </w14:textFill>
        </w:rPr>
      </w:pPr>
      <w:r>
        <w:rPr>
          <w:rFonts w:hint="eastAsia" w:ascii="宋体" w:hAnsi="宋体" w:eastAsia="仿宋" w:cs="仿宋"/>
          <w:b w:val="0"/>
          <w:bCs/>
          <w:color w:val="000000" w:themeColor="text1"/>
          <w:sz w:val="32"/>
          <w:szCs w:val="32"/>
          <w14:textFill>
            <w14:solidFill>
              <w14:schemeClr w14:val="tx1"/>
            </w14:solidFill>
          </w14:textFill>
        </w:rPr>
        <w:t>一、总体绩效目标</w:t>
      </w:r>
    </w:p>
    <w:p>
      <w:pPr>
        <w:keepNext w:val="0"/>
        <w:keepLines w:val="0"/>
        <w:pageBreakBefore w:val="0"/>
        <w:widowControl w:val="0"/>
        <w:kinsoku/>
        <w:wordWrap/>
        <w:overflowPunct/>
        <w:topLinePunct w:val="0"/>
        <w:autoSpaceDE/>
        <w:autoSpaceDN/>
        <w:bidi w:val="0"/>
        <w:snapToGrid/>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二、分项绩效目标</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（一）</w:t>
      </w:r>
      <w:r>
        <w:rPr>
          <w:rFonts w:hint="eastAsia" w:ascii="宋体" w:hAnsi="宋体" w:eastAsia="仿宋" w:cs="仿宋"/>
          <w:color w:val="000000" w:themeColor="text1"/>
          <w:sz w:val="32"/>
          <w:szCs w:val="32"/>
          <w:lang w:eastAsia="zh-CN"/>
          <w14:textFill>
            <w14:solidFill>
              <w14:schemeClr w14:val="tx1"/>
            </w14:solidFill>
          </w14:textFill>
        </w:rPr>
        <w:t>农村住房灾害保险</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6" w:lineRule="exact"/>
        <w:ind w:left="0" w:leftChars="0" w:right="0" w:rightChars="0" w:firstLine="640" w:firstLineChars="200"/>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绩效目标：每年为我区农村户口居民入保一处农村住房灾害保险，提高全区农民群众抵抗自然灾害和意外事故风险的能力，帮助受灾农民的农村住房灾后及时重建，维护社会稳定。</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绩效指标：房屋出险率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100%，自然灾害和意外事故造成的房屋损失出险每户最高赔付金额小于等于35000元。</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（二）防汛抗旱卫星电话通讯维修费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绩效目标：缴纳我区12部（铱星牌）卫星电话费，及时维修、更换零件、更换卫星电话，保证12部（铱星牌）卫星电话汛期正常使用。</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绩效指标：保证应急状况下12部卫星电话使用畅通</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（三）防汛抗旱指挥部防汛号备物资、应急物品、办公经费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绩效目标：根据防汛工作通知要求完成防汛物资号备及防汛应急用品购买，提升防汛抗旱能力</w:t>
      </w:r>
      <w:r>
        <w:rPr>
          <w:rFonts w:hint="eastAsia" w:ascii="宋体" w:hAnsi="宋体" w:eastAsia="仿宋" w:cs="仿宋"/>
          <w:color w:val="000000" w:themeColor="text1"/>
          <w:sz w:val="32"/>
          <w:szCs w:val="32"/>
          <w:lang w:eastAsia="zh-CN"/>
          <w14:textFill>
            <w14:solidFill>
              <w14:schemeClr w14:val="tx1"/>
            </w14:solidFill>
          </w14:textFill>
        </w:rPr>
        <w:t>。</w:t>
      </w:r>
      <w:r>
        <w:rPr>
          <w:rFonts w:hint="eastAsia" w:ascii="宋体" w:hAnsi="宋体" w:eastAsia="仿宋" w:cs="仿宋"/>
          <w:color w:val="000000" w:themeColor="text1"/>
          <w:sz w:val="32"/>
          <w:szCs w:val="32"/>
          <w14:textFill>
            <w14:solidFill>
              <w14:schemeClr w14:val="tx1"/>
            </w14:solidFill>
          </w14:textFill>
        </w:rPr>
        <w:t>按照防汛预案要求及时处理汛情，确保人员财产安全。</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绩效指标：号备物资使用率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100%，防汛应急用品、防汛办公用品的购买，改善了办公条件，提升了办公速度，能更及时更快的应对当前汛情。</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（四）重大危险源监控专线租赁费和维护费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绩效目标：租用专线监控4个重要危险源企业，加强重要行业监督管理，减少事故发生。</w:t>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绩效指标：监控重要危险源企业数量</w:t>
      </w:r>
      <w:r>
        <w:rPr>
          <w:rFonts w:hint="eastAsia" w:ascii="宋体" w:hAnsi="宋体" w:eastAsia="仿宋" w:cs="仿宋"/>
          <w:color w:val="000000" w:themeColor="text1"/>
          <w:sz w:val="32"/>
          <w:szCs w:val="32"/>
          <w:lang w:eastAsia="zh-CN"/>
          <w14:textFill>
            <w14:solidFill>
              <w14:schemeClr w14:val="tx1"/>
            </w14:solidFill>
          </w14:textFill>
        </w:rPr>
        <w:t>大于等于</w:t>
      </w:r>
      <w:r>
        <w:rPr>
          <w:rFonts w:hint="eastAsia" w:ascii="宋体" w:hAnsi="宋体" w:eastAsia="仿宋" w:cs="仿宋"/>
          <w:color w:val="000000" w:themeColor="text1"/>
          <w:sz w:val="32"/>
          <w:szCs w:val="32"/>
          <w:lang w:val="en-US" w:eastAsia="zh-CN"/>
          <w14:textFill>
            <w14:solidFill>
              <w14:schemeClr w14:val="tx1"/>
            </w14:solidFill>
          </w14:textFill>
        </w:rPr>
        <w:t>4个。</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（五）应急防护服装和装备配备</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绩效目标：购置应急装配，培训2名无人机驾驶员，提高应急处置能力，处置得当、迅速到位。</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绩效指标：应急装备保障人数</w:t>
      </w:r>
      <w:r>
        <w:rPr>
          <w:rFonts w:hint="eastAsia" w:ascii="宋体" w:hAnsi="宋体" w:eastAsia="仿宋" w:cs="仿宋"/>
          <w:color w:val="000000" w:themeColor="text1"/>
          <w:sz w:val="32"/>
          <w:szCs w:val="32"/>
          <w:lang w:eastAsia="zh-CN"/>
          <w14:textFill>
            <w14:solidFill>
              <w14:schemeClr w14:val="tx1"/>
            </w14:solidFill>
          </w14:textFill>
        </w:rPr>
        <w:t>不少于</w:t>
      </w:r>
      <w:r>
        <w:rPr>
          <w:rFonts w:hint="eastAsia" w:ascii="宋体" w:hAnsi="宋体" w:eastAsia="仿宋" w:cs="仿宋"/>
          <w:color w:val="000000" w:themeColor="text1"/>
          <w:sz w:val="32"/>
          <w:szCs w:val="32"/>
          <w:lang w:val="en-US" w:eastAsia="zh-CN"/>
          <w14:textFill>
            <w14:solidFill>
              <w14:schemeClr w14:val="tx1"/>
            </w14:solidFill>
          </w14:textFill>
        </w:rPr>
        <w:t>170人。</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（六）</w:t>
      </w:r>
      <w:r>
        <w:rPr>
          <w:rFonts w:hint="eastAsia" w:ascii="宋体" w:hAnsi="宋体" w:eastAsia="仿宋" w:cs="仿宋"/>
          <w:color w:val="000000" w:themeColor="text1"/>
          <w:sz w:val="32"/>
          <w:szCs w:val="32"/>
          <w14:textFill>
            <w14:solidFill>
              <w14:schemeClr w14:val="tx1"/>
            </w14:solidFill>
          </w14:textFill>
        </w:rPr>
        <w:t>应急指挥中心建设资金</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绩效目标：建立应急指挥中心，用于鹿泉区处置突发事件及防灾、减灾、救灾和安全生产监管使用，降低突发事件处置时间。</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绩效指标：处置突发事件应急处理率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100%，应急事件处置时间明显减少。</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（七）</w:t>
      </w:r>
      <w:r>
        <w:rPr>
          <w:rFonts w:hint="eastAsia" w:ascii="宋体" w:hAnsi="宋体" w:eastAsia="仿宋" w:cs="仿宋"/>
          <w:color w:val="000000" w:themeColor="text1"/>
          <w:sz w:val="32"/>
          <w:szCs w:val="32"/>
          <w14:textFill>
            <w14:solidFill>
              <w14:schemeClr w14:val="tx1"/>
            </w14:solidFill>
          </w14:textFill>
        </w:rPr>
        <w:t>安全生产举报奖励费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绩效指标：通过人民群众举报安全生产隐患，安全生产隐患整改率</w:t>
      </w:r>
      <w:r>
        <w:rPr>
          <w:rFonts w:hint="eastAsia" w:ascii="宋体" w:hAnsi="宋体" w:eastAsia="仿宋" w:cs="仿宋"/>
          <w:color w:val="000000" w:themeColor="text1"/>
          <w:sz w:val="32"/>
          <w:szCs w:val="32"/>
          <w:lang w:eastAsia="zh-CN"/>
          <w14:textFill>
            <w14:solidFill>
              <w14:schemeClr w14:val="tx1"/>
            </w14:solidFill>
          </w14:textFill>
        </w:rPr>
        <w:t>不小于</w:t>
      </w:r>
      <w:r>
        <w:rPr>
          <w:rFonts w:hint="eastAsia" w:ascii="宋体" w:hAnsi="宋体" w:eastAsia="仿宋" w:cs="仿宋"/>
          <w:color w:val="000000" w:themeColor="text1"/>
          <w:sz w:val="32"/>
          <w:szCs w:val="32"/>
          <w:lang w:val="en-US" w:eastAsia="zh-CN"/>
          <w14:textFill>
            <w14:solidFill>
              <w14:schemeClr w14:val="tx1"/>
            </w14:solidFill>
          </w14:textFill>
        </w:rPr>
        <w:t>90</w:t>
      </w:r>
      <w:r>
        <w:rPr>
          <w:rFonts w:hint="eastAsia" w:ascii="宋体" w:hAnsi="宋体" w:eastAsia="仿宋" w:cs="仿宋"/>
          <w:color w:val="000000" w:themeColor="text1"/>
          <w:sz w:val="32"/>
          <w:szCs w:val="32"/>
          <w14:textFill>
            <w14:solidFill>
              <w14:schemeClr w14:val="tx1"/>
            </w14:solidFill>
          </w14:textFill>
        </w:rPr>
        <w:t>%</w:t>
      </w:r>
      <w:r>
        <w:rPr>
          <w:rFonts w:hint="eastAsia" w:ascii="宋体" w:hAnsi="宋体" w:eastAsia="仿宋" w:cs="仿宋"/>
          <w:color w:val="000000" w:themeColor="text1"/>
          <w:sz w:val="32"/>
          <w:szCs w:val="32"/>
          <w:lang w:eastAsia="zh-CN"/>
          <w14:textFill>
            <w14:solidFill>
              <w14:schemeClr w14:val="tx1"/>
            </w14:solidFill>
          </w14:textFill>
        </w:rPr>
        <w:t>，降低瞒报谎报发生率不小于</w:t>
      </w:r>
      <w:r>
        <w:rPr>
          <w:rFonts w:hint="eastAsia" w:ascii="宋体" w:hAnsi="宋体" w:eastAsia="仿宋" w:cs="仿宋"/>
          <w:color w:val="000000" w:themeColor="text1"/>
          <w:sz w:val="32"/>
          <w:szCs w:val="32"/>
          <w:lang w:val="en-US" w:eastAsia="zh-CN"/>
          <w14:textFill>
            <w14:solidFill>
              <w14:schemeClr w14:val="tx1"/>
            </w14:solidFill>
          </w14:textFill>
        </w:rPr>
        <w:t>80</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（八）</w:t>
      </w:r>
      <w:r>
        <w:rPr>
          <w:rFonts w:hint="eastAsia" w:ascii="宋体" w:hAnsi="宋体" w:eastAsia="仿宋" w:cs="仿宋"/>
          <w:color w:val="000000" w:themeColor="text1"/>
          <w:sz w:val="32"/>
          <w:szCs w:val="32"/>
          <w14:textFill>
            <w14:solidFill>
              <w14:schemeClr w14:val="tx1"/>
            </w14:solidFill>
          </w14:textFill>
        </w:rPr>
        <w:t>执法业务费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lang w:val="en-US" w:eastAsia="zh-CN"/>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绩</w:t>
      </w:r>
      <w:r>
        <w:rPr>
          <w:rFonts w:hint="eastAsia" w:ascii="宋体" w:hAnsi="宋体" w:eastAsia="仿宋" w:cs="仿宋"/>
          <w:color w:val="000000" w:themeColor="text1"/>
          <w:sz w:val="32"/>
          <w:szCs w:val="32"/>
          <w14:textFill>
            <w14:solidFill>
              <w14:schemeClr w14:val="tx1"/>
            </w14:solidFill>
          </w14:textFill>
        </w:rPr>
        <w:t>效指标：查出隐患整改率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（九）</w:t>
      </w:r>
      <w:r>
        <w:rPr>
          <w:rFonts w:hint="eastAsia" w:ascii="宋体" w:hAnsi="宋体" w:eastAsia="仿宋" w:cs="仿宋"/>
          <w:color w:val="000000" w:themeColor="text1"/>
          <w:sz w:val="32"/>
          <w:szCs w:val="32"/>
          <w14:textFill>
            <w14:solidFill>
              <w14:schemeClr w14:val="tx1"/>
            </w14:solidFill>
          </w14:textFill>
        </w:rPr>
        <w:t>安全生产目标奖励费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目标考核奖励资金用于每年考核成绩为优秀的乡镇和部门。年底按照《鹿泉区安全生产目标管理考核办法》组织对各乡镇、部门进行考核，根据划分安全生产经营单位数量，全年安全事故多少划分考核等次。通过奖励先进促进各乡镇和部门提升安全生产管理水平。</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绩效指标：安全生产考核优秀单位不发生生产安全事故，安全生产监管水平显著提高</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w:t>
      </w:r>
      <w:r>
        <w:rPr>
          <w:rFonts w:hint="eastAsia" w:ascii="宋体" w:hAnsi="宋体" w:eastAsia="仿宋" w:cs="仿宋"/>
          <w:color w:val="000000" w:themeColor="text1"/>
          <w:sz w:val="32"/>
          <w:szCs w:val="32"/>
          <w14:textFill>
            <w14:solidFill>
              <w14:schemeClr w14:val="tx1"/>
            </w14:solidFill>
          </w14:textFill>
        </w:rPr>
        <w:t>宣传教育培训费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利用安全生产、防灾减灾、消防安全、应急救援等培训及宣传加强全区生产经营单位提高安全意识。通过安全生产、防灾减灾、消防安全、应急救援等培训及宣传增强了全区生产经营单位处理各类事故和灾难的能力。</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绩效指标：提高了执法人员处理各类事故和灾难的能力</w:t>
      </w:r>
      <w:r>
        <w:rPr>
          <w:rFonts w:hint="eastAsia" w:ascii="宋体" w:hAnsi="宋体" w:eastAsia="仿宋" w:cs="仿宋"/>
          <w:color w:val="000000" w:themeColor="text1"/>
          <w:sz w:val="32"/>
          <w:szCs w:val="32"/>
          <w:lang w:eastAsia="zh-CN"/>
          <w14:textFill>
            <w14:solidFill>
              <w14:schemeClr w14:val="tx1"/>
            </w14:solidFill>
          </w14:textFill>
        </w:rPr>
        <w:t>。</w:t>
      </w:r>
      <w:r>
        <w:rPr>
          <w:rFonts w:hint="eastAsia" w:ascii="宋体" w:hAnsi="宋体" w:eastAsia="仿宋" w:cs="仿宋"/>
          <w:color w:val="000000" w:themeColor="text1"/>
          <w:sz w:val="32"/>
          <w:szCs w:val="32"/>
          <w14:textFill>
            <w14:solidFill>
              <w14:schemeClr w14:val="tx1"/>
            </w14:solidFill>
          </w14:textFill>
        </w:rPr>
        <w:t>通过宣传提高广大人民群众的安全意识</w:t>
      </w:r>
      <w:r>
        <w:rPr>
          <w:rFonts w:hint="eastAsia" w:ascii="宋体" w:hAnsi="宋体" w:eastAsia="仿宋" w:cs="仿宋"/>
          <w:color w:val="000000" w:themeColor="text1"/>
          <w:sz w:val="32"/>
          <w:szCs w:val="32"/>
          <w:lang w:eastAsia="zh-CN"/>
          <w14:textFill>
            <w14:solidFill>
              <w14:schemeClr w14:val="tx1"/>
            </w14:solidFill>
          </w14:textFill>
        </w:rPr>
        <w:t>。</w:t>
      </w:r>
      <w:r>
        <w:rPr>
          <w:rFonts w:hint="eastAsia" w:ascii="宋体" w:hAnsi="宋体" w:eastAsia="仿宋" w:cs="仿宋"/>
          <w:color w:val="000000" w:themeColor="text1"/>
          <w:sz w:val="32"/>
          <w:szCs w:val="32"/>
          <w14:textFill>
            <w14:solidFill>
              <w14:schemeClr w14:val="tx1"/>
            </w14:solidFill>
          </w14:textFill>
        </w:rPr>
        <w:t>通过5.12防灾减灾演练提高广大群众应对灾害的能力和意识</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（十一）</w:t>
      </w:r>
      <w:r>
        <w:rPr>
          <w:rFonts w:hint="eastAsia" w:ascii="宋体" w:hAnsi="宋体" w:eastAsia="仿宋" w:cs="仿宋"/>
          <w:color w:val="000000" w:themeColor="text1"/>
          <w:sz w:val="32"/>
          <w:szCs w:val="32"/>
          <w14:textFill>
            <w14:solidFill>
              <w14:schemeClr w14:val="tx1"/>
            </w14:solidFill>
          </w14:textFill>
        </w:rPr>
        <w:t>各类应急预案演练费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每年组织地质灾害点演练、人员密集场所演练、重要路段处置事故演练、集中的小微企业互救演练、涉氨涉氯企业演练，建立应急预案体系，巩固应急预案成果，查漏补缺，对号入座，在不同行业领域着重预防，提高部门、乡镇人员应急能力。</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w:t>
      </w:r>
      <w:r>
        <w:rPr>
          <w:rFonts w:hint="eastAsia" w:ascii="宋体" w:hAnsi="宋体" w:eastAsia="仿宋" w:cs="仿宋"/>
          <w:color w:val="000000" w:themeColor="text1"/>
          <w:sz w:val="32"/>
          <w:szCs w:val="32"/>
          <w:lang w:eastAsia="zh-CN"/>
          <w14:textFill>
            <w14:solidFill>
              <w14:schemeClr w14:val="tx1"/>
            </w14:solidFill>
          </w14:textFill>
        </w:rPr>
        <w:t>明显</w:t>
      </w:r>
      <w:r>
        <w:rPr>
          <w:rFonts w:hint="eastAsia" w:ascii="宋体" w:hAnsi="宋体" w:eastAsia="仿宋" w:cs="仿宋"/>
          <w:color w:val="000000" w:themeColor="text1"/>
          <w:sz w:val="32"/>
          <w:szCs w:val="32"/>
          <w14:textFill>
            <w14:solidFill>
              <w14:schemeClr w14:val="tx1"/>
            </w14:solidFill>
          </w14:textFill>
        </w:rPr>
        <w:t>提高部门人员应急能力情况</w:t>
      </w:r>
      <w:r>
        <w:rPr>
          <w:rFonts w:hint="eastAsia" w:ascii="宋体" w:hAnsi="宋体" w:eastAsia="仿宋" w:cs="仿宋"/>
          <w:color w:val="000000" w:themeColor="text1"/>
          <w:sz w:val="32"/>
          <w:szCs w:val="32"/>
          <w:lang w:eastAsia="zh-CN"/>
          <w14:textFill>
            <w14:solidFill>
              <w14:schemeClr w14:val="tx1"/>
            </w14:solidFill>
          </w14:textFill>
        </w:rPr>
        <w:t>，增加群众的防范意识、逃生能力、自救呼救能力。</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（十二）</w:t>
      </w:r>
      <w:r>
        <w:rPr>
          <w:rFonts w:hint="eastAsia" w:ascii="宋体" w:hAnsi="宋体" w:eastAsia="仿宋" w:cs="仿宋"/>
          <w:color w:val="000000" w:themeColor="text1"/>
          <w:sz w:val="32"/>
          <w:szCs w:val="32"/>
          <w14:textFill>
            <w14:solidFill>
              <w14:schemeClr w14:val="tx1"/>
            </w14:solidFill>
          </w14:textFill>
        </w:rPr>
        <w:t>安全员工资</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矿山安全员协助我局和企业进行安全监管，主要负责督促企业落实主体责任，督促企业定期进行隐患排查整改，发现重大隐患及时上报我局，加强我局及各乡镇安全生产监管力度，提高安全隐患排查范围和数量，将会大大降低矿山的事故发生率。</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绩效指标：重大隐患报告率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w:t>
      </w:r>
      <w:r>
        <w:rPr>
          <w:rFonts w:hint="eastAsia" w:ascii="宋体" w:hAnsi="宋体" w:eastAsia="仿宋" w:cs="仿宋"/>
          <w:color w:val="000000" w:themeColor="text1"/>
          <w:sz w:val="32"/>
          <w:szCs w:val="32"/>
          <w14:textFill>
            <w14:solidFill>
              <w14:schemeClr w14:val="tx1"/>
            </w14:solidFill>
          </w14:textFill>
        </w:rPr>
        <w:t>隐患整改率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w:t>
      </w:r>
      <w:r>
        <w:rPr>
          <w:rFonts w:hint="eastAsia" w:ascii="宋体" w:hAnsi="宋体" w:eastAsia="仿宋" w:cs="仿宋"/>
          <w:color w:val="000000" w:themeColor="text1"/>
          <w:sz w:val="32"/>
          <w:szCs w:val="32"/>
          <w14:textFill>
            <w14:solidFill>
              <w14:schemeClr w14:val="tx1"/>
            </w14:solidFill>
          </w14:textFill>
        </w:rPr>
        <w:t>%</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（十三）</w:t>
      </w:r>
      <w:r>
        <w:rPr>
          <w:rFonts w:hint="eastAsia" w:ascii="宋体" w:hAnsi="宋体" w:eastAsia="仿宋" w:cs="仿宋"/>
          <w:color w:val="000000" w:themeColor="text1"/>
          <w:sz w:val="32"/>
          <w:szCs w:val="32"/>
          <w14:textFill>
            <w14:solidFill>
              <w14:schemeClr w14:val="tx1"/>
            </w14:solidFill>
          </w14:textFill>
        </w:rPr>
        <w:t>政府购买应急管理服务费</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聘请第三方机构，对全区生产经营单位的安全检查，对安全执法检查中能够及时发现安全隐患，有效遏制事故的发生，及时做到安全隐患的排查与发现。聘请第三方机构，对我区涉有限空间58家企业，涉氨制冷、涉爆粉尘21家企业，按期组织专家进行排查，完成隐患整改，保证不发生安全生产事故。聘请第三方机构，对企业进行安全生产诚信培训和现场评定，确保企业诚信等级全部达到C级以上。聘请第三方机构，对我区化工行业攻坚行动、“四个一批”工作进行验收，保证企业良性循环运营，实现正常的社会经济效益，完成实施攻坚阶段、验收考核阶段、总结巩固阶段任务。聘请第三方机构，抽查我区安全生产标准化企业高危行业24家、非高危行业30家进行抽查，对报告提出的安全隐患进行整改，降低事故发生，保证企业安全运行。聘请第三方机构，完成32家领导包联重点企业的检查、摸排，在规定时间内完成对专家指出的隐患进行整改，保证重点企业不发生安全事故。聘请第三方机构，新编应急预案10个，修改应急预案2个，建成应急预案管理体系，起到知道怎么救，往哪跑，呼叫谁帮助，增强应急预案的针对性。</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绩效指标：安全事故有效处理率</w:t>
      </w:r>
      <w:r>
        <w:rPr>
          <w:rFonts w:hint="eastAsia" w:ascii="宋体" w:hAnsi="宋体" w:eastAsia="仿宋" w:cs="仿宋"/>
          <w:color w:val="000000" w:themeColor="text1"/>
          <w:sz w:val="32"/>
          <w:szCs w:val="32"/>
          <w:lang w:eastAsia="zh-CN"/>
          <w14:textFill>
            <w14:solidFill>
              <w14:schemeClr w14:val="tx1"/>
            </w14:solidFill>
          </w14:textFill>
        </w:rPr>
        <w:t>达到</w:t>
      </w:r>
      <w:r>
        <w:rPr>
          <w:rFonts w:hint="eastAsia" w:ascii="宋体" w:hAnsi="宋体" w:eastAsia="仿宋" w:cs="仿宋"/>
          <w:color w:val="000000" w:themeColor="text1"/>
          <w:sz w:val="32"/>
          <w:szCs w:val="32"/>
          <w:lang w:val="en-US" w:eastAsia="zh-CN"/>
          <w14:textFill>
            <w14:solidFill>
              <w14:schemeClr w14:val="tx1"/>
            </w14:solidFill>
          </w14:textFill>
        </w:rPr>
        <w:t>100</w:t>
      </w:r>
      <w:r>
        <w:rPr>
          <w:rFonts w:hint="eastAsia" w:ascii="宋体" w:hAnsi="宋体" w:eastAsia="仿宋" w:cs="仿宋"/>
          <w:color w:val="000000" w:themeColor="text1"/>
          <w:sz w:val="32"/>
          <w:szCs w:val="32"/>
          <w14:textFill>
            <w14:solidFill>
              <w14:schemeClr w14:val="tx1"/>
            </w14:solidFill>
          </w14:textFill>
        </w:rPr>
        <w:t>%</w:t>
      </w:r>
      <w:r>
        <w:rPr>
          <w:rFonts w:hint="eastAsia" w:ascii="宋体" w:hAnsi="宋体" w:eastAsia="仿宋" w:cs="仿宋"/>
          <w:color w:val="000000" w:themeColor="text1"/>
          <w:sz w:val="32"/>
          <w:szCs w:val="32"/>
          <w:lang w:eastAsia="zh-CN"/>
          <w14:textFill>
            <w14:solidFill>
              <w14:schemeClr w14:val="tx1"/>
            </w14:solidFill>
          </w14:textFill>
        </w:rPr>
        <w:t>；生产经营过程中不发生生产安全事故；对企业进行诚信评定，确保企业诚信等级全部达到C级以上；完成化工行业专项整治；达到石家庄市政府的考核目标；事故下降率在</w:t>
      </w:r>
      <w:r>
        <w:rPr>
          <w:rFonts w:hint="eastAsia" w:ascii="宋体" w:hAnsi="宋体" w:eastAsia="仿宋" w:cs="仿宋"/>
          <w:color w:val="000000" w:themeColor="text1"/>
          <w:sz w:val="32"/>
          <w:szCs w:val="32"/>
          <w:lang w:val="en-US" w:eastAsia="zh-CN"/>
          <w14:textFill>
            <w14:solidFill>
              <w14:schemeClr w14:val="tx1"/>
            </w14:solidFill>
          </w14:textFill>
        </w:rPr>
        <w:t>10%以内；整改完成率达到100%；企业不发生安全事故；应急预案使用年限不小于3年。</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（十四）</w:t>
      </w:r>
      <w:r>
        <w:rPr>
          <w:rFonts w:hint="eastAsia" w:ascii="宋体" w:hAnsi="宋体" w:eastAsia="仿宋" w:cs="仿宋"/>
          <w:color w:val="000000" w:themeColor="text1"/>
          <w:sz w:val="32"/>
          <w:szCs w:val="32"/>
          <w14:textFill>
            <w14:solidFill>
              <w14:schemeClr w14:val="tx1"/>
            </w14:solidFill>
          </w14:textFill>
        </w:rPr>
        <w:t>综合防灾专项规划</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绩效目标：编制完成我区综合防灾专项规划，提高我区综合防灾减灾应对处置能力，降低灾害对我区造成的灾害损失。</w:t>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绩效指标：通过实施综合防灾专项规划提高我区灾害处置水平</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（十五）</w:t>
      </w:r>
      <w:r>
        <w:rPr>
          <w:rFonts w:hint="eastAsia" w:ascii="宋体" w:hAnsi="宋体" w:eastAsia="仿宋" w:cs="仿宋"/>
          <w:color w:val="000000" w:themeColor="text1"/>
          <w:sz w:val="32"/>
          <w:szCs w:val="32"/>
          <w14:textFill>
            <w14:solidFill>
              <w14:schemeClr w14:val="tx1"/>
            </w14:solidFill>
          </w14:textFill>
        </w:rPr>
        <w:t>涉军公益岗位工资</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绩效目标：我单位对符合就业困难条件军队退役人员3名，实行公益岗位托管安置。帮扶救助到位，加大就业援助工作，实现就业。</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绩效指标：公益岗托管安置人数</w:t>
      </w:r>
      <w:r>
        <w:rPr>
          <w:rFonts w:hint="eastAsia" w:ascii="宋体" w:hAnsi="宋体" w:eastAsia="仿宋" w:cs="仿宋"/>
          <w:color w:val="000000" w:themeColor="text1"/>
          <w:sz w:val="32"/>
          <w:szCs w:val="32"/>
          <w:lang w:val="en-US" w:eastAsia="zh-CN"/>
          <w14:textFill>
            <w14:solidFill>
              <w14:schemeClr w14:val="tx1"/>
            </w14:solidFill>
          </w14:textFill>
        </w:rPr>
        <w:t>3人。</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lang w:eastAsia="zh-CN"/>
          <w14:textFill>
            <w14:solidFill>
              <w14:schemeClr w14:val="tx1"/>
            </w14:solidFill>
          </w14:textFill>
        </w:rPr>
        <w:t>（十六）</w:t>
      </w:r>
      <w:r>
        <w:rPr>
          <w:rFonts w:hint="eastAsia" w:ascii="宋体" w:hAnsi="宋体" w:eastAsia="仿宋" w:cs="仿宋"/>
          <w:color w:val="000000" w:themeColor="text1"/>
          <w:sz w:val="32"/>
          <w:szCs w:val="32"/>
          <w14:textFill>
            <w14:solidFill>
              <w14:schemeClr w14:val="tx1"/>
            </w14:solidFill>
          </w14:textFill>
        </w:rPr>
        <w:t>危险化学品安全生产风险监测系统建设</w:t>
      </w:r>
    </w:p>
    <w:p>
      <w:pPr>
        <w:keepNext w:val="0"/>
        <w:keepLines w:val="0"/>
        <w:pageBreakBefore w:val="0"/>
        <w:widowControl w:val="0"/>
        <w:kinsoku/>
        <w:wordWrap/>
        <w:overflowPunct/>
        <w:topLinePunct w:val="0"/>
        <w:autoSpaceDE/>
        <w:autoSpaceDN/>
        <w:bidi w:val="0"/>
        <w:spacing w:line="576" w:lineRule="exact"/>
        <w:ind w:left="0" w:firstLine="629"/>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绩效目标：完成风险预警系统设备购置，实现10家重大危险源企业与区、市、省、部联通，加强对重大危险源企业的监控，减少安全隐患。</w:t>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r>
        <w:rPr>
          <w:rFonts w:hint="eastAsia" w:ascii="宋体" w:hAnsi="宋体" w:eastAsia="仿宋" w:cs="仿宋"/>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autoSpaceDN/>
        <w:bidi w:val="0"/>
        <w:adjustRightInd/>
        <w:snapToGrid/>
        <w:spacing w:line="576" w:lineRule="exact"/>
        <w:ind w:left="0" w:firstLine="640" w:firstLineChars="200"/>
        <w:textAlignment w:val="auto"/>
        <w:rPr>
          <w:rFonts w:hint="eastAsia" w:ascii="宋体" w:hAnsi="宋体" w:eastAsia="仿宋" w:cs="仿宋"/>
          <w:color w:val="000000" w:themeColor="text1"/>
          <w:sz w:val="32"/>
          <w:szCs w:val="32"/>
          <w:lang w:eastAsia="zh-CN"/>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绩效指标：实现对</w:t>
      </w:r>
      <w:r>
        <w:rPr>
          <w:rFonts w:hint="eastAsia" w:ascii="宋体" w:hAnsi="宋体" w:eastAsia="仿宋" w:cs="仿宋"/>
          <w:color w:val="000000" w:themeColor="text1"/>
          <w:sz w:val="32"/>
          <w:szCs w:val="32"/>
          <w:lang w:val="en-US" w:eastAsia="zh-CN"/>
          <w14:textFill>
            <w14:solidFill>
              <w14:schemeClr w14:val="tx1"/>
            </w14:solidFill>
          </w14:textFill>
        </w:rPr>
        <w:t>10家</w:t>
      </w:r>
      <w:r>
        <w:rPr>
          <w:rFonts w:hint="eastAsia" w:ascii="宋体" w:hAnsi="宋体" w:eastAsia="仿宋" w:cs="仿宋"/>
          <w:color w:val="000000" w:themeColor="text1"/>
          <w:sz w:val="32"/>
          <w:szCs w:val="32"/>
          <w14:textFill>
            <w14:solidFill>
              <w14:schemeClr w14:val="tx1"/>
            </w14:solidFill>
          </w14:textFill>
        </w:rPr>
        <w:t>重大危险源企业的监控</w:t>
      </w:r>
      <w:r>
        <w:rPr>
          <w:rFonts w:hint="eastAsia" w:ascii="宋体" w:hAnsi="宋体"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三、工作保障措施</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完善制度建设。建立健全预算绩效管理制度等工作保障制度，为全年预算绩效目标的合理化及实现提供保障。</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加强支出管理。细化各绩效目标预算，拉出目标清单，细化时间段，集中优势资源，集中精干队伍，全力提升工作进度，尽快启动各类项目，并按规定及时下达各项资金，以确保支出进度达标。</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做好绩效自评。本着科学、规范、独立、客观、公正的原则，按照绩效评价的要求收集相关资料，在分析资料的基础上，确定评价内容，并根据项目执行情况,对项目进行综合评价；对评价中发现的问题及时整改，调整优化支出结构，提高财政资金使用效益。</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规范财务资产管理。修改完善财务管理制度，严格执行审批程序，加强固定资产登记、使用和报废处置管理，做到支出合理，物尽其用。</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pPr>
      <w:r>
        <w:rPr>
          <w:rFonts w:hint="eastAsia" w:ascii="宋体" w:hAnsi="宋体" w:eastAsia="仿宋" w:cs="仿宋"/>
          <w:b w:val="0"/>
          <w:bCs w:val="0"/>
          <w:color w:val="000000" w:themeColor="text1"/>
          <w:sz w:val="32"/>
          <w:szCs w:val="32"/>
          <w14:textFill>
            <w14:solidFill>
              <w14:schemeClr w14:val="tx1"/>
            </w14:solidFill>
          </w14:textFill>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keepNext w:val="0"/>
        <w:keepLines w:val="0"/>
        <w:pageBreakBefore w:val="0"/>
        <w:widowControl w:val="0"/>
        <w:kinsoku/>
        <w:wordWrap/>
        <w:overflowPunct/>
        <w:topLinePunct w:val="0"/>
        <w:autoSpaceDE w:val="0"/>
        <w:autoSpaceDN w:val="0"/>
        <w:bidi w:val="0"/>
        <w:adjustRightInd w:val="0"/>
        <w:spacing w:line="576" w:lineRule="exact"/>
        <w:ind w:left="0" w:firstLine="640" w:firstLineChars="200"/>
        <w:jc w:val="left"/>
        <w:textAlignment w:val="auto"/>
        <w:rPr>
          <w:rFonts w:hint="eastAsia" w:ascii="宋体" w:hAnsi="宋体" w:eastAsia="仿宋" w:cs="仿宋"/>
          <w:b w:val="0"/>
          <w:bCs w:val="0"/>
          <w:color w:val="000000" w:themeColor="text1"/>
          <w:sz w:val="32"/>
          <w:szCs w:val="32"/>
          <w14:textFill>
            <w14:solidFill>
              <w14:schemeClr w14:val="tx1"/>
            </w14:solidFill>
          </w14:textFill>
        </w:rPr>
        <w:sectPr>
          <w:footerReference r:id="rId3" w:type="default"/>
          <w:pgSz w:w="11906" w:h="16838"/>
          <w:pgMar w:top="1928" w:right="1417" w:bottom="1644" w:left="1531"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pPr>
      <w:r>
        <w:rPr>
          <w:rFonts w:hint="eastAsia" w:ascii="宋体" w:hAnsi="宋体" w:eastAsia="仿宋" w:cs="仿宋"/>
          <w:b w:val="0"/>
          <w:bCs w:val="0"/>
          <w:color w:val="000000" w:themeColor="text1"/>
          <w:sz w:val="32"/>
          <w:szCs w:val="32"/>
          <w14:textFill>
            <w14:solidFill>
              <w14:schemeClr w14:val="tx1"/>
            </w14:solidFill>
          </w14:textFill>
        </w:rPr>
        <w:t>加强宣传培训调研等。加强人员培训，提高本部门职工业务素质；加强调研，提出优化财政资金配置、提高资金使用效益的意见建议；加大宣传力度，强化预算绩效管理意识，促进预算绩效管理水平进一步提升。</w:t>
      </w:r>
    </w:p>
    <w:p>
      <w:pPr>
        <w:keepNext w:val="0"/>
        <w:keepLines w:val="0"/>
        <w:pageBreakBefore w:val="0"/>
        <w:widowControl w:val="0"/>
        <w:kinsoku/>
        <w:wordWrap/>
        <w:overflowPunct/>
        <w:topLinePunct w:val="0"/>
        <w:autoSpaceDE w:val="0"/>
        <w:autoSpaceDN w:val="0"/>
        <w:bidi w:val="0"/>
        <w:adjustRightInd w:val="0"/>
        <w:snapToGrid/>
        <w:spacing w:line="578" w:lineRule="exact"/>
        <w:ind w:left="0" w:firstLine="640" w:firstLineChars="200"/>
        <w:jc w:val="center"/>
        <w:textAlignment w:val="auto"/>
        <w:rPr>
          <w:rFonts w:hint="eastAsia" w:ascii="宋体" w:hAnsi="宋体" w:eastAsia="黑体" w:cs="黑体"/>
          <w:b w:val="0"/>
          <w:bCs/>
          <w:color w:val="000000" w:themeColor="text1"/>
          <w:sz w:val="32"/>
          <w:szCs w:val="32"/>
          <w14:textFill>
            <w14:solidFill>
              <w14:schemeClr w14:val="tx1"/>
            </w14:solidFill>
          </w14:textFill>
        </w:rPr>
      </w:pPr>
      <w:r>
        <w:rPr>
          <w:rFonts w:hint="eastAsia" w:ascii="宋体" w:hAnsi="宋体" w:eastAsia="黑体" w:cs="黑体"/>
          <w:b w:val="0"/>
          <w:bCs/>
          <w:color w:val="000000" w:themeColor="text1"/>
          <w:sz w:val="32"/>
          <w:szCs w:val="32"/>
          <w14:textFill>
            <w14:solidFill>
              <w14:schemeClr w14:val="tx1"/>
            </w14:solidFill>
          </w14:textFill>
        </w:rPr>
        <w:t>第二部分  预算项目绩效目标</w:t>
      </w:r>
    </w:p>
    <w:p>
      <w:pPr>
        <w:keepNext w:val="0"/>
        <w:keepLines w:val="0"/>
        <w:pageBreakBefore w:val="0"/>
        <w:widowControl w:val="0"/>
        <w:kinsoku/>
        <w:wordWrap/>
        <w:overflowPunct/>
        <w:topLinePunct w:val="0"/>
        <w:autoSpaceDE/>
        <w:autoSpaceDN/>
        <w:bidi w:val="0"/>
        <w:adjustRightInd/>
        <w:snapToGrid/>
        <w:spacing w:line="578" w:lineRule="exact"/>
        <w:ind w:left="0" w:firstLine="642" w:firstLineChars="200"/>
        <w:jc w:val="left"/>
        <w:textAlignment w:val="auto"/>
        <w:outlineLvl w:val="1"/>
        <w:rPr>
          <w:rFonts w:hint="eastAsia" w:ascii="宋体" w:hAnsi="宋体" w:eastAsia="仿宋" w:cs="仿宋"/>
          <w:b/>
          <w:bCs w:val="0"/>
          <w:color w:val="000000" w:themeColor="text1"/>
          <w:sz w:val="32"/>
          <w:szCs w:val="32"/>
          <w:lang w:eastAsia="zh-CN"/>
          <w14:textFill>
            <w14:solidFill>
              <w14:schemeClr w14:val="tx1"/>
            </w14:solidFill>
          </w14:textFill>
        </w:rPr>
      </w:pPr>
      <w:r>
        <w:rPr>
          <w:rFonts w:hint="eastAsia" w:ascii="宋体" w:hAnsi="宋体" w:eastAsia="仿宋" w:cs="仿宋"/>
          <w:b/>
          <w:bCs w:val="0"/>
          <w:color w:val="000000" w:themeColor="text1"/>
          <w:sz w:val="32"/>
          <w:szCs w:val="32"/>
          <w14:textFill>
            <w14:solidFill>
              <w14:schemeClr w14:val="tx1"/>
            </w14:solidFill>
          </w14:textFill>
        </w:rPr>
        <w:t>1</w:t>
      </w:r>
      <w:r>
        <w:rPr>
          <w:rFonts w:hint="eastAsia" w:ascii="宋体" w:hAnsi="宋体" w:eastAsia="仿宋" w:cs="仿宋"/>
          <w:b/>
          <w:bCs w:val="0"/>
          <w:color w:val="000000" w:themeColor="text1"/>
          <w:sz w:val="32"/>
          <w:szCs w:val="32"/>
          <w:lang w:val="en-US" w:eastAsia="zh-CN"/>
          <w14:textFill>
            <w14:solidFill>
              <w14:schemeClr w14:val="tx1"/>
            </w14:solidFill>
          </w14:textFill>
        </w:rPr>
        <w:t>.</w:t>
      </w:r>
      <w:r>
        <w:rPr>
          <w:rFonts w:hint="eastAsia" w:ascii="宋体" w:hAnsi="宋体" w:eastAsia="仿宋" w:cs="仿宋"/>
          <w:b/>
          <w:bCs w:val="0"/>
          <w:color w:val="000000" w:themeColor="text1"/>
          <w:sz w:val="32"/>
          <w:szCs w:val="32"/>
          <w:lang w:eastAsia="zh-CN"/>
          <w14:textFill>
            <w14:solidFill>
              <w14:schemeClr w14:val="tx1"/>
            </w14:solidFill>
          </w14:textFill>
        </w:rPr>
        <w:t>农村住房灾害保险</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、每年为我区农村户口居民入保一处农村住房灾害保险，提高全区农民群众抵抗自然灾害和意外事故风险的能力，帮助受灾农民的农村住房灾后及时重建，维护社会稳定。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房屋入险量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农村户口实际入险房屋数量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96487</w:t>
            </w:r>
            <w:r>
              <w:rPr>
                <w:rFonts w:hint="eastAsia" w:ascii="方正书宋_GBK" w:eastAsia="方正书宋_GBK"/>
              </w:rPr>
              <w:t>户</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冀民【</w:t>
            </w:r>
            <w:r>
              <w:rPr>
                <w:rFonts w:ascii="方正书宋_GBK" w:eastAsia="方正书宋_GBK"/>
              </w:rPr>
              <w:t>2017</w:t>
            </w:r>
            <w:r>
              <w:rPr>
                <w:rFonts w:hint="eastAsia" w:ascii="方正书宋_GBK" w:eastAsia="方正书宋_GBK"/>
              </w:rPr>
              <w:t>】</w:t>
            </w:r>
            <w:r>
              <w:rPr>
                <w:rFonts w:ascii="方正书宋_GBK" w:eastAsia="方正书宋_GBK"/>
              </w:rPr>
              <w:t>69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农村住房灾害保险入保费用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择优选择保险公司</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中标保险公司数量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入保时间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入保时间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月</w:t>
            </w:r>
            <w:r>
              <w:rPr>
                <w:rFonts w:ascii="方正书宋_GBK" w:eastAsia="方正书宋_GBK"/>
              </w:rPr>
              <w:t>24</w:t>
            </w:r>
            <w:r>
              <w:rPr>
                <w:rFonts w:hint="eastAsia" w:ascii="方正书宋_GBK" w:eastAsia="方正书宋_GBK"/>
              </w:rPr>
              <w:t>日前入保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房屋出险率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房屋出险救助户数占应出险救助户数的比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冀民【</w:t>
            </w:r>
            <w:r>
              <w:rPr>
                <w:rFonts w:ascii="方正书宋_GBK" w:eastAsia="方正书宋_GBK"/>
              </w:rPr>
              <w:t>2017</w:t>
            </w:r>
            <w:r>
              <w:rPr>
                <w:rFonts w:hint="eastAsia" w:ascii="方正书宋_GBK" w:eastAsia="方正书宋_GBK"/>
              </w:rPr>
              <w:t>】</w:t>
            </w:r>
            <w:r>
              <w:rPr>
                <w:rFonts w:ascii="方正书宋_GBK" w:eastAsia="方正书宋_GBK"/>
              </w:rPr>
              <w:t>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赔付金额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自然灾害和意外事故造成的房屋损失出险每户最高赔付金额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调查满意户数占总调查户数的比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autoSpaceDN/>
        <w:bidi w:val="0"/>
        <w:adjustRightInd/>
        <w:snapToGrid/>
        <w:spacing w:line="578" w:lineRule="exact"/>
        <w:ind w:left="0" w:firstLine="642" w:firstLineChars="200"/>
        <w:jc w:val="left"/>
        <w:textAlignment w:val="auto"/>
        <w:outlineLvl w:val="1"/>
        <w:rPr>
          <w:rFonts w:hint="eastAsia" w:ascii="宋体" w:hAnsi="宋体" w:eastAsia="仿宋" w:cs="仿宋"/>
          <w:b/>
          <w:color w:val="000000" w:themeColor="text1"/>
          <w:sz w:val="32"/>
          <w:szCs w:val="32"/>
          <w:lang w:eastAsia="zh-CN"/>
          <w14:textFill>
            <w14:solidFill>
              <w14:schemeClr w14:val="tx1"/>
            </w14:solidFill>
          </w14:textFill>
        </w:rPr>
      </w:pPr>
      <w:r>
        <w:rPr>
          <w:rFonts w:hint="eastAsia" w:ascii="宋体" w:hAnsi="宋体" w:eastAsia="仿宋" w:cs="仿宋"/>
          <w:b/>
          <w:color w:val="000000" w:themeColor="text1"/>
          <w:sz w:val="32"/>
          <w:szCs w:val="32"/>
          <w14:textFill>
            <w14:solidFill>
              <w14:schemeClr w14:val="tx1"/>
            </w14:solidFill>
          </w14:textFill>
        </w:rPr>
        <w:t>2</w:t>
      </w:r>
      <w:r>
        <w:rPr>
          <w:rFonts w:hint="eastAsia" w:ascii="宋体" w:hAnsi="宋体" w:eastAsia="仿宋" w:cs="仿宋"/>
          <w:b/>
          <w:color w:val="000000" w:themeColor="text1"/>
          <w:sz w:val="32"/>
          <w:szCs w:val="32"/>
          <w:lang w:val="en-US" w:eastAsia="zh-CN"/>
          <w14:textFill>
            <w14:solidFill>
              <w14:schemeClr w14:val="tx1"/>
            </w14:solidFill>
          </w14:textFill>
        </w:rPr>
        <w:t>.</w:t>
      </w:r>
      <w:r>
        <w:rPr>
          <w:rFonts w:hint="eastAsia" w:ascii="宋体" w:hAnsi="宋体" w:eastAsia="仿宋" w:cs="仿宋"/>
          <w:b/>
          <w:color w:val="000000" w:themeColor="text1"/>
          <w:sz w:val="32"/>
          <w:szCs w:val="32"/>
          <w:lang w:eastAsia="zh-CN"/>
          <w14:textFill>
            <w14:solidFill>
              <w14:schemeClr w14:val="tx1"/>
            </w14:solidFill>
          </w14:textFill>
        </w:rPr>
        <w:t>防汛抗旱卫星电话通讯维修费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、缴纳我区</w:t>
            </w:r>
            <w:r>
              <w:rPr>
                <w:rFonts w:ascii="方正书宋_GBK" w:eastAsia="方正书宋_GBK"/>
              </w:rPr>
              <w:t>12</w:t>
            </w:r>
            <w:r>
              <w:rPr>
                <w:rFonts w:hint="eastAsia" w:ascii="方正书宋_GBK" w:eastAsia="方正书宋_GBK"/>
              </w:rPr>
              <w:t>部（铱星牌）卫星电话费，及时维修、更换零件、更换卫星电话，保证</w:t>
            </w:r>
            <w:r>
              <w:rPr>
                <w:rFonts w:ascii="方正书宋_GBK" w:eastAsia="方正书宋_GBK"/>
              </w:rPr>
              <w:t>12</w:t>
            </w:r>
            <w:r>
              <w:rPr>
                <w:rFonts w:hint="eastAsia" w:ascii="方正书宋_GBK" w:eastAsia="方正书宋_GBK"/>
              </w:rPr>
              <w:t>部（铱星牌）卫星电话汛期正常使用。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话费缴纳数量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卫星电话话费缴纳数量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通话时间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每部卫星电话通话时间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分钟</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电话费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每部卫星电话缴纳话费金额</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2200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电话通畅率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卫星电话通话通畅率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电话畅通时间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12</w:t>
            </w:r>
            <w:r>
              <w:rPr>
                <w:rFonts w:hint="eastAsia" w:ascii="方正书宋_GBK" w:eastAsia="方正书宋_GBK"/>
              </w:rPr>
              <w:t>部电话畅通时间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365</w:t>
            </w:r>
            <w:r>
              <w:rPr>
                <w:rFonts w:hint="eastAsia" w:ascii="方正书宋_GBK" w:eastAsia="方正书宋_GBK"/>
              </w:rPr>
              <w:t>天</w:t>
            </w:r>
            <w:r>
              <w:rPr>
                <w:rFonts w:ascii="方正书宋_GBK" w:eastAsia="方正书宋_GBK"/>
              </w:rPr>
              <w:t>24</w:t>
            </w:r>
            <w:r>
              <w:rPr>
                <w:rFonts w:hint="eastAsia" w:ascii="方正书宋_GBK" w:eastAsia="方正书宋_GBK"/>
              </w:rPr>
              <w:t>小时畅通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维修电话费用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需维修、零件更换、卫星电话更换，每部卫星电话平均费用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缴纳话费时间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卫星电话费缴费时间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应急情况下电话使用情况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应急状况下</w:t>
            </w:r>
            <w:r>
              <w:rPr>
                <w:rFonts w:ascii="方正书宋_GBK" w:eastAsia="方正书宋_GBK"/>
              </w:rPr>
              <w:t>12</w:t>
            </w:r>
            <w:r>
              <w:rPr>
                <w:rFonts w:hint="eastAsia" w:ascii="方正书宋_GBK" w:eastAsia="方正书宋_GBK"/>
              </w:rPr>
              <w:t>部卫星电话使用情况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保证应急情况下电话畅通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0" w:firstLine="642" w:firstLineChars="200"/>
        <w:jc w:val="left"/>
        <w:textAlignment w:val="auto"/>
        <w:rPr>
          <w:rFonts w:hint="eastAsia" w:ascii="宋体" w:hAnsi="宋体" w:eastAsia="仿宋" w:cs="仿宋"/>
          <w:b/>
          <w:bCs/>
          <w:color w:val="000000" w:themeColor="text1"/>
          <w:sz w:val="32"/>
          <w:szCs w:val="32"/>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3.</w:t>
      </w:r>
      <w:r>
        <w:rPr>
          <w:rFonts w:hint="eastAsia" w:ascii="宋体" w:hAnsi="宋体" w:eastAsia="仿宋" w:cs="仿宋"/>
          <w:b/>
          <w:bCs/>
          <w:color w:val="000000" w:themeColor="text1"/>
          <w:sz w:val="32"/>
          <w:szCs w:val="32"/>
          <w14:textFill>
            <w14:solidFill>
              <w14:schemeClr w14:val="tx1"/>
            </w14:solidFill>
          </w14:textFill>
        </w:rPr>
        <w:t>防汛抗旱指挥部防汛号备物资、应急物品、办公经费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、根据防汛工作通知要求完成防汛物资号备及防汛应急用品购买，提升防汛抗旱能力。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、按照防汛预案要求及时处理汛情，确保人员财产安全。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签订率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防汛号备物资合同签订率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石汛【</w:t>
            </w:r>
            <w:r>
              <w:rPr>
                <w:rFonts w:ascii="方正书宋_GBK" w:eastAsia="方正书宋_GBK"/>
              </w:rPr>
              <w:t>2015</w:t>
            </w:r>
            <w:r>
              <w:rPr>
                <w:rFonts w:hint="eastAsia" w:ascii="方正书宋_GBK" w:eastAsia="方正书宋_GBK"/>
              </w:rPr>
              <w:t>】</w:t>
            </w:r>
            <w:r>
              <w:rPr>
                <w:rFonts w:ascii="方正书宋_GBK" w:eastAsia="方正书宋_GBK"/>
              </w:rPr>
              <w:t>12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择优选择号备物资公司</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签合同的号备物资公司</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号备物资冻结时间</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日至</w:t>
            </w: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日前签到合同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关于做好防汛工作的通知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防汛物资号备量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防汛应急用品、办公用品、号备物资</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按照防汛工作通知要求号备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关于做好防汛工作的通知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防汛应急用品数量</w:t>
            </w:r>
          </w:p>
        </w:tc>
        <w:tc>
          <w:tcPr>
            <w:tcW w:w="289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套含雨衣、雨鞋、雨伞、应急灯等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关于做好防汛工作的通知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购买时间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防汛应急用品、防汛办公用品购买时间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月</w:t>
            </w:r>
            <w:r>
              <w:rPr>
                <w:rFonts w:ascii="方正书宋_GBK" w:eastAsia="方正书宋_GBK"/>
              </w:rPr>
              <w:t>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关于做好防汛工作的通知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汛情处置率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完成汛情处置次数占防汛预案要求次数的比例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防汛预案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号备物资使用率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号备物资实际使用数占需调用号备物资数的比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关于做好防汛工作的通知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防汛应急用品、防汛办公用品的购买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改善了办公条件，提升了办公速度，能更及时更快的应对当前汛情</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及时性得到提高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3"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调查满意人数占总调查人数的比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0" w:firstLine="642" w:firstLineChars="200"/>
        <w:jc w:val="left"/>
        <w:textAlignment w:val="auto"/>
        <w:rPr>
          <w:rFonts w:hint="eastAsia" w:ascii="宋体" w:hAnsi="宋体" w:eastAsia="仿宋" w:cs="仿宋"/>
          <w:b/>
          <w:bCs/>
          <w:color w:val="000000" w:themeColor="text1"/>
          <w:sz w:val="32"/>
          <w:szCs w:val="32"/>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4.</w:t>
      </w:r>
      <w:r>
        <w:rPr>
          <w:rFonts w:hint="eastAsia" w:ascii="宋体" w:hAnsi="宋体" w:eastAsia="仿宋" w:cs="仿宋"/>
          <w:b/>
          <w:bCs/>
          <w:color w:val="000000" w:themeColor="text1"/>
          <w:sz w:val="32"/>
          <w:szCs w:val="32"/>
          <w14:textFill>
            <w14:solidFill>
              <w14:schemeClr w14:val="tx1"/>
            </w14:solidFill>
          </w14:textFill>
        </w:rPr>
        <w:t>重大危险源监控专线租赁费和维护费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、租用专线监控</w:t>
            </w:r>
            <w:r>
              <w:rPr>
                <w:rFonts w:ascii="方正书宋_GBK" w:eastAsia="方正书宋_GBK"/>
              </w:rPr>
              <w:t>4</w:t>
            </w:r>
            <w:r>
              <w:rPr>
                <w:rFonts w:hint="eastAsia" w:ascii="方正书宋_GBK" w:eastAsia="方正书宋_GBK"/>
              </w:rPr>
              <w:t>个重要危险源企业，加强重要行业监督管理，减少事故发生。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vMerge w:val="restart"/>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网络租用费</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专线网络租用费</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保障运行时间</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重大危险源网络监控系统运行时间</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365</w:t>
            </w:r>
            <w:r>
              <w:rPr>
                <w:rFonts w:hint="eastAsia" w:ascii="方正书宋_GBK" w:eastAsia="方正书宋_GBK"/>
              </w:rPr>
              <w:t>天</w:t>
            </w:r>
            <w:r>
              <w:rPr>
                <w:rFonts w:ascii="方正书宋_GBK" w:eastAsia="方正书宋_GBK"/>
              </w:rPr>
              <w:t>*24</w:t>
            </w:r>
            <w:r>
              <w:rPr>
                <w:rFonts w:hint="eastAsia" w:ascii="方正书宋_GBK" w:eastAsia="方正书宋_GBK"/>
              </w:rPr>
              <w:t>小时</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网络</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维护费</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故障处理率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系统发现或处理次数占发生次数的比例</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租用专线数量</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重大危险源网络监控系统网络专线数量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条</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监控企业数量</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监控重要危险源企业数量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有效监督</w:t>
            </w:r>
          </w:p>
        </w:tc>
      </w:tr>
    </w:tbl>
    <w:p>
      <w:pPr>
        <w:keepNext w:val="0"/>
        <w:keepLines w:val="0"/>
        <w:pageBreakBefore w:val="0"/>
        <w:widowControl w:val="0"/>
        <w:kinsoku/>
        <w:wordWrap/>
        <w:overflowPunct/>
        <w:topLinePunct w:val="0"/>
        <w:autoSpaceDE/>
        <w:autoSpaceDN/>
        <w:bidi w:val="0"/>
        <w:adjustRightInd/>
        <w:snapToGrid/>
        <w:spacing w:line="580" w:lineRule="exact"/>
        <w:ind w:left="0" w:firstLine="642" w:firstLineChars="200"/>
        <w:jc w:val="left"/>
        <w:textAlignment w:val="auto"/>
        <w:rPr>
          <w:rFonts w:hint="eastAsia" w:ascii="宋体" w:hAnsi="宋体" w:eastAsia="仿宋" w:cs="仿宋"/>
          <w:b/>
          <w:bCs/>
          <w:color w:val="000000" w:themeColor="text1"/>
          <w:sz w:val="32"/>
          <w:szCs w:val="32"/>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5.</w:t>
      </w:r>
      <w:r>
        <w:rPr>
          <w:rFonts w:hint="eastAsia" w:ascii="宋体" w:hAnsi="宋体" w:eastAsia="仿宋" w:cs="仿宋"/>
          <w:b/>
          <w:bCs/>
          <w:color w:val="000000" w:themeColor="text1"/>
          <w:sz w:val="32"/>
          <w:szCs w:val="32"/>
          <w14:textFill>
            <w14:solidFill>
              <w14:schemeClr w14:val="tx1"/>
            </w14:solidFill>
          </w14:textFill>
        </w:rPr>
        <w:t>应急防护服装和装备配备</w:t>
      </w:r>
    </w:p>
    <w:bookmarkEnd w:id="0"/>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、购置应急装配，培训</w:t>
            </w:r>
            <w:r>
              <w:rPr>
                <w:rFonts w:ascii="方正书宋_GBK" w:eastAsia="方正书宋_GBK"/>
              </w:rPr>
              <w:t>2</w:t>
            </w:r>
            <w:r>
              <w:rPr>
                <w:rFonts w:hint="eastAsia" w:ascii="方正书宋_GBK" w:eastAsia="方正书宋_GBK"/>
              </w:rPr>
              <w:t>名无人机驾驶员，提高应急处置能力，处置得当、迅速到位。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装备购置成本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装备购置成本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应急装备购置完成率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实际购置数量占计划购置数量的比例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质量合格装备数量占购置数量的比例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无人机操作员培训费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无人机操作员培训费</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培训一线工作人员人数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应急装备保障人数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应急装备满足一线应急人员人数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6.应急指挥中心建设资金</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、建立应急指挥中心，用于鹿泉区处置突发事件及防灾、减灾、救灾和安全生产监管使用，降低突发事件处置时间。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系统对接软件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系统对接软件配备数量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《河北省应急管理信息化规划》（</w:t>
            </w:r>
            <w:r>
              <w:rPr>
                <w:rFonts w:ascii="方正书宋_GBK" w:eastAsia="方正书宋_GBK"/>
              </w:rPr>
              <w:t>2019-2022</w:t>
            </w:r>
            <w:r>
              <w:rPr>
                <w:rFonts w:hint="eastAsia" w:ascii="方正书宋_GBK" w:eastAsia="方正书宋_GBK"/>
              </w:rPr>
              <w:t>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系统对接费用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系统对接费用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100000</w:t>
            </w:r>
            <w:r>
              <w:rPr>
                <w:rFonts w:hint="eastAsia" w:ascii="方正书宋_GBK" w:eastAsia="方正书宋_GBK"/>
              </w:rPr>
              <w:t>元</w:t>
            </w:r>
            <w:r>
              <w:rPr>
                <w:rFonts w:ascii="方正书宋_GBK" w:eastAsia="方正书宋_GBK"/>
              </w:rPr>
              <w:t>/</w:t>
            </w:r>
            <w:r>
              <w:rPr>
                <w:rFonts w:hint="eastAsia" w:ascii="方正书宋_GBK" w:eastAsia="方正书宋_GBK"/>
              </w:rPr>
              <w:t>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按应急指挥中心建设实施方案完成时间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年年底</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《河北省应急管理信息化规划》（</w:t>
            </w:r>
            <w:r>
              <w:rPr>
                <w:rFonts w:ascii="方正书宋_GBK" w:eastAsia="方正书宋_GBK"/>
              </w:rPr>
              <w:t>2019-2022</w:t>
            </w:r>
            <w:r>
              <w:rPr>
                <w:rFonts w:hint="eastAsia" w:ascii="方正书宋_GBK" w:eastAsia="方正书宋_GBK"/>
              </w:rPr>
              <w:t>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处置突发事件应急处理率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通过指挥中心实际处置突发事件数量与应该处置突发事件数量之比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《应对突发事件处置法》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应急事件处置时间降低情况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减少应急事件处置时间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明显减少</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《应对突发事件处置法》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0"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7.安全生产举报奖励费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举报案件处理率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奖励案件数量占经核实确认后真实案件数量的比例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奖励金额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一般事故按照每查实瞒报谎报</w:t>
            </w:r>
            <w:r>
              <w:rPr>
                <w:rFonts w:ascii="方正书宋_GBK" w:eastAsia="方正书宋_GBK"/>
              </w:rPr>
              <w:t>1</w:t>
            </w:r>
            <w:r>
              <w:rPr>
                <w:rFonts w:hint="eastAsia" w:ascii="方正书宋_GBK" w:eastAsia="方正书宋_GBK"/>
              </w:rPr>
              <w:t>人（死亡</w:t>
            </w:r>
            <w:r>
              <w:rPr>
                <w:rFonts w:ascii="方正书宋_GBK" w:eastAsia="方正书宋_GBK"/>
              </w:rPr>
              <w:t>1-2</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奖励金额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较大事故按照每查实瞒报谎报</w:t>
            </w:r>
            <w:r>
              <w:rPr>
                <w:rFonts w:ascii="方正书宋_GBK" w:eastAsia="方正书宋_GBK"/>
              </w:rPr>
              <w:t>1</w:t>
            </w:r>
            <w:r>
              <w:rPr>
                <w:rFonts w:hint="eastAsia" w:ascii="方正书宋_GBK" w:eastAsia="方正书宋_GBK"/>
              </w:rPr>
              <w:t>人（死亡</w:t>
            </w:r>
            <w:r>
              <w:rPr>
                <w:rFonts w:ascii="方正书宋_GBK" w:eastAsia="方正书宋_GBK"/>
              </w:rPr>
              <w:t>3-9</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奖励金额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重大事故按照每查实瞒报谎报</w:t>
            </w:r>
            <w:r>
              <w:rPr>
                <w:rFonts w:ascii="方正书宋_GBK" w:eastAsia="方正书宋_GBK"/>
              </w:rPr>
              <w:t>1</w:t>
            </w:r>
            <w:r>
              <w:rPr>
                <w:rFonts w:hint="eastAsia" w:ascii="方正书宋_GBK" w:eastAsia="方正书宋_GBK"/>
              </w:rPr>
              <w:t>人（死亡</w:t>
            </w:r>
            <w:r>
              <w:rPr>
                <w:rFonts w:ascii="方正书宋_GBK" w:eastAsia="方正书宋_GBK"/>
              </w:rPr>
              <w:t>10-29</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奖励金额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特别重大事故按照每查实瞒报谎报</w:t>
            </w:r>
            <w:r>
              <w:rPr>
                <w:rFonts w:ascii="方正书宋_GBK" w:eastAsia="方正书宋_GBK"/>
              </w:rPr>
              <w:t>1</w:t>
            </w:r>
            <w:r>
              <w:rPr>
                <w:rFonts w:hint="eastAsia" w:ascii="方正书宋_GBK" w:eastAsia="方正书宋_GBK"/>
              </w:rPr>
              <w:t>人（死亡</w:t>
            </w:r>
            <w:r>
              <w:rPr>
                <w:rFonts w:ascii="方正书宋_GBK" w:eastAsia="方正书宋_GBK"/>
              </w:rPr>
              <w:t>30</w:t>
            </w:r>
            <w:r>
              <w:rPr>
                <w:rFonts w:hint="eastAsia" w:ascii="方正书宋_GBK" w:eastAsia="方正书宋_GBK"/>
              </w:rPr>
              <w:t>人以上）</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奖励金额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最高奖励不超过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核查举报案件真实性的时间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核查举报案件真实性工作完成时间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回复举报人结果时间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回复举报人核查结果完成时间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领取奖励金时间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举报人收到通知领取奖励金时间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安全生产隐患整改率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通过人民群众举报安全生产隐患，企业整改率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降低瞒报谎报发生率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通过人民群众举报降低瞒报谎报发生率</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群众对隐患事故处理满意度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8.执法业务费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、按照年初制定全区执法检查计划和区委、区政府下达的执法工作、企业举报案件、我区安排的联合执法及临时安排的交叉执法对全区安全生产经营单位进行督导检查，全年约检查各类企业</w:t>
            </w:r>
            <w:r>
              <w:rPr>
                <w:rFonts w:ascii="方正书宋_GBK" w:eastAsia="方正书宋_GBK"/>
              </w:rPr>
              <w:t>200</w:t>
            </w:r>
            <w:r>
              <w:rPr>
                <w:rFonts w:hint="eastAsia" w:ascii="方正书宋_GBK" w:eastAsia="方正书宋_GBK"/>
              </w:rPr>
              <w:t>余家次，确保各类企业不发生事故，维护社会稳定。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507"/>
        <w:gridCol w:w="2660"/>
        <w:gridCol w:w="1116"/>
        <w:gridCol w:w="1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二级指标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三级指标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绩效指标描述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指标值</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数量指标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全年执法次数</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全年计划执法的次数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家次</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烟花爆竹检查次数</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烟花爆竹检查执法次数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每月一次</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危险化学品生产企业、非煤矿山企业检查</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危险化学品生产企业、非煤矿山企业执法检查次数</w:t>
            </w:r>
          </w:p>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每年</w:t>
            </w:r>
            <w:r>
              <w:rPr>
                <w:rFonts w:ascii="方正书宋_GBK" w:eastAsia="方正书宋_GBK"/>
              </w:rPr>
              <w:t>3</w:t>
            </w:r>
            <w:r>
              <w:rPr>
                <w:rFonts w:hint="eastAsia" w:ascii="方正书宋_GBK" w:eastAsia="方正书宋_GBK"/>
              </w:rPr>
              <w:t>次</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石油库检查</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石油库执法检查次数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区委区政府下达的执法完成率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实际执法次数占区委区政府下达的应执法次数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区委区政府文件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企业举报案件执法完成率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实际执法次数占企业举报案件应执法次数</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举报案件登记表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数量指标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购执法设备数量</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实际配备执法用办公设备（电脑、便携打印机）数量</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35</w:t>
            </w:r>
            <w:r>
              <w:rPr>
                <w:rFonts w:hint="eastAsia" w:ascii="方正书宋_GBK" w:eastAsia="方正书宋_GBK"/>
              </w:rPr>
              <w:t>套</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数量指标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配备上网卡数量</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实际配备上网卡的数量</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ascii="方正书宋_GBK" w:eastAsia="方正书宋_GBK"/>
              </w:rPr>
              <w:t>60</w:t>
            </w:r>
            <w:r>
              <w:rPr>
                <w:rFonts w:hint="eastAsia" w:ascii="方正书宋_GBK" w:eastAsia="方正书宋_GBK"/>
              </w:rPr>
              <w:t>人</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质量指标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查出隐患整改率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确保查出隐患全部整改到位，无法整改到位的责令停产停业或提出政府予以取缔</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100%</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w:t>
            </w:r>
            <w:r>
              <w:rPr>
                <w:rFonts w:hint="eastAsia" w:ascii="方正书宋_GBK" w:eastAsia="方正书宋_GBK"/>
                <w:lang w:eastAsia="zh-CN"/>
              </w:rPr>
              <w:t>中华人民共和国</w:t>
            </w:r>
            <w:r>
              <w:rPr>
                <w:rFonts w:hint="eastAsia" w:ascii="方正书宋_GBK" w:eastAsia="方正书宋_GBK"/>
              </w:rP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时效指标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对被检查单位发现的隐患处理结案时间</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对被检查单位发现的隐患处理结案时间</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ascii="方正书宋_GBK" w:eastAsia="方正书宋_GBK"/>
              </w:rPr>
              <w:t>90</w:t>
            </w:r>
            <w:r>
              <w:rPr>
                <w:rFonts w:hint="eastAsia" w:ascii="方正书宋_GBK" w:eastAsia="方正书宋_GBK"/>
              </w:rPr>
              <w:t>个工作日</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《生产安全事故调查处理条例》、《</w:t>
            </w:r>
            <w:r>
              <w:rPr>
                <w:rFonts w:hint="eastAsia" w:ascii="方正书宋_GBK" w:eastAsia="方正书宋_GBK"/>
                <w:lang w:eastAsia="zh-CN"/>
              </w:rPr>
              <w:t>中华人民共和国</w:t>
            </w:r>
            <w:r>
              <w:rPr>
                <w:rFonts w:hint="eastAsia" w:ascii="方正书宋_GBK" w:eastAsia="方正书宋_GBK"/>
              </w:rP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可持续影响指标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指导企业建立安全生产长效机制的比率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通过对企业的安全生产检查，指导企业实际已经建立安全生产长效机制和应建立</w:t>
            </w:r>
            <w:r>
              <w:rPr>
                <w:rFonts w:hint="eastAsia" w:ascii="方正书宋_GBK" w:eastAsia="方正书宋_GBK"/>
                <w:lang w:eastAsia="zh-CN"/>
              </w:rPr>
              <w:t>安全生产</w:t>
            </w:r>
            <w:r>
              <w:rPr>
                <w:rFonts w:hint="eastAsia" w:ascii="方正书宋_GBK" w:eastAsia="方正书宋_GBK"/>
              </w:rPr>
              <w:t>长效机制的比</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90%</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w:t>
            </w:r>
            <w:r>
              <w:rPr>
                <w:rFonts w:hint="eastAsia" w:ascii="方正书宋_GBK" w:eastAsia="方正书宋_GBK"/>
                <w:lang w:eastAsia="zh-CN"/>
              </w:rPr>
              <w:t>中华人民共和国</w:t>
            </w:r>
            <w:r>
              <w:rPr>
                <w:rFonts w:hint="eastAsia" w:ascii="方正书宋_GBK" w:eastAsia="方正书宋_GBK"/>
              </w:rP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社会效益指标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查出隐患整改率</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安全隐患整改的次数占发现隐患数量的比例</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ascii="方正书宋_GBK" w:eastAsia="方正书宋_GBK"/>
              </w:rPr>
              <w:t>100%</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w:t>
            </w:r>
            <w:r>
              <w:rPr>
                <w:rFonts w:hint="eastAsia" w:ascii="方正书宋_GBK" w:eastAsia="方正书宋_GBK"/>
                <w:lang w:eastAsia="zh-CN"/>
              </w:rPr>
              <w:t>中华人民共和国</w:t>
            </w:r>
            <w:bookmarkStart w:id="3" w:name="_GoBack"/>
            <w:bookmarkEnd w:id="3"/>
            <w:r>
              <w:rPr>
                <w:rFonts w:hint="eastAsia" w:ascii="方正书宋_GBK" w:eastAsia="方正书宋_GBK"/>
              </w:rP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507"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服务对象满意度</w:t>
            </w:r>
          </w:p>
        </w:tc>
        <w:tc>
          <w:tcPr>
            <w:tcW w:w="2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接受监督检查单位对执法人员提供服务的满意程度</w:t>
            </w:r>
          </w:p>
        </w:tc>
        <w:tc>
          <w:tcPr>
            <w:tcW w:w="111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86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9.安全生产目标奖励费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目标考核奖励资金用于每年考核成绩为优秀的乡镇和部门。年底按照《鹿泉区安全生产目标管理考核办法》组织对各乡镇、部门进行考核，根据划分安全生产经营单位数量，全年安全事故多少划分考核等次。通过奖励先进促进各乡镇和部门提升安全生产管理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目标生产控制目标完成情况优选率</w:t>
            </w:r>
            <w:r>
              <w:rPr>
                <w:rFonts w:ascii="方正书宋_GBK" w:eastAsia="方正书宋_GBK"/>
              </w:rPr>
              <w:t>%</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安全生产目标管理责任书各项工作完成情况</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百分比</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根据各乡镇、部门签订的《安全生产目标责任书》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奖励家数</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安全生产管理相关知识及业务掌握情况</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ascii="方正书宋_GBK" w:eastAsia="方正书宋_GBK"/>
              </w:rPr>
              <w:t>27</w:t>
            </w:r>
            <w:r>
              <w:rPr>
                <w:rFonts w:hint="eastAsia" w:ascii="方正书宋_GBK" w:eastAsia="方正书宋_GBK"/>
              </w:rPr>
              <w:t>家</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年底进行管理水平考评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奖励标准</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监管任务较重的，奖励标准</w:t>
            </w:r>
            <w:r>
              <w:rPr>
                <w:rFonts w:ascii="方正书宋_GBK" w:eastAsia="方正书宋_GBK"/>
              </w:rPr>
              <w:t>x13</w:t>
            </w:r>
            <w:r>
              <w:rPr>
                <w:rFonts w:hint="eastAsia" w:ascii="方正书宋_GBK" w:eastAsia="方正书宋_GBK"/>
              </w:rPr>
              <w:t>家</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3</w:t>
            </w:r>
            <w:r>
              <w:rPr>
                <w:rFonts w:hint="eastAsia" w:ascii="方正书宋_GBK" w:eastAsia="方正书宋_GBK"/>
              </w:rPr>
              <w:t>万元</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根据各乡镇、部门签订的《安全生产目标责任书》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奖励标准</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监管任务一般的，奖励标准</w:t>
            </w:r>
            <w:r>
              <w:rPr>
                <w:rFonts w:ascii="方正书宋_GBK" w:eastAsia="方正书宋_GBK"/>
              </w:rPr>
              <w:t>x7</w:t>
            </w:r>
            <w:r>
              <w:rPr>
                <w:rFonts w:hint="eastAsia" w:ascii="方正书宋_GBK" w:eastAsia="方正书宋_GBK"/>
              </w:rPr>
              <w:t>家</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万元</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根据各乡镇、部门签订的《安全生产目标责任书》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奖励标准</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监管任务较轻的，奖励标准</w:t>
            </w:r>
            <w:r>
              <w:rPr>
                <w:rFonts w:ascii="方正书宋_GBK" w:eastAsia="方正书宋_GBK"/>
              </w:rPr>
              <w:t>x5</w:t>
            </w:r>
            <w:r>
              <w:rPr>
                <w:rFonts w:hint="eastAsia" w:ascii="方正书宋_GBK" w:eastAsia="方正书宋_GBK"/>
              </w:rPr>
              <w:t>家</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1</w:t>
            </w:r>
            <w:r>
              <w:rPr>
                <w:rFonts w:hint="eastAsia" w:ascii="方正书宋_GBK" w:eastAsia="方正书宋_GBK"/>
              </w:rPr>
              <w:t>万元</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根据各乡镇、部门签订的《安全生产目标责任书》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考核任务完成率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按照年度工作计划，对签订责任书的乡镇、部门进行考核</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根据各乡镇、部门签订的《安全生产目标责任书》</w:t>
            </w:r>
          </w:p>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考核任务按时完成率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按时完成考核任务</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根据各乡镇、部门签订的《安全生产目标责任书》</w:t>
            </w:r>
          </w:p>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生产安全事故发生次数</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hint="eastAsia" w:ascii="方正书宋_GBK" w:eastAsia="方正书宋_GBK"/>
              </w:rPr>
              <w:t>安全生产考核优秀单位不发生生产安全事故，安全生产监管水平显著提高</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方正书宋_GBK" w:eastAsia="方正书宋_GBK"/>
              </w:rPr>
            </w:pPr>
            <w:r>
              <w:rPr>
                <w:rFonts w:hint="eastAsia" w:ascii="方正书宋_GBK" w:eastAsia="方正书宋_GBK"/>
              </w:rPr>
              <w:t>根据各部门、乡镇签订的《安全生产目标责任书》</w:t>
            </w:r>
          </w:p>
        </w:tc>
      </w:tr>
    </w:tbl>
    <w:p>
      <w:pPr>
        <w:keepNext w:val="0"/>
        <w:keepLines w:val="0"/>
        <w:pageBreakBefore w:val="0"/>
        <w:widowControl w:val="0"/>
        <w:numPr>
          <w:ilvl w:val="0"/>
          <w:numId w:val="0"/>
        </w:numPr>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10.宣传教育培训费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、利用安全生产培训及宣传加强全区生产经营单位提高安全意识。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、通过安全生产培训及宣传增强了全区生产经营单位处理各类事故和灾难的能力。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065"/>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06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912"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安全生产宣传培训次数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重大节日安全生产宣传次数</w:t>
            </w:r>
          </w:p>
        </w:tc>
        <w:tc>
          <w:tcPr>
            <w:tcW w:w="106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912"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印刷安全生产宣传购物代数量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印刷安全生产宣传购物袋数量</w:t>
            </w:r>
          </w:p>
        </w:tc>
        <w:tc>
          <w:tcPr>
            <w:tcW w:w="1065"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1000</w:t>
            </w:r>
            <w:r>
              <w:rPr>
                <w:rFonts w:hint="eastAsia" w:ascii="方正书宋_GBK" w:eastAsia="方正书宋_GBK"/>
              </w:rPr>
              <w:t>个</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《关于加强全社会安全生产宣传教育工作的实施意见》、宣传计划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制作安全生产宣传围裙数量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制作安全生产宣传围裙数量</w:t>
            </w:r>
          </w:p>
        </w:tc>
        <w:tc>
          <w:tcPr>
            <w:tcW w:w="106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个</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《关于加强全社会安全生产宣传教育工作的实施意见》、宣传计划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印刷安全生产宣传展牌数量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印刷安全生产宣传展牌数量</w:t>
            </w:r>
          </w:p>
        </w:tc>
        <w:tc>
          <w:tcPr>
            <w:tcW w:w="106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《关于加强全社会安全生产宣传教育工作的实施意见》、宣传计划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印刷安全生产宣传围裙费用</w:t>
            </w:r>
            <w:r>
              <w:rPr>
                <w:rFonts w:ascii="方正书宋_GBK" w:eastAsia="方正书宋_GBK"/>
              </w:rPr>
              <w:t xml:space="preserve"> </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印刷安全生产宣传围裙费用</w:t>
            </w:r>
            <w:r>
              <w:rPr>
                <w:rFonts w:ascii="方正书宋_GBK" w:eastAsia="方正书宋_GBK"/>
              </w:rPr>
              <w:t xml:space="preserve"> </w:t>
            </w:r>
          </w:p>
        </w:tc>
        <w:tc>
          <w:tcPr>
            <w:tcW w:w="106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《关于加强全社会安全生产宣传教育工作的实施意见》、订购合同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印刷安全生产宣传展牌费用</w:t>
            </w:r>
            <w:r>
              <w:rPr>
                <w:rFonts w:ascii="方正书宋_GBK" w:eastAsia="方正书宋_GBK"/>
              </w:rPr>
              <w:t xml:space="preserve"> </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印刷安全生产宣传展牌费用</w:t>
            </w:r>
            <w:r>
              <w:rPr>
                <w:rFonts w:ascii="方正书宋_GBK" w:eastAsia="方正书宋_GBK"/>
              </w:rPr>
              <w:t xml:space="preserve"> </w:t>
            </w:r>
          </w:p>
        </w:tc>
        <w:tc>
          <w:tcPr>
            <w:tcW w:w="106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印刷安全生产法宣传手册费用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安全生产法宣传周，印制各类安全生产法宣传手册费用</w:t>
            </w:r>
          </w:p>
        </w:tc>
        <w:tc>
          <w:tcPr>
            <w:tcW w:w="106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本</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《关于加强全社会安全生产宣传教育工作的实施意见》、宣传计划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提高了执法人员处理各类事故的能力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通过安全生产培训及宣传增强了执法人员对全区生产经营单位处理各类事故和灾难的能力。</w:t>
            </w:r>
          </w:p>
        </w:tc>
        <w:tc>
          <w:tcPr>
            <w:tcW w:w="106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《中华人民共和国安全生产法》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通过宣传提高广大人民群众的安全意识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通过宣传达到提高广大人民群众的安全意识</w:t>
            </w:r>
          </w:p>
        </w:tc>
        <w:tc>
          <w:tcPr>
            <w:tcW w:w="1065"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&gt;0</w:t>
            </w:r>
            <w:r>
              <w:rPr>
                <w:rFonts w:hint="eastAsia" w:ascii="方正书宋_GBK" w:eastAsia="方正书宋_GBK"/>
              </w:rPr>
              <w:t>逐步提高</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调查广大人民群众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接受安全生产宣传培训单位对培训提供服务的满意程度</w:t>
            </w:r>
          </w:p>
        </w:tc>
        <w:tc>
          <w:tcPr>
            <w:tcW w:w="106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912"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11.各类应急预案演练费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年组织地质灾害点演练、人员密集场所演练、重要路段处置事故演练、集中的小微企业互救演练、涉氨涉氯企业演练，建立应急预案体系，巩固应急预案成果，查漏补缺，对号入座，在不同行业领域着重预防，提高部门、乡镇人员应急能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应急预案演练次数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人员密集场所应急预案演练次数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参加演练人数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每次演练参与人数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人</w:t>
            </w:r>
            <w:r>
              <w:rPr>
                <w:rFonts w:ascii="方正书宋_GBK" w:eastAsia="方正书宋_GBK"/>
              </w:rPr>
              <w:t>/</w:t>
            </w:r>
            <w:r>
              <w:rPr>
                <w:rFonts w:hint="eastAsia" w:ascii="方正书宋_GBK" w:eastAsia="方正书宋_GBK"/>
              </w:rPr>
              <w:t>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演练计划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参见演练部门和乡镇数量</w:t>
            </w:r>
          </w:p>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每场参见演练部门和乡镇数量</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个</w:t>
            </w:r>
            <w:r>
              <w:rPr>
                <w:rFonts w:ascii="方正书宋_GBK" w:eastAsia="方正书宋_GBK"/>
              </w:rPr>
              <w:t>/</w:t>
            </w:r>
            <w:r>
              <w:rPr>
                <w:rFonts w:hint="eastAsia" w:ascii="方正书宋_GBK" w:eastAsia="方正书宋_GBK"/>
              </w:rPr>
              <w:t>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演练计划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应急演练费用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各类应急演练每次平均费用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演练计划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同行业同规模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成果明显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预计参练人数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全年预计参练人数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提高部门人员应急能力情况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增加群众的防范意识、逃生能力、自救呼救能力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明显提高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统计报告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12.安全员工资</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矿山安全员协助我局和企业进行安全监管，主要负责督促企业落实主体责任，督促企业定期进行隐患排查整改，发现重大隐患及时上报我局，加强我局及各乡镇安全生产监管力度，提高安全隐患排查范围和数量，将会大大降低矿山的事故发生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超过退体年龄的安全员人数</w:t>
            </w:r>
            <w:r>
              <w:rPr>
                <w:rFonts w:ascii="方正书宋_GBK" w:eastAsia="方正书宋_GBK"/>
              </w:rPr>
              <w:t xml:space="preserve"> </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已经超过</w:t>
            </w:r>
            <w:r>
              <w:rPr>
                <w:rFonts w:ascii="方正书宋_GBK" w:eastAsia="方正书宋_GBK"/>
              </w:rPr>
              <w:t>60</w:t>
            </w:r>
            <w:r>
              <w:rPr>
                <w:rFonts w:hint="eastAsia" w:ascii="方正书宋_GBK" w:eastAsia="方正书宋_GBK"/>
              </w:rPr>
              <w:t>周岁的法定退体年龄的安全员人数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招聘合同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现任安全员人数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现担任曲寨水泥和鼎鑫水泥两家矿山的安全员人数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矿山数量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我区现在矿山数量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已经超过</w:t>
            </w:r>
            <w:r>
              <w:rPr>
                <w:rFonts w:ascii="方正书宋_GBK" w:eastAsia="方正书宋_GBK"/>
              </w:rPr>
              <w:t>60</w:t>
            </w:r>
            <w:r>
              <w:rPr>
                <w:rFonts w:hint="eastAsia" w:ascii="方正书宋_GBK" w:eastAsia="方正书宋_GBK"/>
              </w:rPr>
              <w:t>周岁的法定退体年龄的安全员月工资标准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安全员工资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现担任曲寨水泥和鼎鑫水泥两家矿山的安全员月工资标准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招聘合同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重大隐患报告率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报告的重大安全隐患数量占发现的重大安全隐患量的比例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隐患整改率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已整改隐患数占日常安全监管中发现的隐患比</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每月对安全员工作进行考评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接受监督检查的矿山企业对安全员所提供服务的满意程度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w:t>
            </w:r>
            <w:r>
              <w:rPr>
                <w:rFonts w:ascii="方正书宋_GBK" w:eastAsia="方正书宋_GBK"/>
              </w:rPr>
              <w:t xml:space="preserve"> </w:t>
            </w:r>
            <w:r>
              <w:rPr>
                <w:rFonts w:hint="eastAsia" w:ascii="方正书宋_GBK" w:eastAsia="方正书宋_GBK"/>
              </w:rPr>
              <w:t>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13.政府购买应急管理服务费</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、聘请第三方机构，对全区生产经营单位的安全检查，对安全执法检查中能够及时发现安全隐患，有效遏制事故的发生，及时做到安全隐患的排查与发现。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558"/>
        <w:gridCol w:w="2609"/>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58"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0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58"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安全生产案件办结率</w:t>
            </w:r>
            <w:r>
              <w:rPr>
                <w:rFonts w:ascii="方正书宋_GBK" w:eastAsia="方正书宋_GBK"/>
              </w:rPr>
              <w:t>%</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立案案件数量占执法总数的比率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安全生产聘请专家人数</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我区今年共聘请专家人数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使用专家审比单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安全生产聘请第三方机构</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聘请第三方机构进行技术支持</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次</w:t>
            </w:r>
            <w:r>
              <w:rPr>
                <w:rFonts w:ascii="方正书宋_GBK" w:eastAsia="方正书宋_GBK"/>
              </w:rPr>
              <w:t>.</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使用专家审批单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安全生产完成安全指导的时间</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聘请专家完成安全指导的时间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当日</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使用专家审批单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安全生产检查企业数量</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eastAsia="zh-CN"/>
              </w:rPr>
              <w:t>安全生产</w:t>
            </w:r>
            <w:r>
              <w:rPr>
                <w:rFonts w:hint="eastAsia" w:ascii="方正书宋_GBK" w:eastAsia="方正书宋_GBK"/>
              </w:rPr>
              <w:t>执法检查企业数量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安全事故有效处理率</w:t>
            </w:r>
            <w:r>
              <w:rPr>
                <w:rFonts w:ascii="方正书宋_GBK" w:eastAsia="方正书宋_GBK"/>
              </w:rPr>
              <w:t>%</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事故调查处理量占发生量的比例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冀发（</w:t>
            </w:r>
            <w:r>
              <w:rPr>
                <w:rFonts w:ascii="方正书宋_GBK" w:eastAsia="方正书宋_GBK"/>
              </w:rPr>
              <w:t>2017</w:t>
            </w:r>
            <w:r>
              <w:rPr>
                <w:rFonts w:hint="eastAsia" w:ascii="方正书宋_GBK" w:eastAsia="方正书宋_GBK"/>
              </w:rPr>
              <w:t>）</w:t>
            </w:r>
            <w:r>
              <w:rPr>
                <w:rFonts w:ascii="方正书宋_GBK" w:eastAsia="方正书宋_GBK"/>
              </w:rPr>
              <w:t>22</w:t>
            </w:r>
            <w:r>
              <w:rPr>
                <w:rFonts w:hint="eastAsia" w:ascii="方正书宋_GBK" w:eastAsia="方正书宋_GBK"/>
              </w:rPr>
              <w:t>号第</w:t>
            </w:r>
            <w:r>
              <w:rPr>
                <w:rFonts w:ascii="方正书宋_GBK" w:eastAsia="方正书宋_GBK"/>
              </w:rPr>
              <w:t>22</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安全事故发生次数</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生产经营过程中发生的生产安全事故数量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冀发（</w:t>
            </w:r>
            <w:r>
              <w:rPr>
                <w:rFonts w:ascii="方正书宋_GBK" w:eastAsia="方正书宋_GBK"/>
              </w:rPr>
              <w:t>2017</w:t>
            </w:r>
            <w:r>
              <w:rPr>
                <w:rFonts w:hint="eastAsia" w:ascii="方正书宋_GBK" w:eastAsia="方正书宋_GBK"/>
              </w:rPr>
              <w:t>）</w:t>
            </w:r>
            <w:r>
              <w:rPr>
                <w:rFonts w:ascii="方正书宋_GBK" w:eastAsia="方正书宋_GBK"/>
              </w:rPr>
              <w:t>22</w:t>
            </w:r>
            <w:r>
              <w:rPr>
                <w:rFonts w:hint="eastAsia" w:ascii="方正书宋_GBK" w:eastAsia="方正书宋_GBK"/>
              </w:rPr>
              <w:t>号第</w:t>
            </w:r>
            <w:r>
              <w:rPr>
                <w:rFonts w:ascii="方正书宋_GBK" w:eastAsia="方正书宋_GBK"/>
              </w:rPr>
              <w:t>22</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事故下降率</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较去年事故降低次数占去年事故发生次数的比例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标准化达标企业监督抽查制度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企业安全事故发生次数</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企业安全事故发生次数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服务的企业对案件处理的满意程度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冀发（</w:t>
            </w:r>
            <w:r>
              <w:rPr>
                <w:rFonts w:ascii="方正书宋_GBK" w:eastAsia="方正书宋_GBK"/>
              </w:rPr>
              <w:t>2017</w:t>
            </w:r>
            <w:r>
              <w:rPr>
                <w:rFonts w:hint="eastAsia" w:ascii="方正书宋_GBK" w:eastAsia="方正书宋_GBK"/>
              </w:rPr>
              <w:t>）</w:t>
            </w:r>
            <w:r>
              <w:rPr>
                <w:rFonts w:ascii="方正书宋_GBK" w:eastAsia="方正书宋_GBK"/>
              </w:rPr>
              <w:t>22</w:t>
            </w:r>
            <w:r>
              <w:rPr>
                <w:rFonts w:hint="eastAsia" w:ascii="方正书宋_GBK" w:eastAsia="方正书宋_GBK"/>
              </w:rPr>
              <w:t>号第</w:t>
            </w:r>
            <w:r>
              <w:rPr>
                <w:rFonts w:ascii="方正书宋_GBK" w:eastAsia="方正书宋_GBK"/>
              </w:rPr>
              <w:t>22</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558"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609"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企业满意数量占抽查总数的比例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14.综合防灾专项规划</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、编制完成我区综合防灾专项规划，提高我区综合防灾减灾应对处置能力，降低灾害对我区造成的灾害损失。</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规划编制费用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审核通过情况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综合防灾专项规划专家验收情况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通过专家验收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综合防灾专项规划完成时间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9</w:t>
            </w:r>
            <w:r>
              <w:rPr>
                <w:rFonts w:hint="eastAsia" w:ascii="方正书宋_GBK" w:eastAsia="方正书宋_GBK"/>
              </w:rPr>
              <w:t>月之前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社会防灾减灾水平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通过实施综合防灾专项规划提高我区灾害处置水平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缩短应急反应时间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调查统计报告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15.涉军公益岗位工资</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3</w:t>
            </w:r>
            <w:r>
              <w:rPr>
                <w:rFonts w:hint="eastAsia" w:ascii="方正书宋_GBK" w:eastAsia="方正书宋_GBK"/>
              </w:rPr>
              <w:t>名，实行公益岗位托管安置。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、帮扶救助到位，加大就业援助工作，实现就业。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涉军公益岗位人数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实行退役人员公益岗位托管安置数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涉军公益岗位工资发放标准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涉军公益岗位工资发放数额</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涉军公益岗位工资发放率</w:t>
            </w:r>
            <w:r>
              <w:rPr>
                <w:rFonts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涉军公益岗位工资占应发放工资的比</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涉军公益岗位工资发放时间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涉军公益岗位工资发放时间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每月</w:t>
            </w:r>
            <w:r>
              <w:rPr>
                <w:rFonts w:ascii="方正书宋_GBK" w:eastAsia="方正书宋_GBK"/>
              </w:rPr>
              <w:t>30</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托管安置人数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公益岗托管安置人数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对退役安置满意和较满意的人数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bl>
    <w:p>
      <w:pPr>
        <w:keepNext w:val="0"/>
        <w:keepLines w:val="0"/>
        <w:pageBreakBefore w:val="0"/>
        <w:widowControl w:val="0"/>
        <w:kinsoku/>
        <w:wordWrap/>
        <w:overflowPunct/>
        <w:topLinePunct w:val="0"/>
        <w:autoSpaceDE w:val="0"/>
        <w:autoSpaceDN w:val="0"/>
        <w:bidi w:val="0"/>
        <w:adjustRightInd w:val="0"/>
        <w:snapToGrid/>
        <w:spacing w:line="578" w:lineRule="exact"/>
        <w:ind w:firstLine="642" w:firstLineChars="200"/>
        <w:jc w:val="left"/>
        <w:textAlignment w:val="auto"/>
        <w:rPr>
          <w:rFonts w:hint="eastAsia" w:ascii="宋体" w:hAnsi="宋体" w:eastAsia="仿宋" w:cs="仿宋"/>
          <w:b/>
          <w:bCs/>
          <w:color w:val="000000" w:themeColor="text1"/>
          <w:sz w:val="32"/>
          <w:szCs w:val="32"/>
          <w:lang w:val="en-US" w:eastAsia="zh-CN"/>
          <w14:textFill>
            <w14:solidFill>
              <w14:schemeClr w14:val="tx1"/>
            </w14:solidFill>
          </w14:textFill>
        </w:rPr>
      </w:pPr>
      <w:r>
        <w:rPr>
          <w:rFonts w:hint="eastAsia" w:ascii="宋体" w:hAnsi="宋体" w:eastAsia="仿宋" w:cs="仿宋"/>
          <w:b/>
          <w:bCs/>
          <w:color w:val="000000" w:themeColor="text1"/>
          <w:sz w:val="32"/>
          <w:szCs w:val="32"/>
          <w:lang w:val="en-US" w:eastAsia="zh-CN"/>
          <w14:textFill>
            <w14:solidFill>
              <w14:schemeClr w14:val="tx1"/>
            </w14:solidFill>
          </w14:textFill>
        </w:rPr>
        <w:t>16.危险化学品安全生产风险监测预警系统建设</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、完成风险预警系统设备购置，实现</w:t>
            </w:r>
            <w:r>
              <w:rPr>
                <w:rFonts w:ascii="方正书宋_GBK" w:eastAsia="方正书宋_GBK"/>
              </w:rPr>
              <w:t>10</w:t>
            </w:r>
            <w:r>
              <w:rPr>
                <w:rFonts w:hint="eastAsia" w:ascii="方正书宋_GBK" w:eastAsia="方正书宋_GBK"/>
              </w:rPr>
              <w:t>家重大危险源企业与区、市、省、部联通，加强对重大危险源企业的监控，减少安全隐患。</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设施配置</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24</w:t>
            </w:r>
            <w:r>
              <w:rPr>
                <w:rFonts w:hint="eastAsia" w:ascii="方正书宋_GBK" w:eastAsia="方正书宋_GBK"/>
              </w:rPr>
              <w:t>盘位存储磁盘列阵数量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套</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设施配置费用</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24</w:t>
            </w:r>
            <w:r>
              <w:rPr>
                <w:rFonts w:hint="eastAsia" w:ascii="方正书宋_GBK" w:eastAsia="方正书宋_GBK"/>
              </w:rPr>
              <w:t>盘位存储磁盘列阵金额</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2.2</w:t>
            </w:r>
            <w:r>
              <w:rPr>
                <w:rFonts w:hint="eastAsia" w:ascii="方正书宋_GBK" w:eastAsia="方正书宋_GBK"/>
              </w:rPr>
              <w:t>万</w:t>
            </w:r>
            <w:r>
              <w:rPr>
                <w:rFonts w:ascii="方正书宋_GBK" w:eastAsia="方正书宋_GBK"/>
              </w:rPr>
              <w:t>/</w:t>
            </w:r>
            <w:r>
              <w:rPr>
                <w:rFonts w:hint="eastAsia" w:ascii="方正书宋_GBK" w:eastAsia="方正书宋_GBK"/>
              </w:rPr>
              <w:t>套</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设施配置</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电脑金额</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8000</w:t>
            </w:r>
            <w:r>
              <w:rPr>
                <w:rFonts w:hint="eastAsia" w:ascii="方正书宋_GBK" w:eastAsia="方正书宋_GBK"/>
              </w:rPr>
              <w:t>元</w:t>
            </w:r>
            <w:r>
              <w:rPr>
                <w:rFonts w:ascii="方正书宋_GBK" w:eastAsia="方正书宋_GBK"/>
              </w:rPr>
              <w:t>/</w:t>
            </w:r>
            <w:r>
              <w:rPr>
                <w:rFonts w:hint="eastAsia" w:ascii="方正书宋_GBK" w:eastAsia="方正书宋_GBK"/>
              </w:rPr>
              <w:t>台</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设施配置数量</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电脑数量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施工及配套辅料</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施工及配套辅料费用</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1.48</w:t>
            </w:r>
            <w:r>
              <w:rPr>
                <w:rFonts w:hint="eastAsia" w:ascii="方正书宋_GBK" w:eastAsia="方正书宋_GBK"/>
              </w:rPr>
              <w:t>万</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设施配置费用</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10T</w:t>
            </w:r>
            <w:r>
              <w:rPr>
                <w:rFonts w:hint="eastAsia" w:ascii="方正书宋_GBK" w:eastAsia="方正书宋_GBK"/>
              </w:rPr>
              <w:t>监控专用硬盘金额</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2300</w:t>
            </w:r>
            <w:r>
              <w:rPr>
                <w:rFonts w:hint="eastAsia" w:ascii="方正书宋_GBK" w:eastAsia="方正书宋_GBK"/>
              </w:rPr>
              <w:t>元</w:t>
            </w:r>
            <w:r>
              <w:rPr>
                <w:rFonts w:ascii="方正书宋_GBK" w:eastAsia="方正书宋_GBK"/>
              </w:rPr>
              <w:t>/</w:t>
            </w:r>
            <w:r>
              <w:rPr>
                <w:rFonts w:hint="eastAsia" w:ascii="方正书宋_GBK" w:eastAsia="方正书宋_GBK"/>
              </w:rPr>
              <w:t>块</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设施配置数量</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10T</w:t>
            </w:r>
            <w:r>
              <w:rPr>
                <w:rFonts w:hint="eastAsia" w:ascii="方正书宋_GBK" w:eastAsia="方正书宋_GBK"/>
              </w:rPr>
              <w:t>监控专用硬盘数量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16</w:t>
            </w:r>
            <w:r>
              <w:rPr>
                <w:rFonts w:hint="eastAsia" w:ascii="方正书宋_GBK" w:eastAsia="方正书宋_GBK"/>
              </w:rPr>
              <w:t>块</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设备验收合格率</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由市应急管理局联系相关专业人员进行验收，通过验收合格的预警监测系统工程量占工程总量的比例</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100</w:t>
            </w:r>
            <w:r>
              <w:rPr>
                <w:rFonts w:hint="eastAsia" w:ascii="方正书宋_GBK" w:eastAsia="方正书宋_GBK"/>
              </w:rPr>
              <w:t>百分百</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对接完成时间</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完成与部、省、市、企业对接的时间</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8</w:t>
            </w:r>
            <w:r>
              <w:rPr>
                <w:rFonts w:hint="eastAsia" w:ascii="方正书宋_GBK" w:eastAsia="方正书宋_GBK"/>
              </w:rPr>
              <w:t>月前完成</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实现对重大危险源企业的监控数量</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实现区、市、省、部四级视频监控、数据监控联通，监控企业数量</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ascii="方正书宋_GBK" w:eastAsia="方正书宋_GBK"/>
              </w:rPr>
              <w:t>10</w:t>
            </w:r>
            <w:r>
              <w:rPr>
                <w:rFonts w:hint="eastAsia" w:ascii="方正书宋_GBK" w:eastAsia="方正书宋_GBK"/>
              </w:rPr>
              <w:t>家</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石安委办【</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重大危险源企业满意度</w:t>
            </w:r>
          </w:p>
        </w:tc>
        <w:tc>
          <w:tcPr>
            <w:tcW w:w="289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满意和较满意企业数占监控企业总数的比例。</w:t>
            </w:r>
          </w:p>
        </w:tc>
        <w:tc>
          <w:tcPr>
            <w:tcW w:w="1276"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eastAsia" w:ascii="方正书宋_GBK" w:eastAsia="方正书宋_GBK"/>
              </w:rPr>
            </w:pPr>
            <w:r>
              <w:rPr>
                <w:rFonts w:hint="eastAsia" w:ascii="方正书宋_GBK" w:eastAsia="方正书宋_GBK"/>
              </w:rPr>
              <w:t>计划标准</w:t>
            </w:r>
          </w:p>
        </w:tc>
      </w:tr>
    </w:tbl>
    <w:p>
      <w:pPr>
        <w:keepNext w:val="0"/>
        <w:keepLines w:val="0"/>
        <w:pageBreakBefore w:val="0"/>
        <w:kinsoku/>
        <w:wordWrap/>
        <w:overflowPunct/>
        <w:topLinePunct w:val="0"/>
        <w:autoSpaceDE w:val="0"/>
        <w:autoSpaceDN w:val="0"/>
        <w:bidi w:val="0"/>
        <w:adjustRightInd w:val="0"/>
        <w:spacing w:line="576" w:lineRule="exact"/>
        <w:ind w:left="0" w:firstLine="960" w:firstLineChars="300"/>
        <w:jc w:val="left"/>
        <w:rPr>
          <w:rFonts w:hint="eastAsia" w:ascii="宋体" w:hAnsi="宋体" w:eastAsia="黑体" w:cs="Times New Roman"/>
          <w:color w:val="000000" w:themeColor="text1"/>
          <w:sz w:val="32"/>
          <w:szCs w:val="32"/>
          <w14:textFill>
            <w14:solidFill>
              <w14:schemeClr w14:val="tx1"/>
            </w14:solidFill>
          </w14:textFill>
        </w:rPr>
        <w:sectPr>
          <w:pgSz w:w="11906" w:h="16838"/>
          <w:pgMar w:top="1928" w:right="1417" w:bottom="1644" w:left="1531" w:header="851" w:footer="992" w:gutter="0"/>
          <w:pgBorders>
            <w:top w:val="none" w:sz="0" w:space="0"/>
            <w:left w:val="none" w:sz="0" w:space="0"/>
            <w:bottom w:val="none" w:sz="0" w:space="0"/>
            <w:right w:val="none" w:sz="0" w:space="0"/>
          </w:pgBorders>
          <w:pgNumType w:fmt="numberInDash"/>
          <w:cols w:space="0" w:num="1"/>
          <w:rtlGutter w:val="0"/>
          <w:docGrid w:type="lines" w:linePitch="316" w:charSpace="0"/>
        </w:sectPr>
      </w:pPr>
    </w:p>
    <w:p>
      <w:pPr>
        <w:keepNext w:val="0"/>
        <w:keepLines w:val="0"/>
        <w:pageBreakBefore w:val="0"/>
        <w:kinsoku/>
        <w:wordWrap/>
        <w:overflowPunct/>
        <w:topLinePunct w:val="0"/>
        <w:autoSpaceDE w:val="0"/>
        <w:autoSpaceDN w:val="0"/>
        <w:bidi w:val="0"/>
        <w:adjustRightInd w:val="0"/>
        <w:spacing w:line="576" w:lineRule="exact"/>
        <w:ind w:left="0" w:firstLine="960" w:firstLineChars="300"/>
        <w:jc w:val="left"/>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六、政府采购预算情况</w:t>
      </w:r>
    </w:p>
    <w:p>
      <w:pPr>
        <w:keepNext w:val="0"/>
        <w:keepLines w:val="0"/>
        <w:pageBreakBefore w:val="0"/>
        <w:kinsoku/>
        <w:wordWrap/>
        <w:overflowPunct/>
        <w:topLinePunct w:val="0"/>
        <w:bidi w:val="0"/>
        <w:spacing w:line="576" w:lineRule="exact"/>
        <w:ind w:left="0" w:firstLine="640" w:firstLineChars="200"/>
        <w:outlineLvl w:val="0"/>
        <w:rPr>
          <w:rFonts w:ascii="宋体" w:hAnsi="宋体" w:eastAsia="仿宋" w:cs="Times New Roman"/>
          <w:color w:val="000000" w:themeColor="text1"/>
          <w:sz w:val="32"/>
          <w:szCs w:val="24"/>
          <w14:textFill>
            <w14:solidFill>
              <w14:schemeClr w14:val="tx1"/>
            </w14:solidFill>
          </w14:textFill>
        </w:rPr>
      </w:pPr>
      <w:bookmarkStart w:id="1" w:name="_Toc471398468"/>
      <w:r>
        <w:rPr>
          <w:rFonts w:ascii="宋体" w:hAnsi="宋体" w:eastAsia="仿宋" w:cs="Times New Roman"/>
          <w:color w:val="000000" w:themeColor="text1"/>
          <w:sz w:val="32"/>
          <w:szCs w:val="24"/>
          <w14:textFill>
            <w14:solidFill>
              <w14:schemeClr w14:val="tx1"/>
            </w14:solidFill>
          </w14:textFill>
        </w:rPr>
        <w:t xml:space="preserve"> 20</w:t>
      </w:r>
      <w:r>
        <w:rPr>
          <w:rFonts w:hint="eastAsia" w:ascii="宋体" w:hAnsi="宋体" w:eastAsia="仿宋" w:cs="Times New Roman"/>
          <w:color w:val="000000" w:themeColor="text1"/>
          <w:sz w:val="32"/>
          <w:szCs w:val="24"/>
          <w14:textFill>
            <w14:solidFill>
              <w14:schemeClr w14:val="tx1"/>
            </w14:solidFill>
          </w14:textFill>
        </w:rPr>
        <w:t>20</w:t>
      </w:r>
      <w:r>
        <w:rPr>
          <w:rFonts w:ascii="宋体" w:hAnsi="宋体" w:eastAsia="仿宋" w:cs="Times New Roman"/>
          <w:color w:val="000000" w:themeColor="text1"/>
          <w:sz w:val="32"/>
          <w:szCs w:val="24"/>
          <w14:textFill>
            <w14:solidFill>
              <w14:schemeClr w14:val="tx1"/>
            </w14:solidFill>
          </w14:textFill>
        </w:rPr>
        <w:t>年，</w:t>
      </w:r>
      <w:r>
        <w:rPr>
          <w:rFonts w:hint="eastAsia" w:ascii="宋体" w:hAnsi="宋体" w:eastAsia="仿宋" w:cs="Times New Roman"/>
          <w:color w:val="000000" w:themeColor="text1"/>
          <w:sz w:val="32"/>
          <w:szCs w:val="24"/>
          <w14:textFill>
            <w14:solidFill>
              <w14:schemeClr w14:val="tx1"/>
            </w14:solidFill>
          </w14:textFill>
        </w:rPr>
        <w:t>我部门</w:t>
      </w:r>
      <w:r>
        <w:rPr>
          <w:rFonts w:ascii="宋体" w:hAnsi="宋体" w:eastAsia="仿宋" w:cs="Times New Roman"/>
          <w:color w:val="000000" w:themeColor="text1"/>
          <w:sz w:val="32"/>
          <w:szCs w:val="24"/>
          <w14:textFill>
            <w14:solidFill>
              <w14:schemeClr w14:val="tx1"/>
            </w14:solidFill>
          </w14:textFill>
        </w:rPr>
        <w:t>安排政府采购预算</w:t>
      </w:r>
      <w:r>
        <w:rPr>
          <w:rFonts w:hint="eastAsia" w:ascii="宋体" w:hAnsi="宋体" w:eastAsia="仿宋" w:cs="Times New Roman"/>
          <w:color w:val="000000" w:themeColor="text1"/>
          <w:sz w:val="32"/>
          <w:szCs w:val="24"/>
          <w:lang w:val="en-US" w:eastAsia="zh-CN"/>
          <w14:textFill>
            <w14:solidFill>
              <w14:schemeClr w14:val="tx1"/>
            </w14:solidFill>
          </w14:textFill>
        </w:rPr>
        <w:t>80</w:t>
      </w:r>
      <w:r>
        <w:rPr>
          <w:rFonts w:ascii="宋体" w:hAnsi="宋体" w:eastAsia="仿宋" w:cs="Times New Roman"/>
          <w:color w:val="000000" w:themeColor="text1"/>
          <w:sz w:val="32"/>
          <w:szCs w:val="24"/>
          <w14:textFill>
            <w14:solidFill>
              <w14:schemeClr w14:val="tx1"/>
            </w14:solidFill>
          </w14:textFill>
        </w:rPr>
        <w:t>万元。具体内容见下表。</w:t>
      </w:r>
      <w:bookmarkEnd w:id="1"/>
    </w:p>
    <w:p>
      <w:pPr>
        <w:keepNext w:val="0"/>
        <w:keepLines w:val="0"/>
        <w:pageBreakBefore w:val="0"/>
        <w:kinsoku/>
        <w:wordWrap/>
        <w:overflowPunct/>
        <w:topLinePunct w:val="0"/>
        <w:bidi w:val="0"/>
        <w:spacing w:line="576" w:lineRule="exact"/>
        <w:jc w:val="center"/>
        <w:outlineLvl w:val="0"/>
        <w:rPr>
          <w:rFonts w:ascii="宋体" w:hAnsi="宋体"/>
          <w:color w:val="000000" w:themeColor="text1"/>
          <w:sz w:val="32"/>
          <w14:textFill>
            <w14:solidFill>
              <w14:schemeClr w14:val="tx1"/>
            </w14:solidFill>
          </w14:textFill>
        </w:rPr>
      </w:pPr>
      <w:r>
        <w:rPr>
          <w:rFonts w:hint="eastAsia" w:ascii="宋体" w:hAnsi="宋体" w:eastAsia="方正小标宋_GBK"/>
          <w:color w:val="000000" w:themeColor="text1"/>
          <w:sz w:val="32"/>
          <w14:textFill>
            <w14:solidFill>
              <w14:schemeClr w14:val="tx1"/>
            </w14:solidFill>
          </w14:textFill>
        </w:rPr>
        <w:t>部门政府采购预算</w:t>
      </w:r>
      <w:r>
        <w:rPr>
          <w:rFonts w:ascii="宋体" w:hAnsi="宋体"/>
          <w:color w:val="000000" w:themeColor="text1"/>
          <w14:textFill>
            <w14:solidFill>
              <w14:schemeClr w14:val="tx1"/>
            </w14:solidFill>
          </w14:textFill>
        </w:rPr>
        <w:fldChar w:fldCharType="begin"/>
      </w:r>
      <w:r>
        <w:rPr>
          <w:rFonts w:ascii="宋体" w:hAnsi="宋体" w:eastAsia="方正小标宋_GBK"/>
          <w:color w:val="000000" w:themeColor="text1"/>
          <w:sz w:val="32"/>
          <w14:textFill>
            <w14:solidFill>
              <w14:schemeClr w14:val="tx1"/>
            </w14:solidFill>
          </w14:textFill>
        </w:rPr>
        <w:instrText xml:space="preserve"> </w:instrText>
      </w:r>
      <w:r>
        <w:rPr>
          <w:rFonts w:hint="eastAsia" w:ascii="宋体" w:hAnsi="宋体" w:eastAsia="方正小标宋_GBK"/>
          <w:color w:val="000000" w:themeColor="text1"/>
          <w:sz w:val="32"/>
          <w14:textFill>
            <w14:solidFill>
              <w14:schemeClr w14:val="tx1"/>
            </w14:solidFill>
          </w14:textFill>
        </w:rPr>
        <w:instrText xml:space="preserve">TC </w:instrText>
      </w:r>
      <w:bookmarkStart w:id="2" w:name="_Toc28848395"/>
      <w:r>
        <w:rPr>
          <w:rFonts w:hint="eastAsia" w:ascii="宋体" w:hAnsi="宋体" w:eastAsia="方正小标宋_GBK"/>
          <w:color w:val="000000" w:themeColor="text1"/>
          <w:sz w:val="32"/>
          <w14:textFill>
            <w14:solidFill>
              <w14:schemeClr w14:val="tx1"/>
            </w14:solidFill>
          </w14:textFill>
        </w:rPr>
        <w:instrText xml:space="preserve">部门政府采购预算</w:instrText>
      </w:r>
      <w:bookmarkEnd w:id="2"/>
      <w:r>
        <w:rPr>
          <w:rFonts w:hint="eastAsia" w:ascii="宋体" w:hAnsi="宋体" w:eastAsia="方正小标宋_GBK"/>
          <w:color w:val="000000" w:themeColor="text1"/>
          <w:sz w:val="32"/>
          <w14:textFill>
            <w14:solidFill>
              <w14:schemeClr w14:val="tx1"/>
            </w14:solidFill>
          </w14:textFill>
        </w:rPr>
        <w:instrText xml:space="preserve"> \f A \l 1</w:instrText>
      </w:r>
      <w:r>
        <w:rPr>
          <w:rFonts w:ascii="宋体" w:hAnsi="宋体" w:eastAsia="方正小标宋_GBK"/>
          <w:color w:val="000000" w:themeColor="text1"/>
          <w:sz w:val="32"/>
          <w14:textFill>
            <w14:solidFill>
              <w14:schemeClr w14:val="tx1"/>
            </w14:solidFill>
          </w14:textFill>
        </w:rPr>
        <w:instrText xml:space="preserve"> </w:instrText>
      </w:r>
      <w:r>
        <w:rPr>
          <w:rFonts w:ascii="宋体" w:hAnsi="宋体" w:eastAsia="方正小标宋_GBK"/>
          <w:color w:val="000000" w:themeColor="text1"/>
          <w:sz w:val="32"/>
          <w14:textFill>
            <w14:solidFill>
              <w14:schemeClr w14:val="tx1"/>
            </w14:solidFill>
          </w14:textFill>
        </w:rPr>
        <w:fldChar w:fldCharType="end"/>
      </w:r>
    </w:p>
    <w:tbl>
      <w:tblPr>
        <w:tblStyle w:val="7"/>
        <w:tblW w:w="153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32"/>
        <w:gridCol w:w="937"/>
        <w:gridCol w:w="1533"/>
        <w:gridCol w:w="1393"/>
        <w:gridCol w:w="697"/>
        <w:gridCol w:w="837"/>
        <w:gridCol w:w="975"/>
        <w:gridCol w:w="975"/>
        <w:gridCol w:w="976"/>
        <w:gridCol w:w="976"/>
        <w:gridCol w:w="1115"/>
        <w:gridCol w:w="835"/>
        <w:gridCol w:w="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9" w:hRule="atLeast"/>
          <w:tblHeader/>
          <w:jc w:val="center"/>
        </w:trPr>
        <w:tc>
          <w:tcPr>
            <w:tcW w:w="9604" w:type="dxa"/>
            <w:gridSpan w:val="7"/>
            <w:tcBorders>
              <w:top w:val="single" w:color="FFFFFF" w:sz="6" w:space="0"/>
              <w:left w:val="single" w:color="FFFFFF" w:sz="6" w:space="0"/>
              <w:right w:val="single" w:color="FFFFFF" w:sz="6" w:space="0"/>
            </w:tcBorders>
            <w:vAlign w:val="center"/>
          </w:tcPr>
          <w:p>
            <w:pPr>
              <w:keepNext w:val="0"/>
              <w:keepLines w:val="0"/>
              <w:pageBreakBefore w:val="0"/>
              <w:kinsoku/>
              <w:wordWrap/>
              <w:overflowPunct/>
              <w:topLinePunct w:val="0"/>
              <w:bidi w:val="0"/>
              <w:spacing w:line="576" w:lineRule="exact"/>
              <w:ind w:left="0"/>
              <w:jc w:val="left"/>
              <w:rPr>
                <w:rFonts w:hint="default" w:ascii="宋体" w:hAnsi="宋体" w:eastAsia="方正小标宋_GBK"/>
                <w:color w:val="000000" w:themeColor="text1"/>
                <w:sz w:val="24"/>
                <w:lang w:val="en-US" w:eastAsia="zh-CN"/>
                <w14:textFill>
                  <w14:solidFill>
                    <w14:schemeClr w14:val="tx1"/>
                  </w14:solidFill>
                </w14:textFill>
              </w:rPr>
            </w:pPr>
            <w:r>
              <w:rPr>
                <w:rFonts w:hint="eastAsia" w:ascii="宋体" w:hAnsi="宋体" w:eastAsia="方正小标宋_GBK"/>
                <w:color w:val="000000" w:themeColor="text1"/>
                <w:sz w:val="24"/>
                <w:lang w:val="en-US" w:eastAsia="zh-CN"/>
                <w14:textFill>
                  <w14:solidFill>
                    <w14:schemeClr w14:val="tx1"/>
                  </w14:solidFill>
                </w14:textFill>
              </w:rPr>
              <w:t>426石家庄市鹿泉区应急管理局</w:t>
            </w:r>
          </w:p>
        </w:tc>
        <w:tc>
          <w:tcPr>
            <w:tcW w:w="5756" w:type="dxa"/>
            <w:gridSpan w:val="6"/>
            <w:tcBorders>
              <w:top w:val="single" w:color="FFFFFF" w:sz="6" w:space="0"/>
              <w:left w:val="single" w:color="FFFFFF" w:sz="6" w:space="0"/>
              <w:right w:val="single" w:color="FFFFFF" w:sz="6" w:space="0"/>
            </w:tcBorders>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sz w:val="24"/>
                <w14:textFill>
                  <w14:solidFill>
                    <w14:schemeClr w14:val="tx1"/>
                  </w14:solidFill>
                </w14:textFill>
              </w:rPr>
            </w:pPr>
            <w:r>
              <w:rPr>
                <w:rFonts w:hint="eastAsia" w:ascii="宋体" w:hAnsi="宋体" w:eastAsia="方正书宋_GBK"/>
                <w:color w:val="000000" w:themeColor="text1"/>
                <w:sz w:val="24"/>
                <w14:textFill>
                  <w14:solidFill>
                    <w14:schemeClr w14:val="tx1"/>
                  </w14:solidFill>
                </w14:textFill>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9" w:hRule="atLeast"/>
          <w:tblHeader/>
          <w:jc w:val="center"/>
        </w:trPr>
        <w:tc>
          <w:tcPr>
            <w:tcW w:w="4169" w:type="dxa"/>
            <w:gridSpan w:val="2"/>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政府采购项目来源</w:t>
            </w:r>
          </w:p>
        </w:tc>
        <w:tc>
          <w:tcPr>
            <w:tcW w:w="1533" w:type="dxa"/>
            <w:vMerge w:val="restart"/>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采购物品名称</w:t>
            </w:r>
          </w:p>
        </w:tc>
        <w:tc>
          <w:tcPr>
            <w:tcW w:w="1393" w:type="dxa"/>
            <w:vMerge w:val="restart"/>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政府采购目录序号</w:t>
            </w:r>
          </w:p>
        </w:tc>
        <w:tc>
          <w:tcPr>
            <w:tcW w:w="697" w:type="dxa"/>
            <w:vMerge w:val="restart"/>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计量  单位</w:t>
            </w:r>
          </w:p>
        </w:tc>
        <w:tc>
          <w:tcPr>
            <w:tcW w:w="837" w:type="dxa"/>
            <w:vMerge w:val="restart"/>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数量</w:t>
            </w:r>
          </w:p>
        </w:tc>
        <w:tc>
          <w:tcPr>
            <w:tcW w:w="975" w:type="dxa"/>
            <w:vMerge w:val="restart"/>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单价</w:t>
            </w:r>
          </w:p>
        </w:tc>
        <w:tc>
          <w:tcPr>
            <w:tcW w:w="5756" w:type="dxa"/>
            <w:gridSpan w:val="6"/>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96" w:hRule="atLeast"/>
          <w:tblHeader/>
          <w:jc w:val="center"/>
        </w:trPr>
        <w:tc>
          <w:tcPr>
            <w:tcW w:w="3232"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项目名称</w:t>
            </w:r>
          </w:p>
        </w:tc>
        <w:tc>
          <w:tcPr>
            <w:tcW w:w="937"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预算资金</w:t>
            </w:r>
          </w:p>
        </w:tc>
        <w:tc>
          <w:tcPr>
            <w:tcW w:w="1533" w:type="dxa"/>
            <w:vMerge w:val="continue"/>
            <w:vAlign w:val="center"/>
          </w:tcPr>
          <w:p>
            <w:pPr>
              <w:keepNext w:val="0"/>
              <w:keepLines w:val="0"/>
              <w:pageBreakBefore w:val="0"/>
              <w:kinsoku/>
              <w:wordWrap/>
              <w:overflowPunct/>
              <w:topLinePunct w:val="0"/>
              <w:bidi w:val="0"/>
              <w:spacing w:line="576" w:lineRule="exact"/>
              <w:ind w:left="0"/>
              <w:jc w:val="left"/>
              <w:outlineLvl w:val="0"/>
              <w:rPr>
                <w:rFonts w:ascii="宋体" w:hAnsi="宋体" w:eastAsia="方正仿宋_GBK"/>
                <w:color w:val="000000" w:themeColor="text1"/>
                <w:sz w:val="28"/>
                <w14:textFill>
                  <w14:solidFill>
                    <w14:schemeClr w14:val="tx1"/>
                  </w14:solidFill>
                </w14:textFill>
              </w:rPr>
            </w:pPr>
          </w:p>
        </w:tc>
        <w:tc>
          <w:tcPr>
            <w:tcW w:w="1393" w:type="dxa"/>
            <w:vMerge w:val="continue"/>
            <w:vAlign w:val="center"/>
          </w:tcPr>
          <w:p>
            <w:pPr>
              <w:keepNext w:val="0"/>
              <w:keepLines w:val="0"/>
              <w:pageBreakBefore w:val="0"/>
              <w:kinsoku/>
              <w:wordWrap/>
              <w:overflowPunct/>
              <w:topLinePunct w:val="0"/>
              <w:bidi w:val="0"/>
              <w:spacing w:line="576" w:lineRule="exact"/>
              <w:ind w:left="0"/>
              <w:jc w:val="left"/>
              <w:outlineLvl w:val="0"/>
              <w:rPr>
                <w:rFonts w:ascii="宋体" w:hAnsi="宋体" w:eastAsia="方正仿宋_GBK"/>
                <w:color w:val="000000" w:themeColor="text1"/>
                <w:sz w:val="28"/>
                <w14:textFill>
                  <w14:solidFill>
                    <w14:schemeClr w14:val="tx1"/>
                  </w14:solidFill>
                </w14:textFill>
              </w:rPr>
            </w:pPr>
          </w:p>
        </w:tc>
        <w:tc>
          <w:tcPr>
            <w:tcW w:w="697" w:type="dxa"/>
            <w:vMerge w:val="continue"/>
            <w:vAlign w:val="center"/>
          </w:tcPr>
          <w:p>
            <w:pPr>
              <w:keepNext w:val="0"/>
              <w:keepLines w:val="0"/>
              <w:pageBreakBefore w:val="0"/>
              <w:kinsoku/>
              <w:wordWrap/>
              <w:overflowPunct/>
              <w:topLinePunct w:val="0"/>
              <w:bidi w:val="0"/>
              <w:spacing w:line="576" w:lineRule="exact"/>
              <w:ind w:left="0"/>
              <w:jc w:val="left"/>
              <w:outlineLvl w:val="0"/>
              <w:rPr>
                <w:rFonts w:ascii="宋体" w:hAnsi="宋体" w:eastAsia="方正仿宋_GBK"/>
                <w:color w:val="000000" w:themeColor="text1"/>
                <w:sz w:val="28"/>
                <w14:textFill>
                  <w14:solidFill>
                    <w14:schemeClr w14:val="tx1"/>
                  </w14:solidFill>
                </w14:textFill>
              </w:rPr>
            </w:pPr>
          </w:p>
        </w:tc>
        <w:tc>
          <w:tcPr>
            <w:tcW w:w="837" w:type="dxa"/>
            <w:vMerge w:val="continue"/>
            <w:vAlign w:val="center"/>
          </w:tcPr>
          <w:p>
            <w:pPr>
              <w:keepNext w:val="0"/>
              <w:keepLines w:val="0"/>
              <w:pageBreakBefore w:val="0"/>
              <w:kinsoku/>
              <w:wordWrap/>
              <w:overflowPunct/>
              <w:topLinePunct w:val="0"/>
              <w:bidi w:val="0"/>
              <w:spacing w:line="576" w:lineRule="exact"/>
              <w:ind w:left="0"/>
              <w:jc w:val="left"/>
              <w:outlineLvl w:val="0"/>
              <w:rPr>
                <w:rFonts w:ascii="宋体" w:hAnsi="宋体" w:eastAsia="方正仿宋_GBK"/>
                <w:color w:val="000000" w:themeColor="text1"/>
                <w:sz w:val="28"/>
                <w14:textFill>
                  <w14:solidFill>
                    <w14:schemeClr w14:val="tx1"/>
                  </w14:solidFill>
                </w14:textFill>
              </w:rPr>
            </w:pPr>
          </w:p>
        </w:tc>
        <w:tc>
          <w:tcPr>
            <w:tcW w:w="975" w:type="dxa"/>
            <w:vMerge w:val="continue"/>
            <w:vAlign w:val="center"/>
          </w:tcPr>
          <w:p>
            <w:pPr>
              <w:keepNext w:val="0"/>
              <w:keepLines w:val="0"/>
              <w:pageBreakBefore w:val="0"/>
              <w:kinsoku/>
              <w:wordWrap/>
              <w:overflowPunct/>
              <w:topLinePunct w:val="0"/>
              <w:bidi w:val="0"/>
              <w:spacing w:line="576" w:lineRule="exact"/>
              <w:ind w:left="0"/>
              <w:jc w:val="left"/>
              <w:outlineLvl w:val="0"/>
              <w:rPr>
                <w:rFonts w:ascii="宋体" w:hAnsi="宋体" w:eastAsia="方正仿宋_GBK"/>
                <w:color w:val="000000" w:themeColor="text1"/>
                <w:sz w:val="28"/>
                <w14:textFill>
                  <w14:solidFill>
                    <w14:schemeClr w14:val="tx1"/>
                  </w14:solidFill>
                </w14:textFill>
              </w:rPr>
            </w:pPr>
          </w:p>
        </w:tc>
        <w:tc>
          <w:tcPr>
            <w:tcW w:w="975"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合计</w:t>
            </w:r>
          </w:p>
        </w:tc>
        <w:tc>
          <w:tcPr>
            <w:tcW w:w="976"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一般公共预算拨款</w:t>
            </w:r>
          </w:p>
        </w:tc>
        <w:tc>
          <w:tcPr>
            <w:tcW w:w="976"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基金预算拨款</w:t>
            </w:r>
          </w:p>
        </w:tc>
        <w:tc>
          <w:tcPr>
            <w:tcW w:w="1115"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国有资本经营预算拨款</w:t>
            </w:r>
          </w:p>
        </w:tc>
        <w:tc>
          <w:tcPr>
            <w:tcW w:w="835"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财政专户核拨</w:t>
            </w:r>
          </w:p>
        </w:tc>
        <w:tc>
          <w:tcPr>
            <w:tcW w:w="879"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9" w:hRule="atLeast"/>
          <w:jc w:val="center"/>
        </w:trPr>
        <w:tc>
          <w:tcPr>
            <w:tcW w:w="3232" w:type="dxa"/>
            <w:vAlign w:val="center"/>
          </w:tcPr>
          <w:p>
            <w:pPr>
              <w:keepNext w:val="0"/>
              <w:keepLines w:val="0"/>
              <w:pageBreakBefore w:val="0"/>
              <w:kinsoku/>
              <w:wordWrap/>
              <w:overflowPunct/>
              <w:topLinePunct w:val="0"/>
              <w:bidi w:val="0"/>
              <w:spacing w:line="576" w:lineRule="exact"/>
              <w:ind w:left="0"/>
              <w:jc w:val="center"/>
              <w:rPr>
                <w:rFonts w:ascii="宋体" w:hAnsi="宋体" w:eastAsia="方正书宋_GBK"/>
                <w:b/>
                <w:color w:val="000000" w:themeColor="text1"/>
                <w14:textFill>
                  <w14:solidFill>
                    <w14:schemeClr w14:val="tx1"/>
                  </w14:solidFill>
                </w14:textFill>
              </w:rPr>
            </w:pPr>
            <w:r>
              <w:rPr>
                <w:rFonts w:hint="eastAsia" w:ascii="宋体" w:hAnsi="宋体" w:eastAsia="方正书宋_GBK"/>
                <w:b/>
                <w:color w:val="000000" w:themeColor="text1"/>
                <w14:textFill>
                  <w14:solidFill>
                    <w14:schemeClr w14:val="tx1"/>
                  </w14:solidFill>
                </w14:textFill>
              </w:rPr>
              <w:t>合　计</w:t>
            </w:r>
          </w:p>
        </w:tc>
        <w:tc>
          <w:tcPr>
            <w:tcW w:w="937"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1533"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1393"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697"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837"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97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975" w:type="dxa"/>
            <w:vAlign w:val="center"/>
          </w:tcPr>
          <w:p>
            <w:pPr>
              <w:keepNext w:val="0"/>
              <w:keepLines w:val="0"/>
              <w:pageBreakBefore w:val="0"/>
              <w:kinsoku/>
              <w:wordWrap/>
              <w:overflowPunct/>
              <w:topLinePunct w:val="0"/>
              <w:bidi w:val="0"/>
              <w:adjustRightInd w:val="0"/>
              <w:snapToGrid w:val="0"/>
              <w:spacing w:line="576" w:lineRule="exact"/>
              <w:ind w:left="0"/>
              <w:jc w:val="right"/>
              <w:rPr>
                <w:rFonts w:ascii="宋体" w:hAnsi="宋体" w:eastAsia="方正书宋_GBK" w:cs="宋体"/>
                <w:b/>
                <w:bCs/>
                <w:color w:val="000000" w:themeColor="text1"/>
                <w:szCs w:val="21"/>
                <w14:textFill>
                  <w14:solidFill>
                    <w14:schemeClr w14:val="tx1"/>
                  </w14:solidFill>
                </w14:textFill>
              </w:rPr>
            </w:pPr>
          </w:p>
        </w:tc>
        <w:tc>
          <w:tcPr>
            <w:tcW w:w="976" w:type="dxa"/>
            <w:vAlign w:val="center"/>
          </w:tcPr>
          <w:p>
            <w:pPr>
              <w:keepNext w:val="0"/>
              <w:keepLines w:val="0"/>
              <w:pageBreakBefore w:val="0"/>
              <w:kinsoku/>
              <w:wordWrap/>
              <w:overflowPunct/>
              <w:topLinePunct w:val="0"/>
              <w:bidi w:val="0"/>
              <w:adjustRightInd w:val="0"/>
              <w:snapToGrid w:val="0"/>
              <w:spacing w:line="576" w:lineRule="exact"/>
              <w:ind w:left="0"/>
              <w:jc w:val="right"/>
              <w:rPr>
                <w:rFonts w:ascii="宋体" w:hAnsi="宋体" w:eastAsia="方正书宋_GBK" w:cs="宋体"/>
                <w:b/>
                <w:bCs/>
                <w:color w:val="000000" w:themeColor="text1"/>
                <w:szCs w:val="21"/>
                <w14:textFill>
                  <w14:solidFill>
                    <w14:schemeClr w14:val="tx1"/>
                  </w14:solidFill>
                </w14:textFill>
              </w:rPr>
            </w:pPr>
          </w:p>
        </w:tc>
        <w:tc>
          <w:tcPr>
            <w:tcW w:w="976"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111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83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879"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9" w:hRule="atLeast"/>
          <w:jc w:val="center"/>
        </w:trPr>
        <w:tc>
          <w:tcPr>
            <w:tcW w:w="3232" w:type="dxa"/>
            <w:vAlign w:val="center"/>
          </w:tcPr>
          <w:p>
            <w:pPr>
              <w:keepNext w:val="0"/>
              <w:keepLines w:val="0"/>
              <w:pageBreakBefore w:val="0"/>
              <w:kinsoku/>
              <w:wordWrap/>
              <w:overflowPunct/>
              <w:topLinePunct w:val="0"/>
              <w:bidi w:val="0"/>
              <w:spacing w:line="576" w:lineRule="exact"/>
              <w:ind w:left="0"/>
              <w:jc w:val="center"/>
              <w:rPr>
                <w:rFonts w:hint="eastAsia" w:ascii="宋体" w:hAnsi="宋体" w:eastAsia="方正书宋_GBK"/>
                <w:b/>
                <w:color w:val="000000" w:themeColor="text1"/>
                <w:lang w:eastAsia="zh-CN"/>
                <w14:textFill>
                  <w14:solidFill>
                    <w14:schemeClr w14:val="tx1"/>
                  </w14:solidFill>
                </w14:textFill>
              </w:rPr>
            </w:pPr>
            <w:r>
              <w:rPr>
                <w:rFonts w:hint="eastAsia" w:ascii="宋体" w:hAnsi="宋体" w:eastAsia="方正书宋_GBK"/>
                <w:b/>
                <w:color w:val="000000" w:themeColor="text1"/>
                <w:lang w:eastAsia="zh-CN"/>
                <w14:textFill>
                  <w14:solidFill>
                    <w14:schemeClr w14:val="tx1"/>
                  </w14:solidFill>
                </w14:textFill>
              </w:rPr>
              <w:t>石家庄市鹿泉区应急管理局小计</w:t>
            </w:r>
          </w:p>
        </w:tc>
        <w:tc>
          <w:tcPr>
            <w:tcW w:w="937"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1533"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1393"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697" w:type="dxa"/>
            <w:vAlign w:val="center"/>
          </w:tcPr>
          <w:p>
            <w:pPr>
              <w:keepNext w:val="0"/>
              <w:keepLines w:val="0"/>
              <w:pageBreakBefore w:val="0"/>
              <w:kinsoku/>
              <w:wordWrap/>
              <w:overflowPunct/>
              <w:topLinePunct w:val="0"/>
              <w:bidi w:val="0"/>
              <w:spacing w:line="576" w:lineRule="exact"/>
              <w:ind w:left="0"/>
              <w:jc w:val="left"/>
              <w:rPr>
                <w:rFonts w:ascii="宋体" w:hAnsi="宋体" w:eastAsia="方正书宋_GBK"/>
                <w:b/>
                <w:color w:val="000000" w:themeColor="text1"/>
                <w14:textFill>
                  <w14:solidFill>
                    <w14:schemeClr w14:val="tx1"/>
                  </w14:solidFill>
                </w14:textFill>
              </w:rPr>
            </w:pPr>
          </w:p>
        </w:tc>
        <w:tc>
          <w:tcPr>
            <w:tcW w:w="837"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97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975" w:type="dxa"/>
            <w:vAlign w:val="center"/>
          </w:tcPr>
          <w:p>
            <w:pPr>
              <w:keepNext w:val="0"/>
              <w:keepLines w:val="0"/>
              <w:pageBreakBefore w:val="0"/>
              <w:kinsoku/>
              <w:wordWrap/>
              <w:overflowPunct/>
              <w:topLinePunct w:val="0"/>
              <w:bidi w:val="0"/>
              <w:adjustRightInd w:val="0"/>
              <w:snapToGrid w:val="0"/>
              <w:spacing w:line="576" w:lineRule="exact"/>
              <w:ind w:left="0"/>
              <w:jc w:val="right"/>
              <w:rPr>
                <w:rFonts w:hint="default" w:ascii="宋体" w:hAnsi="宋体" w:eastAsia="方正书宋_GBK" w:cs="宋体"/>
                <w:b/>
                <w:bCs/>
                <w:color w:val="000000" w:themeColor="text1"/>
                <w:szCs w:val="21"/>
                <w:lang w:val="en-US" w:eastAsia="zh-CN"/>
                <w14:textFill>
                  <w14:solidFill>
                    <w14:schemeClr w14:val="tx1"/>
                  </w14:solidFill>
                </w14:textFill>
              </w:rPr>
            </w:pPr>
            <w:r>
              <w:rPr>
                <w:rFonts w:hint="eastAsia" w:ascii="宋体" w:hAnsi="宋体" w:eastAsia="方正书宋_GBK" w:cs="宋体"/>
                <w:b/>
                <w:bCs/>
                <w:color w:val="000000" w:themeColor="text1"/>
                <w:szCs w:val="21"/>
                <w:lang w:val="en-US" w:eastAsia="zh-CN"/>
                <w14:textFill>
                  <w14:solidFill>
                    <w14:schemeClr w14:val="tx1"/>
                  </w14:solidFill>
                </w14:textFill>
              </w:rPr>
              <w:t>80.00</w:t>
            </w:r>
          </w:p>
        </w:tc>
        <w:tc>
          <w:tcPr>
            <w:tcW w:w="976" w:type="dxa"/>
            <w:vAlign w:val="center"/>
          </w:tcPr>
          <w:p>
            <w:pPr>
              <w:keepNext w:val="0"/>
              <w:keepLines w:val="0"/>
              <w:pageBreakBefore w:val="0"/>
              <w:kinsoku/>
              <w:wordWrap/>
              <w:overflowPunct/>
              <w:topLinePunct w:val="0"/>
              <w:bidi w:val="0"/>
              <w:adjustRightInd w:val="0"/>
              <w:snapToGrid w:val="0"/>
              <w:spacing w:line="576" w:lineRule="exact"/>
              <w:ind w:left="0"/>
              <w:jc w:val="right"/>
              <w:rPr>
                <w:rFonts w:hint="default" w:ascii="宋体" w:hAnsi="宋体" w:eastAsia="方正书宋_GBK" w:cs="宋体"/>
                <w:b/>
                <w:bCs/>
                <w:color w:val="000000" w:themeColor="text1"/>
                <w:szCs w:val="21"/>
                <w:lang w:val="en-US" w:eastAsia="zh-CN"/>
                <w14:textFill>
                  <w14:solidFill>
                    <w14:schemeClr w14:val="tx1"/>
                  </w14:solidFill>
                </w14:textFill>
              </w:rPr>
            </w:pPr>
            <w:r>
              <w:rPr>
                <w:rFonts w:hint="eastAsia" w:ascii="宋体" w:hAnsi="宋体" w:eastAsia="方正书宋_GBK" w:cs="宋体"/>
                <w:b/>
                <w:bCs/>
                <w:color w:val="000000" w:themeColor="text1"/>
                <w:szCs w:val="21"/>
                <w:lang w:val="en-US" w:eastAsia="zh-CN"/>
                <w14:textFill>
                  <w14:solidFill>
                    <w14:schemeClr w14:val="tx1"/>
                  </w14:solidFill>
                </w14:textFill>
              </w:rPr>
              <w:t>80.00</w:t>
            </w:r>
          </w:p>
        </w:tc>
        <w:tc>
          <w:tcPr>
            <w:tcW w:w="976"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111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83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c>
          <w:tcPr>
            <w:tcW w:w="879"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b/>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3" w:hRule="atLeast"/>
          <w:jc w:val="center"/>
        </w:trPr>
        <w:tc>
          <w:tcPr>
            <w:tcW w:w="3232"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农村住房灾害保险</w:t>
            </w:r>
          </w:p>
        </w:tc>
        <w:tc>
          <w:tcPr>
            <w:tcW w:w="937"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50</w:t>
            </w:r>
          </w:p>
        </w:tc>
        <w:tc>
          <w:tcPr>
            <w:tcW w:w="1533"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其他财产保险服务</w:t>
            </w:r>
          </w:p>
        </w:tc>
        <w:tc>
          <w:tcPr>
            <w:tcW w:w="1393" w:type="dxa"/>
            <w:vAlign w:val="center"/>
          </w:tcPr>
          <w:p>
            <w:pPr>
              <w:keepNext w:val="0"/>
              <w:keepLines w:val="0"/>
              <w:pageBreakBefore w:val="0"/>
              <w:kinsoku/>
              <w:wordWrap/>
              <w:overflowPunct/>
              <w:topLinePunct w:val="0"/>
              <w:bidi w:val="0"/>
              <w:spacing w:line="576" w:lineRule="exact"/>
              <w:ind w:left="0"/>
              <w:jc w:val="lef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15040299</w:t>
            </w:r>
          </w:p>
        </w:tc>
        <w:tc>
          <w:tcPr>
            <w:tcW w:w="697"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万户</w:t>
            </w:r>
          </w:p>
        </w:tc>
        <w:tc>
          <w:tcPr>
            <w:tcW w:w="837"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5.00</w:t>
            </w:r>
          </w:p>
        </w:tc>
        <w:tc>
          <w:tcPr>
            <w:tcW w:w="975"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10.00</w:t>
            </w:r>
          </w:p>
        </w:tc>
        <w:tc>
          <w:tcPr>
            <w:tcW w:w="975"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50.00</w:t>
            </w:r>
          </w:p>
        </w:tc>
        <w:tc>
          <w:tcPr>
            <w:tcW w:w="976"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50.00</w:t>
            </w:r>
          </w:p>
        </w:tc>
        <w:tc>
          <w:tcPr>
            <w:tcW w:w="976"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111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83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879"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3" w:hRule="atLeast"/>
          <w:jc w:val="center"/>
        </w:trPr>
        <w:tc>
          <w:tcPr>
            <w:tcW w:w="3232"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综合防灾专项规划</w:t>
            </w:r>
          </w:p>
        </w:tc>
        <w:tc>
          <w:tcPr>
            <w:tcW w:w="937"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30</w:t>
            </w:r>
          </w:p>
        </w:tc>
        <w:tc>
          <w:tcPr>
            <w:tcW w:w="1533"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其他专业技术服务</w:t>
            </w:r>
          </w:p>
        </w:tc>
        <w:tc>
          <w:tcPr>
            <w:tcW w:w="1393" w:type="dxa"/>
            <w:vAlign w:val="center"/>
          </w:tcPr>
          <w:p>
            <w:pPr>
              <w:keepNext w:val="0"/>
              <w:keepLines w:val="0"/>
              <w:pageBreakBefore w:val="0"/>
              <w:kinsoku/>
              <w:wordWrap/>
              <w:overflowPunct/>
              <w:topLinePunct w:val="0"/>
              <w:bidi w:val="0"/>
              <w:spacing w:line="576" w:lineRule="exact"/>
              <w:ind w:left="0"/>
              <w:jc w:val="lef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0908</w:t>
            </w:r>
          </w:p>
        </w:tc>
        <w:tc>
          <w:tcPr>
            <w:tcW w:w="697" w:type="dxa"/>
            <w:vAlign w:val="center"/>
          </w:tcPr>
          <w:p>
            <w:pPr>
              <w:keepNext w:val="0"/>
              <w:keepLines w:val="0"/>
              <w:pageBreakBefore w:val="0"/>
              <w:kinsoku/>
              <w:wordWrap/>
              <w:overflowPunct/>
              <w:topLinePunct w:val="0"/>
              <w:bidi w:val="0"/>
              <w:spacing w:line="576" w:lineRule="exact"/>
              <w:ind w:left="0"/>
              <w:jc w:val="left"/>
              <w:rPr>
                <w:rFonts w:hint="eastAsia" w:ascii="宋体" w:hAnsi="宋体" w:eastAsia="方正书宋_GBK"/>
                <w:color w:val="000000" w:themeColor="text1"/>
                <w:lang w:eastAsia="zh-CN"/>
                <w14:textFill>
                  <w14:solidFill>
                    <w14:schemeClr w14:val="tx1"/>
                  </w14:solidFill>
                </w14:textFill>
              </w:rPr>
            </w:pPr>
            <w:r>
              <w:rPr>
                <w:rFonts w:hint="eastAsia" w:ascii="宋体" w:hAnsi="宋体" w:eastAsia="方正书宋_GBK"/>
                <w:color w:val="000000" w:themeColor="text1"/>
                <w:lang w:eastAsia="zh-CN"/>
                <w14:textFill>
                  <w14:solidFill>
                    <w14:schemeClr w14:val="tx1"/>
                  </w14:solidFill>
                </w14:textFill>
              </w:rPr>
              <w:t>项</w:t>
            </w:r>
          </w:p>
        </w:tc>
        <w:tc>
          <w:tcPr>
            <w:tcW w:w="837"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1.00</w:t>
            </w:r>
          </w:p>
        </w:tc>
        <w:tc>
          <w:tcPr>
            <w:tcW w:w="975"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30.00</w:t>
            </w:r>
          </w:p>
        </w:tc>
        <w:tc>
          <w:tcPr>
            <w:tcW w:w="975"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30.00</w:t>
            </w:r>
          </w:p>
        </w:tc>
        <w:tc>
          <w:tcPr>
            <w:tcW w:w="976" w:type="dxa"/>
            <w:vAlign w:val="center"/>
          </w:tcPr>
          <w:p>
            <w:pPr>
              <w:keepNext w:val="0"/>
              <w:keepLines w:val="0"/>
              <w:pageBreakBefore w:val="0"/>
              <w:kinsoku/>
              <w:wordWrap/>
              <w:overflowPunct/>
              <w:topLinePunct w:val="0"/>
              <w:bidi w:val="0"/>
              <w:spacing w:line="576" w:lineRule="exact"/>
              <w:ind w:left="0"/>
              <w:jc w:val="right"/>
              <w:rPr>
                <w:rFonts w:hint="default" w:ascii="宋体" w:hAnsi="宋体" w:eastAsia="方正书宋_GBK"/>
                <w:color w:val="000000" w:themeColor="text1"/>
                <w:lang w:val="en-US" w:eastAsia="zh-CN"/>
                <w14:textFill>
                  <w14:solidFill>
                    <w14:schemeClr w14:val="tx1"/>
                  </w14:solidFill>
                </w14:textFill>
              </w:rPr>
            </w:pPr>
            <w:r>
              <w:rPr>
                <w:rFonts w:hint="eastAsia" w:ascii="宋体" w:hAnsi="宋体" w:eastAsia="方正书宋_GBK"/>
                <w:color w:val="000000" w:themeColor="text1"/>
                <w:lang w:val="en-US" w:eastAsia="zh-CN"/>
                <w14:textFill>
                  <w14:solidFill>
                    <w14:schemeClr w14:val="tx1"/>
                  </w14:solidFill>
                </w14:textFill>
              </w:rPr>
              <w:t>30.00</w:t>
            </w:r>
          </w:p>
        </w:tc>
        <w:tc>
          <w:tcPr>
            <w:tcW w:w="976"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111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835"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c>
          <w:tcPr>
            <w:tcW w:w="879" w:type="dxa"/>
            <w:vAlign w:val="center"/>
          </w:tcPr>
          <w:p>
            <w:pPr>
              <w:keepNext w:val="0"/>
              <w:keepLines w:val="0"/>
              <w:pageBreakBefore w:val="0"/>
              <w:kinsoku/>
              <w:wordWrap/>
              <w:overflowPunct/>
              <w:topLinePunct w:val="0"/>
              <w:bidi w:val="0"/>
              <w:spacing w:line="576" w:lineRule="exact"/>
              <w:ind w:left="0"/>
              <w:jc w:val="right"/>
              <w:rPr>
                <w:rFonts w:ascii="宋体" w:hAnsi="宋体" w:eastAsia="方正书宋_GBK"/>
                <w:color w:val="000000" w:themeColor="text1"/>
                <w14:textFill>
                  <w14:solidFill>
                    <w14:schemeClr w14:val="tx1"/>
                  </w14:solidFill>
                </w14:textFill>
              </w:rPr>
            </w:pPr>
          </w:p>
        </w:tc>
      </w:tr>
    </w:tbl>
    <w:p>
      <w:pPr>
        <w:keepNext w:val="0"/>
        <w:keepLines w:val="0"/>
        <w:pageBreakBefore w:val="0"/>
        <w:widowControl w:val="0"/>
        <w:kinsoku/>
        <w:wordWrap/>
        <w:overflowPunct/>
        <w:topLinePunct w:val="0"/>
        <w:autoSpaceDE w:val="0"/>
        <w:autoSpaceDN w:val="0"/>
        <w:bidi w:val="0"/>
        <w:adjustRightInd w:val="0"/>
        <w:snapToGrid/>
        <w:spacing w:before="161" w:beforeLines="50" w:line="578" w:lineRule="exact"/>
        <w:ind w:left="0" w:firstLine="640" w:firstLineChars="200"/>
        <w:jc w:val="left"/>
        <w:textAlignment w:val="auto"/>
        <w:rPr>
          <w:rFonts w:hint="eastAsia" w:ascii="宋体" w:hAnsi="宋体" w:eastAsia="黑体" w:cs="Times New Roman"/>
          <w:color w:val="000000" w:themeColor="text1"/>
          <w:sz w:val="32"/>
          <w:szCs w:val="32"/>
          <w14:textFill>
            <w14:solidFill>
              <w14:schemeClr w14:val="tx1"/>
            </w14:solidFill>
          </w14:textFill>
        </w:rPr>
        <w:sectPr>
          <w:pgSz w:w="16838" w:h="11906" w:orient="landscape"/>
          <w:pgMar w:top="1531" w:right="1928" w:bottom="1417" w:left="1644" w:header="851" w:footer="992" w:gutter="0"/>
          <w:pgBorders>
            <w:top w:val="none" w:sz="0" w:space="0"/>
            <w:left w:val="none" w:sz="0" w:space="0"/>
            <w:bottom w:val="none" w:sz="0" w:space="0"/>
            <w:right w:val="none" w:sz="0" w:space="0"/>
          </w:pgBorders>
          <w:pgNumType w:fmt="numberInDash"/>
          <w:cols w:space="0" w:num="1"/>
          <w:rtlGutter w:val="0"/>
          <w:docGrid w:type="lines" w:linePitch="319" w:charSpace="0"/>
        </w:sectPr>
      </w:pPr>
    </w:p>
    <w:p>
      <w:pPr>
        <w:keepNext w:val="0"/>
        <w:keepLines w:val="0"/>
        <w:pageBreakBefore w:val="0"/>
        <w:widowControl w:val="0"/>
        <w:kinsoku/>
        <w:wordWrap/>
        <w:overflowPunct/>
        <w:topLinePunct w:val="0"/>
        <w:autoSpaceDE w:val="0"/>
        <w:autoSpaceDN w:val="0"/>
        <w:bidi w:val="0"/>
        <w:adjustRightInd w:val="0"/>
        <w:snapToGrid/>
        <w:spacing w:line="578" w:lineRule="exact"/>
        <w:ind w:left="0" w:firstLine="640" w:firstLineChars="200"/>
        <w:jc w:val="left"/>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七、国有资产信息</w:t>
      </w:r>
    </w:p>
    <w:p>
      <w:pPr>
        <w:keepNext w:val="0"/>
        <w:keepLines w:val="0"/>
        <w:pageBreakBefore w:val="0"/>
        <w:widowControl w:val="0"/>
        <w:kinsoku/>
        <w:wordWrap/>
        <w:overflowPunct/>
        <w:topLinePunct w:val="0"/>
        <w:autoSpaceDE/>
        <w:autoSpaceDN/>
        <w:bidi w:val="0"/>
        <w:adjustRightInd/>
        <w:snapToGrid/>
        <w:spacing w:line="578" w:lineRule="exact"/>
        <w:ind w:left="0" w:firstLine="641"/>
        <w:textAlignment w:val="auto"/>
        <w:rPr>
          <w:rFonts w:ascii="宋体" w:hAnsi="宋体" w:eastAsia="仿宋" w:cs="Times New Roman"/>
          <w:color w:val="000000" w:themeColor="text1"/>
          <w:sz w:val="32"/>
          <w:szCs w:val="32"/>
          <w14:textFill>
            <w14:solidFill>
              <w14:schemeClr w14:val="tx1"/>
            </w14:solidFill>
          </w14:textFill>
        </w:rPr>
      </w:pPr>
      <w:r>
        <w:rPr>
          <w:rFonts w:hint="eastAsia" w:ascii="宋体" w:hAnsi="宋体" w:eastAsia="仿宋" w:cs="Times New Roman"/>
          <w:color w:val="000000" w:themeColor="text1"/>
          <w:sz w:val="32"/>
          <w:szCs w:val="32"/>
          <w14:textFill>
            <w14:solidFill>
              <w14:schemeClr w14:val="tx1"/>
            </w14:solidFill>
          </w14:textFill>
        </w:rPr>
        <w:t>河北省人大常委会办厅201</w:t>
      </w:r>
      <w:r>
        <w:rPr>
          <w:rFonts w:hint="eastAsia" w:ascii="宋体" w:hAnsi="宋体" w:eastAsia="仿宋" w:cs="Times New Roman"/>
          <w:color w:val="000000" w:themeColor="text1"/>
          <w:sz w:val="32"/>
          <w:szCs w:val="32"/>
          <w:lang w:val="en-US" w:eastAsia="zh-CN"/>
          <w14:textFill>
            <w14:solidFill>
              <w14:schemeClr w14:val="tx1"/>
            </w14:solidFill>
          </w14:textFill>
        </w:rPr>
        <w:t>9</w:t>
      </w:r>
      <w:r>
        <w:rPr>
          <w:rFonts w:ascii="宋体" w:hAnsi="宋体" w:eastAsia="仿宋" w:cs="Times New Roman"/>
          <w:color w:val="000000" w:themeColor="text1"/>
          <w:sz w:val="32"/>
          <w:szCs w:val="32"/>
          <w14:textFill>
            <w14:solidFill>
              <w14:schemeClr w14:val="tx1"/>
            </w14:solidFill>
          </w14:textFill>
        </w:rPr>
        <w:t>年末固定资产金额为</w:t>
      </w:r>
      <w:r>
        <w:rPr>
          <w:rFonts w:hint="eastAsia" w:ascii="宋体" w:hAnsi="宋体" w:eastAsia="仿宋" w:cs="Times New Roman"/>
          <w:color w:val="000000" w:themeColor="text1"/>
          <w:sz w:val="32"/>
          <w:szCs w:val="32"/>
          <w14:textFill>
            <w14:solidFill>
              <w14:schemeClr w14:val="tx1"/>
            </w14:solidFill>
          </w14:textFill>
        </w:rPr>
        <w:t>10266.2</w:t>
      </w:r>
      <w:r>
        <w:rPr>
          <w:rFonts w:ascii="宋体" w:hAnsi="宋体" w:eastAsia="仿宋" w:cs="Times New Roman"/>
          <w:color w:val="000000" w:themeColor="text1"/>
          <w:sz w:val="32"/>
          <w:szCs w:val="32"/>
          <w14:textFill>
            <w14:solidFill>
              <w14:schemeClr w14:val="tx1"/>
            </w14:solidFill>
          </w14:textFill>
        </w:rPr>
        <w:t>万元（详见下表），本年度各单位</w:t>
      </w:r>
      <w:r>
        <w:rPr>
          <w:rFonts w:hint="eastAsia" w:ascii="宋体" w:hAnsi="宋体" w:eastAsia="仿宋" w:cs="Times New Roman"/>
          <w:color w:val="000000" w:themeColor="text1"/>
          <w:sz w:val="32"/>
          <w:szCs w:val="32"/>
          <w14:textFill>
            <w14:solidFill>
              <w14:schemeClr w14:val="tx1"/>
            </w14:solidFill>
          </w14:textFill>
        </w:rPr>
        <w:t>（处室）</w:t>
      </w:r>
      <w:r>
        <w:rPr>
          <w:rFonts w:ascii="宋体" w:hAnsi="宋体" w:eastAsia="仿宋" w:cs="Times New Roman"/>
          <w:color w:val="000000" w:themeColor="text1"/>
          <w:sz w:val="32"/>
          <w:szCs w:val="32"/>
          <w14:textFill>
            <w14:solidFill>
              <w14:schemeClr w14:val="tx1"/>
            </w14:solidFill>
          </w14:textFill>
        </w:rPr>
        <w:t>拟购置固定资产</w:t>
      </w:r>
      <w:r>
        <w:rPr>
          <w:rFonts w:hint="eastAsia" w:ascii="宋体" w:hAnsi="宋体" w:eastAsia="仿宋" w:cs="Times New Roman"/>
          <w:color w:val="000000" w:themeColor="text1"/>
          <w:sz w:val="32"/>
          <w:szCs w:val="32"/>
          <w14:textFill>
            <w14:solidFill>
              <w14:schemeClr w14:val="tx1"/>
            </w14:solidFill>
          </w14:textFill>
        </w:rPr>
        <w:t>总额为318.75</w:t>
      </w:r>
      <w:r>
        <w:rPr>
          <w:rFonts w:ascii="宋体" w:hAnsi="宋体" w:eastAsia="仿宋" w:cs="Times New Roman"/>
          <w:color w:val="000000" w:themeColor="text1"/>
          <w:sz w:val="32"/>
          <w:szCs w:val="32"/>
          <w14:textFill>
            <w14:solidFill>
              <w14:schemeClr w14:val="tx1"/>
            </w14:solidFill>
          </w14:textFill>
        </w:rPr>
        <w:t>万元，主要为计算机、一体机、空调、打印机、投影仪</w:t>
      </w:r>
      <w:r>
        <w:rPr>
          <w:rFonts w:hint="eastAsia" w:ascii="宋体" w:hAnsi="宋体" w:eastAsia="仿宋" w:cs="Times New Roman"/>
          <w:color w:val="000000" w:themeColor="text1"/>
          <w:sz w:val="32"/>
          <w:szCs w:val="32"/>
          <w14:textFill>
            <w14:solidFill>
              <w14:schemeClr w14:val="tx1"/>
            </w14:solidFill>
          </w14:textFill>
        </w:rPr>
        <w:t>、办公家具</w:t>
      </w:r>
      <w:r>
        <w:rPr>
          <w:rFonts w:ascii="宋体" w:hAnsi="宋体" w:eastAsia="仿宋" w:cs="Times New Roman"/>
          <w:color w:val="000000" w:themeColor="text1"/>
          <w:sz w:val="32"/>
          <w:szCs w:val="32"/>
          <w14:textFill>
            <w14:solidFill>
              <w14:schemeClr w14:val="tx1"/>
            </w14:solidFill>
          </w14:textFill>
        </w:rPr>
        <w:t>等，已列入政府采购预算表</w:t>
      </w:r>
      <w:r>
        <w:rPr>
          <w:rFonts w:hint="eastAsia" w:ascii="宋体" w:hAnsi="宋体" w:eastAsia="仿宋" w:cs="Times New Roman"/>
          <w:color w:val="000000" w:themeColor="text1"/>
          <w:sz w:val="32"/>
          <w:szCs w:val="32"/>
          <w14:textFill>
            <w14:solidFill>
              <w14:schemeClr w14:val="tx1"/>
            </w14:solidFill>
          </w14:textFill>
        </w:rPr>
        <w:t>，详见政府采购预算表。</w:t>
      </w:r>
    </w:p>
    <w:tbl>
      <w:tblPr>
        <w:tblStyle w:val="7"/>
        <w:tblW w:w="9780" w:type="dxa"/>
        <w:jc w:val="center"/>
        <w:tblLayout w:type="fixed"/>
        <w:tblCellMar>
          <w:top w:w="0" w:type="dxa"/>
          <w:left w:w="108" w:type="dxa"/>
          <w:bottom w:w="0" w:type="dxa"/>
          <w:right w:w="108" w:type="dxa"/>
        </w:tblCellMar>
      </w:tblPr>
      <w:tblGrid>
        <w:gridCol w:w="3789"/>
        <w:gridCol w:w="2289"/>
        <w:gridCol w:w="3702"/>
      </w:tblGrid>
      <w:tr>
        <w:tblPrEx>
          <w:tblCellMar>
            <w:top w:w="0" w:type="dxa"/>
            <w:left w:w="108" w:type="dxa"/>
            <w:bottom w:w="0" w:type="dxa"/>
            <w:right w:w="108" w:type="dxa"/>
          </w:tblCellMar>
        </w:tblPrEx>
        <w:trPr>
          <w:trHeight w:val="283" w:hRule="atLeast"/>
          <w:jc w:val="center"/>
        </w:trPr>
        <w:tc>
          <w:tcPr>
            <w:tcW w:w="9780" w:type="dxa"/>
            <w:gridSpan w:val="3"/>
            <w:tcBorders>
              <w:top w:val="nil"/>
              <w:left w:val="nil"/>
              <w:bottom w:val="nil"/>
              <w:right w:val="nil"/>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cs="宋体"/>
                <w:b/>
                <w:bCs/>
                <w:color w:val="000000" w:themeColor="text1"/>
                <w:kern w:val="0"/>
                <w:sz w:val="32"/>
                <w:szCs w:val="32"/>
                <w14:textFill>
                  <w14:solidFill>
                    <w14:schemeClr w14:val="tx1"/>
                  </w14:solidFill>
                </w14:textFill>
              </w:rPr>
            </w:pPr>
            <w:r>
              <w:rPr>
                <w:rFonts w:hint="eastAsia" w:ascii="宋体" w:hAnsi="宋体" w:cs="宋体"/>
                <w:b/>
                <w:bCs/>
                <w:color w:val="000000" w:themeColor="text1"/>
                <w:kern w:val="0"/>
                <w:sz w:val="32"/>
                <w:szCs w:val="32"/>
                <w14:textFill>
                  <w14:solidFill>
                    <w14:schemeClr w14:val="tx1"/>
                  </w14:solidFill>
                </w14:textFill>
              </w:rPr>
              <w:t>河北省省直部门固定资产占用情况表</w:t>
            </w:r>
          </w:p>
        </w:tc>
      </w:tr>
      <w:tr>
        <w:tblPrEx>
          <w:tblCellMar>
            <w:top w:w="0" w:type="dxa"/>
            <w:left w:w="108" w:type="dxa"/>
            <w:bottom w:w="0" w:type="dxa"/>
            <w:right w:w="108" w:type="dxa"/>
          </w:tblCellMar>
        </w:tblPrEx>
        <w:trPr>
          <w:trHeight w:val="283" w:hRule="atLeast"/>
          <w:jc w:val="center"/>
        </w:trPr>
        <w:tc>
          <w:tcPr>
            <w:tcW w:w="6078" w:type="dxa"/>
            <w:gridSpan w:val="2"/>
            <w:tcBorders>
              <w:top w:val="nil"/>
              <w:left w:val="nil"/>
              <w:bottom w:val="nil"/>
              <w:right w:val="nil"/>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编制部门：</w:t>
            </w:r>
            <w:r>
              <w:rPr>
                <w:rFonts w:hint="eastAsia" w:ascii="宋体" w:hAnsi="宋体" w:eastAsia="仿宋" w:cs="Times New Roman"/>
                <w:color w:val="000000" w:themeColor="text1"/>
                <w:kern w:val="0"/>
                <w:sz w:val="24"/>
                <w:szCs w:val="24"/>
                <w14:textFill>
                  <w14:solidFill>
                    <w14:schemeClr w14:val="tx1"/>
                  </w14:solidFill>
                </w14:textFill>
              </w:rPr>
              <w:t>省人大常委会办公厅</w:t>
            </w:r>
          </w:p>
        </w:tc>
        <w:tc>
          <w:tcPr>
            <w:tcW w:w="3702" w:type="dxa"/>
            <w:tcBorders>
              <w:top w:val="nil"/>
              <w:left w:val="nil"/>
              <w:bottom w:val="nil"/>
              <w:right w:val="nil"/>
            </w:tcBorders>
            <w:vAlign w:val="center"/>
          </w:tcPr>
          <w:p>
            <w:pPr>
              <w:keepNext w:val="0"/>
              <w:keepLines w:val="0"/>
              <w:pageBreakBefore w:val="0"/>
              <w:widowControl/>
              <w:kinsoku/>
              <w:wordWrap/>
              <w:overflowPunct/>
              <w:topLinePunct w:val="0"/>
              <w:bidi w:val="0"/>
              <w:snapToGrid/>
              <w:spacing w:line="578" w:lineRule="exact"/>
              <w:ind w:left="0" w:firstLine="1440" w:firstLineChars="60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截止时间：201</w:t>
            </w:r>
            <w:r>
              <w:rPr>
                <w:rFonts w:hint="eastAsia" w:ascii="宋体" w:hAnsi="宋体" w:eastAsia="仿宋" w:cs="Times New Roman"/>
                <w:color w:val="000000" w:themeColor="text1"/>
                <w:kern w:val="0"/>
                <w:sz w:val="24"/>
                <w:szCs w:val="24"/>
                <w:lang w:val="en-US" w:eastAsia="zh-CN"/>
                <w14:textFill>
                  <w14:solidFill>
                    <w14:schemeClr w14:val="tx1"/>
                  </w14:solidFill>
                </w14:textFill>
              </w:rPr>
              <w:t>9</w:t>
            </w:r>
            <w:r>
              <w:rPr>
                <w:rFonts w:ascii="宋体" w:hAnsi="宋体" w:eastAsia="仿宋" w:cs="Times New Roman"/>
                <w:color w:val="000000" w:themeColor="text1"/>
                <w:kern w:val="0"/>
                <w:sz w:val="24"/>
                <w:szCs w:val="24"/>
                <w14:textFill>
                  <w14:solidFill>
                    <w14:schemeClr w14:val="tx1"/>
                  </w14:solidFill>
                </w14:textFill>
              </w:rPr>
              <w:t>年12月31日</w:t>
            </w:r>
          </w:p>
        </w:tc>
      </w:tr>
      <w:tr>
        <w:tblPrEx>
          <w:tblCellMar>
            <w:top w:w="0" w:type="dxa"/>
            <w:left w:w="108" w:type="dxa"/>
            <w:bottom w:w="0" w:type="dxa"/>
            <w:right w:w="108" w:type="dxa"/>
          </w:tblCellMar>
        </w:tblPrEx>
        <w:trPr>
          <w:trHeight w:val="283" w:hRule="atLeast"/>
          <w:jc w:val="center"/>
        </w:trPr>
        <w:tc>
          <w:tcPr>
            <w:tcW w:w="378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项目</w:t>
            </w:r>
          </w:p>
        </w:tc>
        <w:tc>
          <w:tcPr>
            <w:tcW w:w="228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数量</w:t>
            </w:r>
          </w:p>
        </w:tc>
        <w:tc>
          <w:tcPr>
            <w:tcW w:w="3702"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cs="宋体"/>
                <w:b/>
                <w:bCs/>
                <w:color w:val="000000" w:themeColor="text1"/>
                <w:kern w:val="0"/>
                <w:sz w:val="24"/>
                <w:szCs w:val="24"/>
                <w14:textFill>
                  <w14:solidFill>
                    <w14:schemeClr w14:val="tx1"/>
                  </w14:solidFill>
                </w14:textFill>
              </w:rPr>
            </w:pPr>
            <w:r>
              <w:rPr>
                <w:rFonts w:hint="eastAsia" w:ascii="宋体" w:hAnsi="宋体" w:cs="宋体"/>
                <w:b/>
                <w:bCs/>
                <w:color w:val="000000" w:themeColor="text1"/>
                <w:kern w:val="0"/>
                <w:sz w:val="24"/>
                <w:szCs w:val="24"/>
                <w14:textFill>
                  <w14:solidFill>
                    <w14:schemeClr w14:val="tx1"/>
                  </w14:solidFill>
                </w14:textFill>
              </w:rPr>
              <w:t>价值（金额单位：万元）</w:t>
            </w: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资产总额</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w:t>
            </w: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FF0000"/>
                <w:kern w:val="0"/>
                <w:sz w:val="24"/>
                <w:szCs w:val="24"/>
                <w:lang w:val="en-US" w:eastAsia="zh-CN"/>
              </w:rPr>
              <w:t>768.68</w:t>
            </w: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1、房屋（平方米）</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2045</w:t>
            </w: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36.2</w:t>
            </w: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其中：办公用房（平方米）</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2045</w:t>
            </w: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36.2</w:t>
            </w: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2、车辆（台、辆）</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eastAsia"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5</w:t>
            </w: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364.66</w:t>
            </w: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3、单价在20万元以上设备</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eastAsia="仿宋" w:cs="Times New Roman"/>
                <w:color w:val="000000" w:themeColor="text1"/>
                <w:kern w:val="0"/>
                <w:sz w:val="24"/>
                <w:szCs w:val="24"/>
                <w14:textFill>
                  <w14:solidFill>
                    <w14:schemeClr w14:val="tx1"/>
                  </w14:solidFill>
                </w14:textFill>
              </w:rPr>
            </w:pP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eastAsia="仿宋" w:cs="Times New Roman"/>
                <w:color w:val="000000" w:themeColor="text1"/>
                <w:kern w:val="0"/>
                <w:sz w:val="24"/>
                <w:szCs w:val="24"/>
                <w14:textFill>
                  <w14:solidFill>
                    <w14:schemeClr w14:val="tx1"/>
                  </w14:solidFill>
                </w14:textFill>
              </w:rPr>
            </w:pPr>
          </w:p>
        </w:tc>
      </w:tr>
      <w:tr>
        <w:tblPrEx>
          <w:tblCellMar>
            <w:top w:w="0" w:type="dxa"/>
            <w:left w:w="108" w:type="dxa"/>
            <w:bottom w:w="0" w:type="dxa"/>
            <w:right w:w="108" w:type="dxa"/>
          </w:tblCellMar>
        </w:tblPrEx>
        <w:trPr>
          <w:trHeight w:val="283" w:hRule="atLeast"/>
          <w:jc w:val="center"/>
        </w:trPr>
        <w:tc>
          <w:tcPr>
            <w:tcW w:w="3789"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left"/>
              <w:textAlignment w:val="auto"/>
              <w:rPr>
                <w:rFonts w:ascii="宋体" w:hAnsi="宋体" w:eastAsia="仿宋" w:cs="Times New Roman"/>
                <w:color w:val="000000" w:themeColor="text1"/>
                <w:kern w:val="0"/>
                <w:sz w:val="24"/>
                <w:szCs w:val="24"/>
                <w14:textFill>
                  <w14:solidFill>
                    <w14:schemeClr w14:val="tx1"/>
                  </w14:solidFill>
                </w14:textFill>
              </w:rPr>
            </w:pPr>
            <w:r>
              <w:rPr>
                <w:rFonts w:ascii="宋体" w:hAnsi="宋体" w:eastAsia="仿宋" w:cs="Times New Roman"/>
                <w:color w:val="000000" w:themeColor="text1"/>
                <w:kern w:val="0"/>
                <w:sz w:val="24"/>
                <w:szCs w:val="24"/>
                <w14:textFill>
                  <w14:solidFill>
                    <w14:schemeClr w14:val="tx1"/>
                  </w14:solidFill>
                </w14:textFill>
              </w:rPr>
              <w:t>4、其他固定资产</w:t>
            </w:r>
          </w:p>
        </w:tc>
        <w:tc>
          <w:tcPr>
            <w:tcW w:w="228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ascii="宋体" w:hAnsi="宋体" w:eastAsia="仿宋" w:cs="Times New Roman"/>
                <w:color w:val="000000" w:themeColor="text1"/>
                <w:kern w:val="0"/>
                <w:sz w:val="24"/>
                <w:szCs w:val="24"/>
                <w14:textFill>
                  <w14:solidFill>
                    <w14:schemeClr w14:val="tx1"/>
                  </w14:solidFill>
                </w14:textFill>
              </w:rPr>
            </w:pPr>
          </w:p>
        </w:tc>
        <w:tc>
          <w:tcPr>
            <w:tcW w:w="3702"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bidi w:val="0"/>
              <w:snapToGrid/>
              <w:spacing w:line="578" w:lineRule="exact"/>
              <w:ind w:left="0"/>
              <w:jc w:val="center"/>
              <w:textAlignment w:val="auto"/>
              <w:rPr>
                <w:rFonts w:hint="default" w:ascii="宋体" w:hAnsi="宋体" w:eastAsia="仿宋" w:cs="Times New Roman"/>
                <w:color w:val="000000" w:themeColor="text1"/>
                <w:kern w:val="0"/>
                <w:sz w:val="24"/>
                <w:szCs w:val="24"/>
                <w:lang w:val="en-US" w:eastAsia="zh-CN"/>
                <w14:textFill>
                  <w14:solidFill>
                    <w14:schemeClr w14:val="tx1"/>
                  </w14:solidFill>
                </w14:textFill>
              </w:rPr>
            </w:pPr>
            <w:r>
              <w:rPr>
                <w:rFonts w:hint="eastAsia" w:ascii="宋体" w:hAnsi="宋体" w:eastAsia="仿宋" w:cs="Times New Roman"/>
                <w:color w:val="000000" w:themeColor="text1"/>
                <w:kern w:val="0"/>
                <w:sz w:val="24"/>
                <w:szCs w:val="24"/>
                <w:lang w:val="en-US" w:eastAsia="zh-CN"/>
                <w14:textFill>
                  <w14:solidFill>
                    <w14:schemeClr w14:val="tx1"/>
                  </w14:solidFill>
                </w14:textFill>
              </w:rPr>
              <w:t>367.82</w:t>
            </w:r>
          </w:p>
        </w:tc>
      </w:tr>
    </w:tbl>
    <w:p>
      <w:pPr>
        <w:keepNext w:val="0"/>
        <w:keepLines w:val="0"/>
        <w:pageBreakBefore w:val="0"/>
        <w:widowControl w:val="0"/>
        <w:kinsoku/>
        <w:wordWrap/>
        <w:overflowPunct/>
        <w:topLinePunct w:val="0"/>
        <w:autoSpaceDE w:val="0"/>
        <w:autoSpaceDN w:val="0"/>
        <w:bidi w:val="0"/>
        <w:adjustRightInd w:val="0"/>
        <w:snapToGrid/>
        <w:spacing w:line="576" w:lineRule="exact"/>
        <w:ind w:left="0" w:firstLine="640" w:firstLineChars="200"/>
        <w:jc w:val="left"/>
        <w:textAlignment w:val="auto"/>
        <w:rPr>
          <w:rFonts w:ascii="宋体" w:hAnsi="宋体" w:eastAsia="黑体" w:cs="Times New Roman"/>
          <w:color w:val="000000" w:themeColor="text1"/>
          <w:sz w:val="32"/>
          <w:szCs w:val="32"/>
          <w14:textFill>
            <w14:solidFill>
              <w14:schemeClr w14:val="tx1"/>
            </w14:solidFill>
          </w14:textFill>
        </w:rPr>
      </w:pPr>
      <w:r>
        <w:rPr>
          <w:rFonts w:hint="eastAsia" w:ascii="宋体" w:hAnsi="宋体" w:eastAsia="黑体" w:cs="Times New Roman"/>
          <w:color w:val="000000" w:themeColor="text1"/>
          <w:sz w:val="32"/>
          <w:szCs w:val="32"/>
          <w14:textFill>
            <w14:solidFill>
              <w14:schemeClr w14:val="tx1"/>
            </w14:solidFill>
          </w14:textFill>
        </w:rPr>
        <w:t>八、名词解释</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1、一般公共预算拨款收入：指省级财政当年拨付的资金。</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2、事业收入：指事业单位开展专业业务活动及辅助活动所取得的收入。</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3、其他收入：指除“一般公共预算拨款收入”、“事业收入”等以外的收入。主要是按规定动用的租房收入、存款利息收入等。</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4、基本支出：指为保障机构正常运转、完成日常工作任务而发生的人员支出和公用支出。</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5、项目支出：指在基本支出之外为完成特定行政任务和事业发展目标所发生的支出。</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6、上缴上级支出：指下级单位上缴上级的支出。</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9、上年结转：指以前年度尚未完成、结转到本年仍按原规定用途继续使用的资金。</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仿宋" w:cs="仿宋"/>
          <w:color w:val="000000" w:themeColor="text1"/>
          <w:sz w:val="32"/>
          <w:szCs w:val="32"/>
          <w14:textFill>
            <w14:solidFill>
              <w14:schemeClr w14:val="tx1"/>
            </w14:solidFill>
          </w14:textFill>
        </w:rPr>
      </w:pPr>
      <w:r>
        <w:rPr>
          <w:rFonts w:hint="eastAsia" w:ascii="宋体" w:hAnsi="宋体" w:eastAsia="仿宋" w:cs="仿宋"/>
          <w:color w:val="000000" w:themeColor="text1"/>
          <w:sz w:val="32"/>
          <w:szCs w:val="32"/>
          <w14:textFill>
            <w14:solidFill>
              <w14:schemeClr w14:val="tx1"/>
            </w14:solidFill>
          </w14:textFill>
        </w:rPr>
        <w:t>10、事业单位经营支出：指事业单位在专业业务活动及其辅助活动之外开展非独立核算经营活动发生的支出。</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hint="eastAsia" w:ascii="宋体" w:hAnsi="宋体" w:eastAsia="黑体" w:cs="黑体"/>
          <w:b w:val="0"/>
          <w:bCs w:val="0"/>
          <w:color w:val="000000" w:themeColor="text1"/>
          <w:sz w:val="32"/>
          <w:szCs w:val="32"/>
          <w14:textFill>
            <w14:solidFill>
              <w14:schemeClr w14:val="tx1"/>
            </w14:solidFill>
          </w14:textFill>
        </w:rPr>
      </w:pPr>
      <w:r>
        <w:rPr>
          <w:rFonts w:hint="eastAsia" w:ascii="宋体" w:hAnsi="宋体" w:eastAsia="黑体" w:cs="黑体"/>
          <w:b w:val="0"/>
          <w:bCs w:val="0"/>
          <w:color w:val="000000" w:themeColor="text1"/>
          <w:sz w:val="32"/>
          <w:szCs w:val="32"/>
          <w14:textFill>
            <w14:solidFill>
              <w14:schemeClr w14:val="tx1"/>
            </w14:solidFill>
          </w14:textFill>
        </w:rPr>
        <w:t>九、其他需要说明的事项</w:t>
      </w:r>
    </w:p>
    <w:p>
      <w:pPr>
        <w:keepNext w:val="0"/>
        <w:keepLines w:val="0"/>
        <w:pageBreakBefore w:val="0"/>
        <w:widowControl w:val="0"/>
        <w:kinsoku/>
        <w:wordWrap/>
        <w:overflowPunct/>
        <w:topLinePunct w:val="0"/>
        <w:bidi w:val="0"/>
        <w:snapToGrid/>
        <w:spacing w:line="576" w:lineRule="exact"/>
        <w:ind w:left="0" w:firstLine="640" w:firstLineChars="200"/>
        <w:textAlignment w:val="auto"/>
        <w:rPr>
          <w:rFonts w:ascii="宋体" w:hAnsi="宋体" w:eastAsia="仿宋" w:cs="Times New Roman"/>
          <w:color w:val="000000" w:themeColor="text1"/>
          <w:sz w:val="32"/>
          <w:szCs w:val="32"/>
          <w14:textFill>
            <w14:solidFill>
              <w14:schemeClr w14:val="tx1"/>
            </w14:solidFill>
          </w14:textFill>
        </w:rPr>
      </w:pPr>
      <w:r>
        <w:rPr>
          <w:rFonts w:hint="eastAsia" w:ascii="宋体" w:hAnsi="宋体" w:eastAsia="仿宋" w:cs="Times New Roman"/>
          <w:color w:val="000000" w:themeColor="text1"/>
          <w:sz w:val="32"/>
          <w:szCs w:val="32"/>
          <w14:textFill>
            <w14:solidFill>
              <w14:schemeClr w14:val="tx1"/>
            </w14:solidFill>
          </w14:textFill>
        </w:rPr>
        <w:t>我部门无其他需要说明的事项。</w:t>
      </w:r>
    </w:p>
    <w:sectPr>
      <w:pgSz w:w="11906" w:h="16838"/>
      <w:pgMar w:top="1928" w:right="1417" w:bottom="1644" w:left="1531" w:header="851" w:footer="992" w:gutter="0"/>
      <w:pgBorders>
        <w:top w:val="none" w:sz="0" w:space="0"/>
        <w:left w:val="none" w:sz="0" w:space="0"/>
        <w:bottom w:val="none" w:sz="0" w:space="0"/>
        <w:right w:val="none" w:sz="0" w:space="0"/>
      </w:pgBorders>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modern"/>
    <w:pitch w:val="default"/>
    <w:sig w:usb0="00000000" w:usb1="00000000"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11"/>
                            </w:rPr>
                          </w:pPr>
                          <w:r>
                            <w:rPr>
                              <w:rFonts w:hint="eastAsia" w:asciiTheme="majorEastAsia" w:hAnsiTheme="majorEastAsia" w:eastAsiaTheme="majorEastAsia" w:cstheme="majorEastAsia"/>
                              <w:sz w:val="28"/>
                              <w:szCs w:val="28"/>
                            </w:rPr>
                            <w:fldChar w:fldCharType="begin"/>
                          </w:r>
                          <w:r>
                            <w:rPr>
                              <w:rStyle w:val="11"/>
                              <w:rFonts w:hint="eastAsia" w:asciiTheme="majorEastAsia" w:hAnsiTheme="majorEastAsia" w:eastAsiaTheme="majorEastAsia" w:cstheme="majorEastAsia"/>
                              <w:sz w:val="28"/>
                              <w:szCs w:val="28"/>
                            </w:rPr>
                            <w:instrText xml:space="preserve">PAGE  </w:instrText>
                          </w:r>
                          <w:r>
                            <w:rPr>
                              <w:rFonts w:hint="eastAsia" w:asciiTheme="majorEastAsia" w:hAnsiTheme="majorEastAsia" w:eastAsiaTheme="majorEastAsia" w:cstheme="majorEastAsia"/>
                              <w:sz w:val="28"/>
                              <w:szCs w:val="28"/>
                            </w:rPr>
                            <w:fldChar w:fldCharType="separate"/>
                          </w:r>
                          <w:r>
                            <w:rPr>
                              <w:rStyle w:val="11"/>
                              <w:rFonts w:hint="eastAsia" w:asciiTheme="majorEastAsia" w:hAnsiTheme="majorEastAsia" w:eastAsiaTheme="majorEastAsia" w:cstheme="majorEastAsia"/>
                              <w:sz w:val="28"/>
                              <w:szCs w:val="28"/>
                            </w:rPr>
                            <w:t>12</w:t>
                          </w:r>
                          <w:r>
                            <w:rPr>
                              <w:rFonts w:hint="eastAsia" w:asciiTheme="majorEastAsia" w:hAnsiTheme="majorEastAsia" w:eastAsiaTheme="majorEastAsia" w:cstheme="maj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2"/>
                      <w:rPr>
                        <w:rStyle w:val="11"/>
                      </w:rPr>
                    </w:pPr>
                    <w:r>
                      <w:rPr>
                        <w:rFonts w:hint="eastAsia" w:asciiTheme="majorEastAsia" w:hAnsiTheme="majorEastAsia" w:eastAsiaTheme="majorEastAsia" w:cstheme="majorEastAsia"/>
                        <w:sz w:val="28"/>
                        <w:szCs w:val="28"/>
                      </w:rPr>
                      <w:fldChar w:fldCharType="begin"/>
                    </w:r>
                    <w:r>
                      <w:rPr>
                        <w:rStyle w:val="11"/>
                        <w:rFonts w:hint="eastAsia" w:asciiTheme="majorEastAsia" w:hAnsiTheme="majorEastAsia" w:eastAsiaTheme="majorEastAsia" w:cstheme="majorEastAsia"/>
                        <w:sz w:val="28"/>
                        <w:szCs w:val="28"/>
                      </w:rPr>
                      <w:instrText xml:space="preserve">PAGE  </w:instrText>
                    </w:r>
                    <w:r>
                      <w:rPr>
                        <w:rFonts w:hint="eastAsia" w:asciiTheme="majorEastAsia" w:hAnsiTheme="majorEastAsia" w:eastAsiaTheme="majorEastAsia" w:cstheme="majorEastAsia"/>
                        <w:sz w:val="28"/>
                        <w:szCs w:val="28"/>
                      </w:rPr>
                      <w:fldChar w:fldCharType="separate"/>
                    </w:r>
                    <w:r>
                      <w:rPr>
                        <w:rStyle w:val="11"/>
                        <w:rFonts w:hint="eastAsia" w:asciiTheme="majorEastAsia" w:hAnsiTheme="majorEastAsia" w:eastAsiaTheme="majorEastAsia" w:cstheme="majorEastAsia"/>
                        <w:sz w:val="28"/>
                        <w:szCs w:val="28"/>
                      </w:rPr>
                      <w:t>12</w:t>
                    </w:r>
                    <w:r>
                      <w:rPr>
                        <w:rFonts w:hint="eastAsia" w:asciiTheme="majorEastAsia" w:hAnsiTheme="majorEastAsia" w:eastAsiaTheme="majorEastAsia" w:cstheme="maj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857326"/>
    <w:rsid w:val="009A521C"/>
    <w:rsid w:val="00D607DA"/>
    <w:rsid w:val="00DC6EE5"/>
    <w:rsid w:val="00EE71BA"/>
    <w:rsid w:val="00F867E4"/>
    <w:rsid w:val="056D17C0"/>
    <w:rsid w:val="0BEB2FF6"/>
    <w:rsid w:val="0D403841"/>
    <w:rsid w:val="160D0352"/>
    <w:rsid w:val="299D12DD"/>
    <w:rsid w:val="2B01370D"/>
    <w:rsid w:val="2B2B12F7"/>
    <w:rsid w:val="31117E30"/>
    <w:rsid w:val="3866095C"/>
    <w:rsid w:val="38CA1C16"/>
    <w:rsid w:val="41A66223"/>
    <w:rsid w:val="4CE05027"/>
    <w:rsid w:val="4FC30FF2"/>
    <w:rsid w:val="5BAB502A"/>
    <w:rsid w:val="5C9B4DDD"/>
    <w:rsid w:val="5CD22E56"/>
    <w:rsid w:val="60C52C27"/>
    <w:rsid w:val="636B1B2F"/>
    <w:rsid w:val="67487CCA"/>
    <w:rsid w:val="6D465694"/>
    <w:rsid w:val="6F0D0B3E"/>
    <w:rsid w:val="7952115B"/>
    <w:rsid w:val="7AD32861"/>
    <w:rsid w:val="EECC82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26</Pages>
  <Words>1322</Words>
  <Characters>7536</Characters>
  <Lines>62</Lines>
  <Paragraphs>17</Paragraphs>
  <TotalTime>10</TotalTime>
  <ScaleCrop>false</ScaleCrop>
  <LinksUpToDate>false</LinksUpToDate>
  <CharactersWithSpaces>8841</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uos</cp:lastModifiedBy>
  <cp:lastPrinted>2020-01-10T23:53:00Z</cp:lastPrinted>
  <dcterms:modified xsi:type="dcterms:W3CDTF">2024-12-05T16:38:11Z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4498001454FA47378E082BB5ED3E28D3</vt:lpwstr>
  </property>
</Properties>
</file>