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C64F13">
      <w:pPr>
        <w:adjustRightInd w:val="0"/>
        <w:spacing w:line="360" w:lineRule="auto"/>
        <w:rPr>
          <w:rFonts w:ascii="黑体" w:hAnsi="黑体" w:eastAsia="黑体" w:cs="黑体"/>
          <w:sz w:val="32"/>
          <w:szCs w:val="32"/>
        </w:rPr>
      </w:pPr>
    </w:p>
    <w:p w14:paraId="4EFD5783">
      <w:pPr>
        <w:spacing w:line="360" w:lineRule="auto"/>
        <w:jc w:val="center"/>
        <w:rPr>
          <w:rFonts w:ascii="华文楷体" w:eastAsia="华文楷体"/>
          <w:sz w:val="32"/>
          <w:szCs w:val="32"/>
        </w:rPr>
      </w:pPr>
      <w:r>
        <w:rPr>
          <w:rFonts w:hint="eastAsia" w:ascii="宋体"/>
          <w:b/>
          <w:bCs/>
          <w:sz w:val="36"/>
          <w:szCs w:val="32"/>
        </w:rPr>
        <w:t xml:space="preserve">  政协委员订阅报刊杂志费项目绩效评价报告</w:t>
      </w:r>
    </w:p>
    <w:p w14:paraId="241CEE3C">
      <w:pPr>
        <w:spacing w:line="360" w:lineRule="auto"/>
        <w:jc w:val="center"/>
        <w:rPr>
          <w:rFonts w:ascii="华文楷体" w:eastAsia="华文楷体"/>
          <w:sz w:val="32"/>
          <w:szCs w:val="32"/>
        </w:rPr>
      </w:pPr>
    </w:p>
    <w:p w14:paraId="3A42A233">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根据《石家庄市鹿泉区区级部门预算绩效管理办法》（鹿财字[2019]65号），遵循“科学性、规范性、客观性和公正性”的原则，对政协委员订阅报刊杂志费项目实施了绩效评价，形成本评价报告。</w:t>
      </w:r>
    </w:p>
    <w:p w14:paraId="0296C741">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14:paraId="5519CC8A">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14:paraId="50258BEF">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 xml:space="preserve"> 1.该项目由鹿泉区政协办公室负责，项目执行期为2019年1月1日至2019年12月31日。</w:t>
      </w:r>
    </w:p>
    <w:p w14:paraId="0A1E48AC">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 xml:space="preserve"> 2.为区政协委员订阅报刊杂志费项目主要用在为政协委员订阅《人民日报》《人民政协报》《河北日报》《石家庄日报》《党史博采》《乡音》等。</w:t>
      </w:r>
    </w:p>
    <w:p w14:paraId="008CF535">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3.按照区财政预算安排“政协委员订阅报刊杂志费”8.6万元。实际到位经费8.6万元，资金到位率100%。项目资金实行专款专用，资金使用符合国家财经法规和财务管理制度的规定，按照本区财政预算拨付审批规范，手续完整，项目资金使用做到按照年度预算批复用途使用。</w:t>
      </w:r>
    </w:p>
    <w:p w14:paraId="2D467352">
      <w:pPr>
        <w:adjustRightInd w:val="0"/>
        <w:snapToGrid w:val="0"/>
        <w:spacing w:line="360" w:lineRule="auto"/>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14:paraId="7C816E2E">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为加强政协委员学习、提高自身素质，努力为政协委员搭建视角平台，政协办公室为政协委员订阅了《人民日报》《人民政协报》《河北日报》《石家庄日报》《党史博采》《乡音》等报刊杂志，通过订阅报刊杂志，使委员不仅能及时、全面地了解政协工作情况，把它作为开阔眼界、了解形式、学习的先进工具，更大大</w:t>
      </w:r>
      <w:r>
        <w:rPr>
          <w:rFonts w:hint="eastAsia" w:ascii="仿宋_GB2312" w:hAnsi="Times New Roman" w:eastAsia="仿宋_GB2312" w:cs="Times New Roman"/>
          <w:color w:val="333333"/>
          <w:sz w:val="32"/>
          <w:szCs w:val="32"/>
        </w:rPr>
        <w:t>提高了委员履职能力和水平。</w:t>
      </w:r>
    </w:p>
    <w:p w14:paraId="1022CE9B">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14:paraId="4C20FFAA">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14:paraId="687F0B0C">
      <w:pPr>
        <w:rPr>
          <w:rFonts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color w:val="FF0000"/>
          <w:sz w:val="32"/>
          <w:szCs w:val="32"/>
        </w:rPr>
        <w:t xml:space="preserve">  </w:t>
      </w:r>
      <w:r>
        <w:rPr>
          <w:rFonts w:hint="eastAsia" w:ascii="仿宋_GB2312" w:eastAsia="仿宋_GB2312"/>
          <w:sz w:val="32"/>
          <w:szCs w:val="32"/>
        </w:rPr>
        <w:t>由鹿泉区政协自行组织评价。</w:t>
      </w:r>
    </w:p>
    <w:p w14:paraId="4F32B8FC">
      <w:pPr>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14:paraId="0E4F2EC6">
      <w:pPr>
        <w:ind w:firstLine="640" w:firstLineChars="200"/>
        <w:rPr>
          <w:rFonts w:ascii="仿宋_GB2312" w:eastAsia="仿宋_GB2312"/>
          <w:sz w:val="32"/>
          <w:szCs w:val="32"/>
        </w:rPr>
      </w:pPr>
      <w:r>
        <w:rPr>
          <w:rFonts w:hint="eastAsia" w:ascii="仿宋_GB2312" w:eastAsia="仿宋_GB2312"/>
          <w:sz w:val="32"/>
          <w:szCs w:val="32"/>
        </w:rPr>
        <w:t>针对本项目实际情况，通过座谈调研、查阅项目管理、财务管理制度等资料的形式，采用比较分析法对本项目专项资金使用情况进行绩效评价。</w:t>
      </w:r>
    </w:p>
    <w:p w14:paraId="32B7895A">
      <w:pPr>
        <w:rPr>
          <w:rFonts w:ascii="仿宋_GB2312" w:eastAsia="仿宋_GB2312"/>
          <w:sz w:val="32"/>
          <w:szCs w:val="32"/>
        </w:rPr>
      </w:pPr>
      <w:r>
        <w:rPr>
          <w:rFonts w:hint="eastAsia" w:ascii="楷体_GB2312" w:hAnsi="楷体_GB2312" w:eastAsia="楷体_GB2312" w:cs="楷体_GB2312"/>
          <w:b/>
          <w:bCs/>
          <w:color w:val="FF0000"/>
          <w:sz w:val="32"/>
          <w:szCs w:val="32"/>
        </w:rPr>
        <w:t xml:space="preserve">  </w:t>
      </w: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14:paraId="428BCF72">
      <w:pPr>
        <w:ind w:firstLine="640" w:firstLineChars="200"/>
        <w:rPr>
          <w:rFonts w:ascii="仿宋_GB2312" w:eastAsia="仿宋_GB2312"/>
          <w:sz w:val="32"/>
          <w:szCs w:val="32"/>
        </w:rPr>
      </w:pPr>
      <w:r>
        <w:rPr>
          <w:rFonts w:hint="eastAsia" w:ascii="仿宋_GB2312" w:eastAsia="仿宋_GB2312"/>
          <w:sz w:val="32"/>
          <w:szCs w:val="32"/>
        </w:rPr>
        <w:t>根据区财政局要求，对绩效指标评价体系分为投入、过程、产出、效果4个一级指标，设置评分值100分，其中投入20分、过程20分、产出25分、效果35分。细化为项目立项、资金落实、业务管理、财务管理、项目产出、项目效益6个二级指标，从项目立项规范性、绩效指标明确性、资金到位率、业务制度健全性、业务制度执行有效性、财务管理制度健全性、资金使用合规性、财务监控有效性等指标为三级指标构成完整绩效评价体系。</w:t>
      </w:r>
    </w:p>
    <w:p w14:paraId="3EE173DA">
      <w:pPr>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14:paraId="510E3705">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14:paraId="763E9299">
      <w:pPr>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项目立项方面满分10分，得10分。经区政协主席会议和党组会安排部署，做到每位政协委员人手一份《人民政协报》《党史博采》《乡音》杂志的基础上，以扩大政协影响力。《人民政协报》《乡音》作为全国、全省政协新闻宣传工作的主流媒体、重要力量，对基层政协开展工作具有很强的指导意义。为委员订阅报刊杂志是政协组织为委员服务的具体体现，也是各位委员应有的政治待遇。更是贯彻落实习近平总书记关于加强和改进人民政协工作的重要思想的具体体现。</w:t>
      </w:r>
    </w:p>
    <w:p w14:paraId="677D9331">
      <w:pPr>
        <w:ind w:firstLine="640" w:firstLineChars="200"/>
        <w:rPr>
          <w:rFonts w:ascii="仿宋_GB2312" w:eastAsia="仿宋_GB2312"/>
          <w:sz w:val="32"/>
          <w:szCs w:val="32"/>
        </w:rPr>
      </w:pPr>
      <w:r>
        <w:rPr>
          <w:rFonts w:hint="eastAsia" w:ascii="仿宋_GB2312" w:eastAsia="仿宋_GB2312"/>
          <w:sz w:val="32"/>
          <w:szCs w:val="32"/>
        </w:rPr>
        <w:t>2.资金落实情况分析。资金落实方面满分10分，得10分。按照区财政预算拨付审批安排“政协委员订阅报刊杂志费”8.6万元。实际到位经费8.6万元，资金到位率100%。项目资金实行专款专用，资金使用符合国家财经法规和财务管理制度的规定，项目资金使用做到按照年度预算批复用途使用。</w:t>
      </w:r>
    </w:p>
    <w:p w14:paraId="505BA01B">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14:paraId="0B6B9CD8">
      <w:pPr>
        <w:ind w:firstLine="640" w:firstLineChars="200"/>
        <w:rPr>
          <w:rFonts w:ascii="仿宋_GB2312" w:eastAsia="仿宋_GB2312"/>
          <w:sz w:val="32"/>
          <w:szCs w:val="32"/>
        </w:rPr>
      </w:pPr>
      <w:r>
        <w:rPr>
          <w:rFonts w:hint="eastAsia" w:ascii="仿宋_GB2312" w:eastAsia="仿宋_GB2312"/>
          <w:sz w:val="32"/>
          <w:szCs w:val="32"/>
        </w:rPr>
        <w:t>1.业务管理情况分析。业务管理方面满分9分，实得9分。管理制度健全，且制度合法、合规、完善，得5分；同时制度也得到有效执行，遵守相关法律法规和业务管理规定，得4分。</w:t>
      </w:r>
    </w:p>
    <w:p w14:paraId="3757A66B">
      <w:pPr>
        <w:ind w:firstLine="640" w:firstLineChars="200"/>
        <w:rPr>
          <w:rFonts w:ascii="仿宋_GB2312" w:eastAsia="仿宋_GB2312"/>
          <w:sz w:val="32"/>
          <w:szCs w:val="32"/>
        </w:rPr>
      </w:pPr>
      <w:r>
        <w:rPr>
          <w:rFonts w:hint="eastAsia" w:ascii="仿宋_GB2312" w:eastAsia="仿宋_GB2312"/>
          <w:sz w:val="32"/>
          <w:szCs w:val="32"/>
        </w:rPr>
        <w:t>2.财务管理。财务管理方面满分11分，得11分。区政协办公室严格执行财务管理制度，严格相关账务审批程序，项目按计划组织实施得3分；资金到位后，专款专用。并</w:t>
      </w:r>
      <w:r>
        <w:rPr>
          <w:rFonts w:ascii="仿宋_GB2312" w:eastAsia="仿宋_GB2312"/>
          <w:sz w:val="32"/>
          <w:szCs w:val="32"/>
        </w:rPr>
        <w:t>严格</w:t>
      </w:r>
      <w:r>
        <w:rPr>
          <w:rFonts w:hint="eastAsia" w:ascii="仿宋_GB2312" w:eastAsia="仿宋_GB2312"/>
          <w:sz w:val="32"/>
          <w:szCs w:val="32"/>
        </w:rPr>
        <w:t xml:space="preserve">按照政协工作要点开展工作，落实中央八项规定及省市具体规定，厉行勤俭节约，经费控制在预算范围内。支出依据合规，无虚列项目支出、截留挤占挪用、超标准开支和超预算开支等违规情况得4分；项目执行过程中由区政协各委员会主任组成监管领导小组， 监督、检查财务执行情况制度健全得4分 。  </w:t>
      </w:r>
    </w:p>
    <w:p w14:paraId="103F0327">
      <w:pPr>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14:paraId="3331FD5F">
      <w:pPr>
        <w:ind w:firstLine="640" w:firstLineChars="200"/>
        <w:rPr>
          <w:rFonts w:ascii="仿宋_GB2312" w:eastAsia="仿宋_GB2312"/>
          <w:sz w:val="32"/>
          <w:szCs w:val="32"/>
        </w:rPr>
      </w:pPr>
      <w:r>
        <w:rPr>
          <w:rFonts w:hint="eastAsia" w:ascii="仿宋_GB2312" w:eastAsia="仿宋_GB2312"/>
          <w:sz w:val="32"/>
          <w:szCs w:val="32"/>
        </w:rPr>
        <w:t>产出方面满分25分，得分22分。产出数量方面满分15分，得13分，产出质量方面满分10分，得9分。</w:t>
      </w:r>
    </w:p>
    <w:p w14:paraId="39257ADB">
      <w:pPr>
        <w:rPr>
          <w:rFonts w:ascii="楷体_GB2312" w:hAnsi="楷体_GB2312" w:eastAsia="楷体_GB2312" w:cs="楷体_GB2312"/>
          <w:color w:val="FF0000"/>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14:paraId="3A88F8E0">
      <w:pPr>
        <w:ind w:firstLine="640" w:firstLineChars="200"/>
        <w:rPr>
          <w:rFonts w:ascii="仿宋_GB2312" w:hAnsi="Times New Roman" w:eastAsia="仿宋_GB2312" w:cs="Times New Roman"/>
          <w:color w:val="333333"/>
          <w:sz w:val="32"/>
          <w:szCs w:val="32"/>
        </w:rPr>
      </w:pPr>
      <w:r>
        <w:rPr>
          <w:rFonts w:hint="eastAsia" w:ascii="仿宋_GB2312" w:hAnsi="Times New Roman" w:eastAsia="仿宋_GB2312" w:cs="Times New Roman"/>
          <w:color w:val="333333"/>
          <w:sz w:val="32"/>
          <w:szCs w:val="32"/>
        </w:rPr>
        <w:t>效益方面满分35分，得34分。政协委员是政协工作的主体。政协的优势、政协的活力、政协的潜力存在于委员之中。《人民政协报》、《乡音》均以马列主义、毛泽东思想、邓小平理论和“三个代表”重要思想为指导，全面贯彻党的教育方针和“双百方针”，理论联系实际，开展教育科学研究和学科基础理论研究，交流科技成果，促进学院教学、科研工作的发展，为教育改革和社会主义现代化建设</w:t>
      </w:r>
      <w:r>
        <w:rPr>
          <w:rFonts w:hint="eastAsia" w:ascii="仿宋_GB2312" w:hAnsi="Times New Roman" w:eastAsia="仿宋_GB2312" w:cs="Times New Roman"/>
          <w:color w:val="333333"/>
          <w:sz w:val="32"/>
          <w:szCs w:val="32"/>
          <w:lang w:eastAsia="zh-CN"/>
        </w:rPr>
        <w:t>作</w:t>
      </w:r>
      <w:bookmarkStart w:id="0" w:name="_GoBack"/>
      <w:bookmarkEnd w:id="0"/>
      <w:r>
        <w:rPr>
          <w:rFonts w:hint="eastAsia" w:ascii="仿宋_GB2312" w:hAnsi="Times New Roman" w:eastAsia="仿宋_GB2312" w:cs="Times New Roman"/>
          <w:color w:val="333333"/>
          <w:sz w:val="32"/>
          <w:szCs w:val="32"/>
        </w:rPr>
        <w:t>出贡献。更是全区各界政协委员认识政协、了解信息、交流经验的重要渠道，进一步提高人民政协在群众中的威信和影响力。</w:t>
      </w:r>
    </w:p>
    <w:p w14:paraId="5A25BA8D">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14:paraId="607310D1">
      <w:pPr>
        <w:pStyle w:val="4"/>
        <w:shd w:val="clear" w:color="auto" w:fill="FFFFFF"/>
        <w:spacing w:before="0" w:beforeAutospacing="0" w:after="0" w:afterAutospacing="0" w:line="450" w:lineRule="atLeast"/>
        <w:ind w:firstLine="640"/>
        <w:jc w:val="both"/>
        <w:rPr>
          <w:rFonts w:ascii="仿宋_GB2312" w:eastAsia="仿宋_GB2312" w:hAnsiTheme="minorHAnsi" w:cstheme="minorBidi"/>
          <w:kern w:val="2"/>
          <w:sz w:val="32"/>
          <w:szCs w:val="32"/>
        </w:rPr>
      </w:pPr>
      <w:r>
        <w:rPr>
          <w:rFonts w:hint="eastAsia" w:ascii="仿宋_GB2312" w:eastAsia="仿宋_GB2312" w:hAnsiTheme="minorHAnsi" w:cstheme="minorBidi"/>
          <w:kern w:val="2"/>
          <w:sz w:val="32"/>
          <w:szCs w:val="32"/>
        </w:rPr>
        <w:t>根据项目执行情况和项目绩效情况，经评价，根据年初制定的计划按时为委员征订政协各报刊杂志征订工作，通过这项工作更激发了委员们学习的积极性，不仅能积极宣传政协工作的亮点，更能使社会各界了解政协，支持政协，使政协工作符合发展要求、更具时代特色。该项目总体完成情况良好，资金绩效目标明确，预算编制合理，项目和资金管理较为落实，整体项目效果良好。该项目总得分为</w:t>
      </w:r>
      <w:r>
        <w:rPr>
          <w:rFonts w:ascii="仿宋_GB2312" w:eastAsia="仿宋_GB2312" w:hAnsiTheme="minorHAnsi" w:cstheme="minorBidi"/>
          <w:kern w:val="2"/>
          <w:sz w:val="32"/>
          <w:szCs w:val="32"/>
        </w:rPr>
        <w:t>100</w:t>
      </w:r>
      <w:r>
        <w:rPr>
          <w:rFonts w:hint="eastAsia" w:ascii="仿宋_GB2312" w:eastAsia="仿宋_GB2312" w:hAnsiTheme="minorHAnsi" w:cstheme="minorBidi"/>
          <w:kern w:val="2"/>
          <w:sz w:val="32"/>
          <w:szCs w:val="32"/>
        </w:rPr>
        <w:t>分，自评得分96分，项目综合绩效评价等级为优秀。</w:t>
      </w:r>
    </w:p>
    <w:p w14:paraId="27DCFF11">
      <w:pPr>
        <w:pStyle w:val="4"/>
        <w:shd w:val="clear" w:color="auto" w:fill="FFFFFF"/>
        <w:spacing w:before="0" w:beforeAutospacing="0" w:after="0" w:afterAutospacing="0" w:line="450" w:lineRule="atLeast"/>
        <w:ind w:firstLine="640"/>
        <w:jc w:val="both"/>
        <w:rPr>
          <w:rFonts w:ascii="仿宋_GB2312" w:eastAsia="仿宋_GB2312"/>
          <w:sz w:val="32"/>
          <w:szCs w:val="32"/>
        </w:rPr>
      </w:pPr>
      <w:r>
        <w:rPr>
          <w:rFonts w:hint="eastAsia" w:ascii="黑体" w:hAnsi="黑体" w:eastAsia="黑体"/>
          <w:sz w:val="32"/>
          <w:szCs w:val="32"/>
        </w:rPr>
        <w:t>五、存在的问题及改进措施</w:t>
      </w:r>
    </w:p>
    <w:p w14:paraId="6CC978E1">
      <w:pPr>
        <w:rPr>
          <w:rFonts w:hint="eastAsia" w:ascii="仿宋_GB2312" w:eastAsia="仿宋_GB2312"/>
          <w:sz w:val="32"/>
          <w:szCs w:val="32"/>
        </w:rPr>
      </w:pPr>
      <w:r>
        <w:rPr>
          <w:rFonts w:hint="eastAsia" w:ascii="楷体_GB2312" w:hAnsi="楷体_GB2312" w:eastAsia="楷体_GB2312"/>
          <w:b/>
          <w:bCs/>
          <w:color w:val="FF0000"/>
          <w:sz w:val="32"/>
          <w:szCs w:val="32"/>
        </w:rPr>
        <w:t xml:space="preserve">    </w:t>
      </w:r>
      <w:r>
        <w:rPr>
          <w:rFonts w:hint="eastAsia" w:ascii="仿宋_GB2312" w:eastAsia="仿宋_GB2312"/>
          <w:sz w:val="32"/>
          <w:szCs w:val="32"/>
        </w:rPr>
        <w:t>无问题</w:t>
      </w:r>
    </w:p>
    <w:p w14:paraId="76B6EA53">
      <w:pPr>
        <w:ind w:firstLine="640" w:firstLineChars="200"/>
        <w:rPr>
          <w:rFonts w:hint="eastAsia" w:ascii="仿宋_GB2312" w:eastAsia="仿宋_GB2312"/>
          <w:color w:val="FF0000"/>
          <w:sz w:val="32"/>
          <w:szCs w:val="32"/>
        </w:rPr>
      </w:pPr>
      <w:r>
        <w:rPr>
          <w:rFonts w:hint="eastAsia" w:ascii="黑体" w:eastAsia="黑体"/>
          <w:sz w:val="32"/>
          <w:szCs w:val="32"/>
        </w:rPr>
        <w:t>六、评价工作组人员名单及签字</w:t>
      </w:r>
    </w:p>
    <w:p w14:paraId="479FE6B2">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 xml:space="preserve">石建国： 鹿泉区政协       区政协办主任                                                   </w:t>
      </w:r>
    </w:p>
    <w:p w14:paraId="41001ED5">
      <w:pPr>
        <w:adjustRightInd w:val="0"/>
        <w:snapToGrid w:val="0"/>
        <w:spacing w:line="360" w:lineRule="auto"/>
        <w:rPr>
          <w:rFonts w:ascii="仿宋_GB2312" w:eastAsia="仿宋_GB2312"/>
          <w:sz w:val="32"/>
          <w:szCs w:val="32"/>
        </w:rPr>
      </w:pPr>
      <w:r>
        <w:rPr>
          <w:rFonts w:hint="eastAsia" w:ascii="仿宋_GB2312" w:eastAsia="仿宋_GB2312"/>
          <w:sz w:val="32"/>
          <w:szCs w:val="32"/>
        </w:rPr>
        <w:t xml:space="preserve">    郭  亮： 鹿泉区政协       区政协提案委主任</w:t>
      </w:r>
    </w:p>
    <w:p w14:paraId="7056505F">
      <w:pPr>
        <w:adjustRightInd w:val="0"/>
        <w:snapToGrid w:val="0"/>
        <w:spacing w:line="360" w:lineRule="auto"/>
        <w:rPr>
          <w:rFonts w:ascii="仿宋_GB2312" w:eastAsia="仿宋_GB2312"/>
          <w:sz w:val="32"/>
          <w:szCs w:val="32"/>
        </w:rPr>
      </w:pPr>
      <w:r>
        <w:rPr>
          <w:rFonts w:hint="eastAsia" w:ascii="仿宋_GB2312" w:eastAsia="仿宋_GB2312"/>
          <w:sz w:val="32"/>
          <w:szCs w:val="32"/>
        </w:rPr>
        <w:t xml:space="preserve">    王爱华： 鹿泉区政协       区政协办会计</w:t>
      </w:r>
    </w:p>
    <w:p w14:paraId="5D800DDF">
      <w:pPr>
        <w:ind w:firstLine="640" w:firstLineChars="200"/>
        <w:rPr>
          <w:rFonts w:hint="eastAsia" w:ascii="仿宋_GB2312" w:eastAsia="仿宋_GB2312"/>
          <w:color w:val="FF0000"/>
          <w:sz w:val="32"/>
          <w:szCs w:val="32"/>
        </w:rPr>
      </w:pPr>
    </w:p>
    <w:p w14:paraId="433EF8BC">
      <w:pPr>
        <w:ind w:firstLine="640" w:firstLineChars="200"/>
        <w:rPr>
          <w:rFonts w:ascii="仿宋_GB2312" w:eastAsia="仿宋_GB2312"/>
          <w:color w:val="FF0000"/>
          <w:sz w:val="32"/>
          <w:szCs w:val="32"/>
        </w:rPr>
      </w:pPr>
    </w:p>
    <w:p w14:paraId="3B9FD82C">
      <w:pPr>
        <w:adjustRightInd w:val="0"/>
        <w:spacing w:line="360" w:lineRule="auto"/>
        <w:ind w:firstLine="640" w:firstLineChars="200"/>
        <w:rPr>
          <w:rFonts w:ascii="仿宋_GB2312" w:hAnsi="宋体" w:eastAsia="仿宋_GB2312"/>
          <w:sz w:val="32"/>
          <w:szCs w:val="32"/>
        </w:rPr>
      </w:pPr>
    </w:p>
    <w:p w14:paraId="031BE3EF">
      <w:pPr>
        <w:adjustRightInd w:val="0"/>
        <w:spacing w:line="360" w:lineRule="auto"/>
        <w:ind w:firstLine="640" w:firstLineChars="200"/>
        <w:rPr>
          <w:rFonts w:ascii="仿宋_GB2312" w:hAnsi="宋体" w:eastAsia="仿宋_GB2312"/>
          <w:sz w:val="32"/>
          <w:szCs w:val="32"/>
        </w:rPr>
      </w:pPr>
    </w:p>
    <w:p w14:paraId="13875193">
      <w:pPr>
        <w:adjustRightInd w:val="0"/>
        <w:spacing w:line="360" w:lineRule="auto"/>
        <w:ind w:firstLine="640" w:firstLineChars="200"/>
        <w:rPr>
          <w:rFonts w:ascii="仿宋_GB2312" w:hAnsi="宋体" w:eastAsia="仿宋_GB2312"/>
          <w:sz w:val="32"/>
          <w:szCs w:val="32"/>
        </w:rPr>
      </w:pPr>
    </w:p>
    <w:p w14:paraId="29684CCE">
      <w:pPr>
        <w:adjustRightInd w:val="0"/>
        <w:spacing w:line="360" w:lineRule="auto"/>
        <w:ind w:firstLine="640" w:firstLineChars="200"/>
        <w:rPr>
          <w:rFonts w:ascii="仿宋_GB2312" w:hAnsi="宋体" w:eastAsia="仿宋_GB2312"/>
          <w:sz w:val="32"/>
          <w:szCs w:val="32"/>
        </w:rPr>
      </w:pPr>
    </w:p>
    <w:p w14:paraId="5757CE35">
      <w:pPr>
        <w:adjustRightInd w:val="0"/>
        <w:spacing w:line="360" w:lineRule="auto"/>
        <w:ind w:firstLine="640" w:firstLineChars="200"/>
        <w:rPr>
          <w:rFonts w:hint="eastAsia" w:ascii="仿宋_GB2312" w:hAnsi="宋体" w:eastAsia="仿宋_GB2312"/>
          <w:sz w:val="32"/>
          <w:szCs w:val="32"/>
        </w:rPr>
      </w:pPr>
    </w:p>
    <w:p w14:paraId="5CBB9367">
      <w:pPr>
        <w:adjustRightInd w:val="0"/>
        <w:spacing w:line="360" w:lineRule="auto"/>
        <w:ind w:firstLine="640" w:firstLineChars="200"/>
        <w:rPr>
          <w:rFonts w:hint="eastAsia" w:ascii="仿宋_GB2312" w:hAnsi="宋体" w:eastAsia="仿宋_GB2312"/>
          <w:sz w:val="32"/>
          <w:szCs w:val="32"/>
        </w:rPr>
      </w:pPr>
    </w:p>
    <w:p w14:paraId="3EC90981">
      <w:pPr>
        <w:adjustRightInd w:val="0"/>
        <w:spacing w:line="360" w:lineRule="auto"/>
        <w:ind w:firstLine="640" w:firstLineChars="200"/>
        <w:rPr>
          <w:rFonts w:hint="eastAsia" w:ascii="仿宋_GB2312" w:hAnsi="宋体" w:eastAsia="仿宋_GB2312"/>
          <w:sz w:val="32"/>
          <w:szCs w:val="32"/>
        </w:rPr>
      </w:pPr>
    </w:p>
    <w:p w14:paraId="1E465BAF">
      <w:pPr>
        <w:adjustRightInd w:val="0"/>
        <w:spacing w:line="360" w:lineRule="auto"/>
        <w:ind w:firstLine="640" w:firstLineChars="200"/>
        <w:rPr>
          <w:rFonts w:hint="eastAsia" w:ascii="仿宋_GB2312" w:hAnsi="宋体" w:eastAsia="仿宋_GB2312"/>
          <w:sz w:val="32"/>
          <w:szCs w:val="32"/>
        </w:rPr>
      </w:pPr>
    </w:p>
    <w:p w14:paraId="080DAEE0">
      <w:pPr>
        <w:adjustRightInd w:val="0"/>
        <w:spacing w:line="360" w:lineRule="auto"/>
        <w:ind w:firstLine="640" w:firstLineChars="200"/>
        <w:rPr>
          <w:rFonts w:hint="eastAsia" w:ascii="仿宋_GB2312" w:hAnsi="宋体" w:eastAsia="仿宋_GB2312"/>
          <w:sz w:val="32"/>
          <w:szCs w:val="32"/>
        </w:rPr>
      </w:pPr>
    </w:p>
    <w:p w14:paraId="04C85D12">
      <w:pPr>
        <w:adjustRightInd w:val="0"/>
        <w:spacing w:line="360" w:lineRule="auto"/>
        <w:ind w:firstLine="640" w:firstLineChars="200"/>
        <w:rPr>
          <w:rFonts w:hint="eastAsia" w:ascii="仿宋_GB2312" w:hAnsi="宋体" w:eastAsia="仿宋_GB2312"/>
          <w:sz w:val="32"/>
          <w:szCs w:val="32"/>
        </w:rPr>
      </w:pPr>
    </w:p>
    <w:p w14:paraId="24C289D7">
      <w:pPr>
        <w:adjustRightInd w:val="0"/>
        <w:spacing w:line="360" w:lineRule="auto"/>
        <w:ind w:firstLine="640" w:firstLineChars="200"/>
        <w:rPr>
          <w:rFonts w:ascii="仿宋_GB2312" w:hAnsi="宋体" w:eastAsia="仿宋_GB2312"/>
          <w:sz w:val="32"/>
          <w:szCs w:val="32"/>
        </w:rPr>
      </w:pPr>
    </w:p>
    <w:p w14:paraId="78E3F4E4">
      <w:pPr>
        <w:adjustRightInd w:val="0"/>
        <w:spacing w:line="360" w:lineRule="auto"/>
        <w:rPr>
          <w:rFonts w:ascii="仿宋_GB2312" w:hAnsi="宋体" w:eastAsia="仿宋_GB2312"/>
          <w:sz w:val="32"/>
          <w:szCs w:val="32"/>
        </w:rPr>
      </w:pPr>
      <w:r>
        <w:rPr>
          <w:rFonts w:hint="eastAsia" w:ascii="黑体" w:hAnsi="黑体" w:eastAsia="黑体" w:cs="黑体"/>
          <w:sz w:val="32"/>
          <w:szCs w:val="32"/>
        </w:rPr>
        <w:t>附件</w:t>
      </w:r>
    </w:p>
    <w:p w14:paraId="6E477B97">
      <w:pPr>
        <w:adjustRightInd w:val="0"/>
        <w:spacing w:line="360" w:lineRule="auto"/>
        <w:rPr>
          <w:rFonts w:ascii="仿宋_GB2312" w:hAnsi="宋体" w:eastAsia="仿宋_GB2312"/>
          <w:sz w:val="32"/>
          <w:szCs w:val="32"/>
        </w:rPr>
      </w:pPr>
    </w:p>
    <w:p w14:paraId="0A35A1E2">
      <w:pPr>
        <w:adjustRightInd w:val="0"/>
        <w:spacing w:line="360" w:lineRule="auto"/>
        <w:ind w:firstLine="643" w:firstLineChars="200"/>
        <w:rPr>
          <w:rFonts w:ascii="宋体" w:hAnsi="宋体"/>
          <w:b/>
          <w:color w:val="000000"/>
          <w:sz w:val="32"/>
          <w:shd w:val="clear" w:color="auto" w:fill="FFFFFF"/>
        </w:rPr>
      </w:pPr>
      <w:r>
        <w:rPr>
          <w:rFonts w:hint="eastAsia" w:ascii="宋体" w:hAnsi="宋体"/>
          <w:b/>
          <w:color w:val="000000"/>
          <w:sz w:val="32"/>
          <w:shd w:val="clear" w:color="auto" w:fill="FFFFFF"/>
        </w:rPr>
        <w:t xml:space="preserve">      </w:t>
      </w:r>
      <w:r>
        <w:rPr>
          <w:rFonts w:ascii="宋体" w:hAnsi="宋体"/>
          <w:b/>
          <w:color w:val="000000"/>
          <w:sz w:val="32"/>
          <w:shd w:val="clear" w:color="auto" w:fill="FFFFFF"/>
        </w:rPr>
        <w:t>项目支出绩效评价共性指标体系框架</w:t>
      </w:r>
    </w:p>
    <w:tbl>
      <w:tblPr>
        <w:tblStyle w:val="5"/>
        <w:tblW w:w="8646" w:type="dxa"/>
        <w:tblInd w:w="0" w:type="dxa"/>
        <w:tblLayout w:type="fixed"/>
        <w:tblCellMar>
          <w:top w:w="0" w:type="dxa"/>
          <w:left w:w="108" w:type="dxa"/>
          <w:bottom w:w="0" w:type="dxa"/>
          <w:right w:w="108" w:type="dxa"/>
        </w:tblCellMar>
      </w:tblPr>
      <w:tblGrid>
        <w:gridCol w:w="742"/>
        <w:gridCol w:w="778"/>
        <w:gridCol w:w="818"/>
        <w:gridCol w:w="2414"/>
        <w:gridCol w:w="3894"/>
      </w:tblGrid>
      <w:tr w14:paraId="63A14D5D">
        <w:tblPrEx>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BFE4B67">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一级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70B3BD5">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二级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8A518C1">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B23A75E">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CF49E68">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指标说明</w:t>
            </w:r>
          </w:p>
        </w:tc>
      </w:tr>
      <w:tr w14:paraId="6DF8517C">
        <w:tblPrEx>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01CF6855">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57573F58">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13B3DA6">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BB9655E">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4CD50FD">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①项目是否按照规定的程序申请设立；</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②所提交的文件、材料是否符合相关要求；</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③事前是否已经过必要的可行性研究、专家论证、风险评估、集体决策等。</w:t>
            </w:r>
          </w:p>
        </w:tc>
      </w:tr>
      <w:tr w14:paraId="55B0A04F">
        <w:tblPrEx>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7218AF53">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F7F110F">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AD4849E">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0A81DD2">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3BA6577">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①是否符合国家相关法律法规、国民经济发展规划和党委政府决策；</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②是否与项目实施单位或委托单位职责密切相关；</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③项目是否为促进事业发展所必需；</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④项目预期产出效益和效果是否符合正常的业绩水平。</w:t>
            </w:r>
          </w:p>
        </w:tc>
      </w:tr>
      <w:tr w14:paraId="66297BBC">
        <w:tblPrEx>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B2BC18A">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32427BC">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BDA7BA0">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D0E9C02">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33F6531">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①是否将项目绩效目标细化分解为具体的绩效指标；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②是否通过清晰、可衡量的指标值予以体现；</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③是否与项目年度任务数或计划数相对应；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④是否与预算确定的项目投资额或资金量相匹配。</w:t>
            </w:r>
          </w:p>
        </w:tc>
      </w:tr>
      <w:tr w14:paraId="7370CDC9">
        <w:tblPrEx>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451192A1">
            <w:pPr>
              <w:rPr>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13A15407">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E98FA5D">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A5E161B">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11FB53C">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资金到位率=（实际到位资金/计划投入资金）×100%。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实际到位资金：一定时期（本年度或项目期）内实际落实到具体项目的资金。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计划投入资金：一定时期（本年度或项目期）内计划投入到具体项目的资金。</w:t>
            </w:r>
          </w:p>
        </w:tc>
      </w:tr>
      <w:tr w14:paraId="6679022C">
        <w:tblPrEx>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14:paraId="77C33163">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6A17855E">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506991A">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2ED3546">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A795642">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到位及时率=（及时到位资金/应到位资金）×100%。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及时到位资金：截至规定时点实际落实到具体项目的资金。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应到位资金：按照合同或项目进度要求截至规定时点应落实到具体项目的资金。</w:t>
            </w:r>
          </w:p>
        </w:tc>
      </w:tr>
      <w:tr w14:paraId="4B1ADE13">
        <w:tblPrEx>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14:paraId="0BA3A0E9">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过   程</w:t>
            </w:r>
          </w:p>
          <w:p w14:paraId="5E4FF665">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14:paraId="09C7644F">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业务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49F4E6D">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05D3709">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AF0DE5F">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①是否已制定或具有相应的业务管理制度；</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②业务管理制度是否合法、合规、完整。</w:t>
            </w:r>
          </w:p>
        </w:tc>
      </w:tr>
      <w:tr w14:paraId="5A511D14">
        <w:tblPrEx>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27B95698">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745073C2">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3DDECFD">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86B658B">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64F0E47">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①是否遵守相关法律法规和业务管理规定；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②项目调整及支出调整手续是否完备；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③项目合同书、验收报告、技术鉴定等资料是否齐全并及时归档；</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④项目实施的人员条件、场地设备、信息支撑等是否落实到位。</w:t>
            </w:r>
          </w:p>
        </w:tc>
      </w:tr>
      <w:tr w14:paraId="74938B25">
        <w:tblPrEx>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01B0E475">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597E6825">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12687ED">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4EFE9FE">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8830803">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①是否已制定或具有相应的项目质量要求或标准；</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②是否采取了相应的项目质量检查、验收等必需的控制措施或手段。</w:t>
            </w:r>
          </w:p>
        </w:tc>
      </w:tr>
      <w:tr w14:paraId="43C6676D">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61380179">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14:paraId="797495A3">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A9AF1AF">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725CA0A">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3D311D9">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①是否已制定或具有相应的项目资金管理办法；</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②项目资金管理办法是否符合相关财务会计制度的规定。</w:t>
            </w:r>
          </w:p>
        </w:tc>
      </w:tr>
      <w:tr w14:paraId="038B300F">
        <w:tblPrEx>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12A7CE16">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4AF3AEE0">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4E50F73">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0D27934">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9B38564">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①是否符合国家财经法规和财务管理制度以及有关专项资金管理办法的规定；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②资金的拨付是否有完整的审批程序和手续；</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③项目的重大开支是否经过评估认证；</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④是否符合项目预算批复或合同规定的用途；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⑤是否存在截留、挤占、挪用、虚列支出等情况。</w:t>
            </w:r>
          </w:p>
        </w:tc>
      </w:tr>
      <w:tr w14:paraId="08729508">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7834122D">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31E60F6C">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47FA38F">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618E3E4">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86F6DFE">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①是否已制定或具有相应的监控机制；</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②是否采取了相应的财务检查等必要的监控措施或手段。</w:t>
            </w:r>
          </w:p>
        </w:tc>
      </w:tr>
      <w:tr w14:paraId="52EA1346">
        <w:tblPrEx>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14:paraId="20D7A057">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33B85A1E">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6467F4B">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0523775">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876AE95">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实际完成率=（实际产出数/计划产出数）×100%。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实际产出数：一定时期（本年度或项目期）内项目实际产出的产品或提供的服务数量。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计划产出数：项目绩效目标确定的在一定时期（本年度或项目期）内计划产出的产品或提供的服务数量。</w:t>
            </w:r>
          </w:p>
        </w:tc>
      </w:tr>
      <w:tr w14:paraId="77FC83CE">
        <w:tblPrEx>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6B11F7A6">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4B4E1E53">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13DEE94">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60201C7">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93583F6">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完成及时率=[（计划完成时间-实际完成时间）/计划完成时间]×100%。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实际完成时间：项目实施单位完成该项目实际所耗用的时间。</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计划完成时间：按照项目实施计划或相关规定完成该项目所需的时间。</w:t>
            </w:r>
          </w:p>
        </w:tc>
      </w:tr>
      <w:tr w14:paraId="232B000B">
        <w:tblPrEx>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34279A10">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40E4C9BC">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87A69C7">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9C4CF17">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DF31D01">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质量达标率=（质量达标产出数/实际产出数）×100%。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质量达标产出数：一定时期（本年度或项目期）内实际达到既定质量标准的产品或服务数量。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既定质量标准是指项目实施单位设立绩效目标时依据计划标准、行业标准、历史标准或其他标准而设定的绩效指标值。</w:t>
            </w:r>
          </w:p>
        </w:tc>
      </w:tr>
      <w:tr w14:paraId="24127B93">
        <w:tblPrEx>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4DBDAD8C">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71586B31">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FFDB6DE">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C02DAAE">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52AAA25">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成本节约率=[（计划成本-实际成本）/计划成本]×100%。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实际成本：项目实施单位如期、保质、保量完成既定工作目标实际所耗费的支出。</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计划成本：项目实施单位为完成工作目标计划安排的支出，一般以项目预算为参考。</w:t>
            </w:r>
          </w:p>
        </w:tc>
      </w:tr>
      <w:tr w14:paraId="225080DE">
        <w:tblPrEx>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14:paraId="7EA96B6B">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78052CE8">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37B04C7">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D609B04">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46B5886D">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14:paraId="10B74090">
        <w:tblPrEx>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56606471">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9FC74B8">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86EC633">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DDC0534">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C3D896A">
            <w:pPr>
              <w:autoSpaceDN w:val="0"/>
              <w:rPr>
                <w:sz w:val="22"/>
              </w:rPr>
            </w:pPr>
          </w:p>
        </w:tc>
      </w:tr>
      <w:tr w14:paraId="283EC1E8">
        <w:tblPrEx>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004254D3">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4A9C421">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4C3A992">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73B6578">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05189DF1">
            <w:pPr>
              <w:autoSpaceDN w:val="0"/>
              <w:rPr>
                <w:sz w:val="22"/>
              </w:rPr>
            </w:pPr>
          </w:p>
        </w:tc>
      </w:tr>
      <w:tr w14:paraId="0DEAA9FD">
        <w:tblPrEx>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32E1244A">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B507C93">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9F13299">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B83007A">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137DB161">
            <w:pPr>
              <w:autoSpaceDN w:val="0"/>
              <w:rPr>
                <w:sz w:val="22"/>
              </w:rPr>
            </w:pPr>
          </w:p>
        </w:tc>
      </w:tr>
      <w:tr w14:paraId="4ACED995">
        <w:tblPrEx>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01669075">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4CA94151">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CC99ED7">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D9D904D">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7AFCA1B">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社会公众或服务对象是指因该项目实施而受到影响的部门（单位）、群体或个人。一般采取社会调查的方式。</w:t>
            </w:r>
          </w:p>
        </w:tc>
      </w:tr>
    </w:tbl>
    <w:p w14:paraId="492B7FE0">
      <w:pPr>
        <w:adjustRightInd w:val="0"/>
        <w:spacing w:line="360" w:lineRule="auto"/>
        <w:ind w:firstLine="640" w:firstLineChars="200"/>
        <w:rPr>
          <w:rFonts w:ascii="仿宋_GB2312" w:hAnsi="宋体" w:eastAsia="仿宋_GB2312"/>
          <w:sz w:val="32"/>
          <w:szCs w:val="32"/>
        </w:rPr>
      </w:pPr>
    </w:p>
    <w:p w14:paraId="208E4A86">
      <w:pPr>
        <w:adjustRightInd w:val="0"/>
        <w:spacing w:line="360" w:lineRule="auto"/>
        <w:rPr>
          <w:rFonts w:ascii="仿宋_GB2312" w:hAnsi="宋体" w:eastAsia="仿宋_GB2312"/>
          <w:sz w:val="32"/>
          <w:szCs w:val="32"/>
        </w:rPr>
      </w:pPr>
    </w:p>
    <w:p w14:paraId="7AFA2457"/>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华文楷体">
    <w:altName w:val="宋体"/>
    <w:panose1 w:val="00000000000000000000"/>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38CFEF">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952CEB">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14:paraId="1B109AC3">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F55F99">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C7531">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NkNjJjMjk0OGI0NWIyM2UyZWQwYjI2NzY4NjliYTIifQ=="/>
  </w:docVars>
  <w:rsids>
    <w:rsidRoot w:val="2A2941B7"/>
    <w:rsid w:val="00083992"/>
    <w:rsid w:val="0010160F"/>
    <w:rsid w:val="003C7CDE"/>
    <w:rsid w:val="005D0262"/>
    <w:rsid w:val="0061050E"/>
    <w:rsid w:val="00703CE0"/>
    <w:rsid w:val="008670FF"/>
    <w:rsid w:val="009E2F9A"/>
    <w:rsid w:val="00BF7426"/>
    <w:rsid w:val="00E66E85"/>
    <w:rsid w:val="00E92A49"/>
    <w:rsid w:val="00F4074F"/>
    <w:rsid w:val="00FA0360"/>
    <w:rsid w:val="1A5A2452"/>
    <w:rsid w:val="2A2941B7"/>
    <w:rsid w:val="5F7288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styleId="7">
    <w:name w:val="page number"/>
    <w:basedOn w:val="6"/>
    <w:qFormat/>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725</Words>
  <Characters>4135</Characters>
  <Lines>34</Lines>
  <Paragraphs>9</Paragraphs>
  <TotalTime>0</TotalTime>
  <ScaleCrop>false</ScaleCrop>
  <LinksUpToDate>false</LinksUpToDate>
  <CharactersWithSpaces>4851</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2020-01-02T16:14:00Z</dcterms:created>
  <dc:creator>838</dc:creator>
  <cp:lastModifiedBy>uos</cp:lastModifiedBy>
  <dcterms:modified xsi:type="dcterms:W3CDTF">2024-12-14T11:23:31Z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00C64F746D5FED2333FA5C67E267B982_42</vt:lpwstr>
  </property>
</Properties>
</file>