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2023年部门预算信息公开目录</w:t>
      </w:r>
    </w:p>
    <w:p>
      <w:pPr>
        <w:jc w:val="center"/>
      </w:pPr>
    </w:p>
    <w:p>
      <w:r>
        <w:rPr>
          <w:rFonts w:ascii="方正楷体_GBK" w:hAnsi="方正楷体_GBK" w:eastAsia="方正楷体_GBK" w:cs="方正楷体_GBK"/>
          <w:b/>
          <w:color w:val="000000"/>
          <w:sz w:val="28"/>
        </w:rPr>
        <w:t>部门预算公开表</w:t>
      </w:r>
    </w:p>
    <w:p>
      <w:pPr>
        <w:pStyle w:val="3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2"/>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2"/>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2"/>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2"/>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2"/>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2"/>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32"/>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32"/>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2"/>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32"/>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pPr>
        <w:pStyle w:val="32"/>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w:t>
      </w:r>
      <w:r>
        <w:rPr>
          <w:rFonts w:hint="eastAsia"/>
          <w:lang w:val="en-US" w:eastAsia="zh-CN"/>
        </w:rPr>
        <w:t>8</w:t>
      </w:r>
      <w:r>
        <w:fldChar w:fldCharType="end"/>
      </w:r>
      <w:r>
        <w:fldChar w:fldCharType="end"/>
      </w:r>
    </w:p>
    <w:p>
      <w:pPr>
        <w:pStyle w:val="32"/>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w:t>
      </w:r>
      <w:r>
        <w:rPr>
          <w:rFonts w:hint="eastAsia"/>
          <w:lang w:val="en-US" w:eastAsia="zh-CN"/>
        </w:rPr>
        <w:t>8</w:t>
      </w:r>
      <w:r>
        <w:fldChar w:fldCharType="end"/>
      </w:r>
      <w:r>
        <w:fldChar w:fldCharType="end"/>
      </w:r>
    </w:p>
    <w:p>
      <w:pPr>
        <w:pStyle w:val="32"/>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w:t>
      </w:r>
      <w:r>
        <w:rPr>
          <w:rFonts w:hint="eastAsia"/>
          <w:lang w:val="en-US" w:eastAsia="zh-CN"/>
        </w:rPr>
        <w:t>8</w:t>
      </w:r>
      <w:r>
        <w:fldChar w:fldCharType="end"/>
      </w:r>
      <w:r>
        <w:fldChar w:fldCharType="end"/>
      </w:r>
    </w:p>
    <w:p>
      <w:pPr>
        <w:pStyle w:val="32"/>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3</w:t>
      </w:r>
      <w:r>
        <w:rPr>
          <w:rFonts w:hint="eastAsia"/>
          <w:lang w:val="en-US" w:eastAsia="zh-CN"/>
        </w:rPr>
        <w:t>2</w:t>
      </w:r>
      <w:r>
        <w:fldChar w:fldCharType="end"/>
      </w:r>
      <w:r>
        <w:fldChar w:fldCharType="end"/>
      </w:r>
    </w:p>
    <w:p>
      <w:pPr>
        <w:pStyle w:val="32"/>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3</w:t>
      </w:r>
      <w:r>
        <w:rPr>
          <w:rFonts w:hint="eastAsia"/>
          <w:lang w:val="en-US" w:eastAsia="zh-CN"/>
        </w:rPr>
        <w:t>2</w:t>
      </w:r>
      <w:r>
        <w:fldChar w:fldCharType="end"/>
      </w:r>
      <w:r>
        <w:fldChar w:fldCharType="end"/>
      </w:r>
    </w:p>
    <w:p>
      <w:pPr>
        <w:pStyle w:val="32"/>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3</w:t>
      </w:r>
      <w:r>
        <w:rPr>
          <w:rFonts w:hint="eastAsia"/>
          <w:lang w:val="en-US" w:eastAsia="zh-CN"/>
        </w:rPr>
        <w:t>3</w:t>
      </w:r>
      <w:r>
        <w:fldChar w:fldCharType="end"/>
      </w:r>
      <w:r>
        <w:fldChar w:fldCharType="end"/>
      </w:r>
    </w:p>
    <w:p>
      <w:pPr>
        <w:pStyle w:val="32"/>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34</w:t>
      </w:r>
      <w:r>
        <w:fldChar w:fldCharType="end"/>
      </w:r>
      <w:r>
        <w:fldChar w:fldCharType="end"/>
      </w:r>
    </w:p>
    <w:p>
      <w:r>
        <w:fldChar w:fldCharType="end"/>
      </w:r>
    </w:p>
    <w:p>
      <w:pPr>
        <w:sectPr>
          <w:headerReference r:id="rId3" w:type="default"/>
          <w:footerReference r:id="rId4" w:type="default"/>
          <w:pgSz w:w="16840" w:h="11900" w:orient="landscape"/>
          <w:pgMar w:top="1587" w:right="1134" w:bottom="1361" w:left="1134" w:header="720" w:footer="720" w:gutter="0"/>
          <w:pgNumType w:start="1"/>
          <w:cols w:space="720" w:num="1"/>
        </w:sectPr>
      </w:pPr>
    </w:p>
    <w:p>
      <w:pPr>
        <w:jc w:val="center"/>
      </w:pP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301石家庄市鹿泉区人民政府办公室</w:t>
            </w:r>
          </w:p>
        </w:tc>
        <w:tc>
          <w:tcPr>
            <w:tcW w:w="2126" w:type="dxa"/>
            <w:tcBorders>
              <w:top w:val="single" w:color="FFFFFF" w:sz="6" w:space="0"/>
              <w:left w:val="single" w:color="FFFFFF" w:sz="6" w:space="0"/>
              <w:right w:val="single" w:color="FFFFFF" w:sz="6" w:space="0"/>
            </w:tcBorders>
            <w:vAlign w:val="center"/>
          </w:tcPr>
          <w:p>
            <w:pPr>
              <w:pStyle w:val="8"/>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2"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6" w:type="dxa"/>
            <w:vAlign w:val="center"/>
          </w:tcPr>
          <w:p>
            <w:pPr>
              <w:pStyle w:val="12"/>
            </w:pPr>
            <w:r>
              <w:t>一、一般公共预算拨款收入</w:t>
            </w:r>
          </w:p>
        </w:tc>
        <w:tc>
          <w:tcPr>
            <w:tcW w:w="2126" w:type="dxa"/>
            <w:vAlign w:val="center"/>
          </w:tcPr>
          <w:p>
            <w:pPr>
              <w:pStyle w:val="11"/>
            </w:pPr>
            <w:r>
              <w:t>1416.46</w:t>
            </w:r>
          </w:p>
        </w:tc>
        <w:tc>
          <w:tcPr>
            <w:tcW w:w="4535" w:type="dxa"/>
            <w:vAlign w:val="center"/>
          </w:tcPr>
          <w:p>
            <w:pPr>
              <w:pStyle w:val="12"/>
            </w:pPr>
            <w:r>
              <w:t>一、一般公共服务支出</w:t>
            </w:r>
          </w:p>
        </w:tc>
        <w:tc>
          <w:tcPr>
            <w:tcW w:w="2126" w:type="dxa"/>
            <w:vAlign w:val="center"/>
          </w:tcPr>
          <w:p>
            <w:pPr>
              <w:pStyle w:val="11"/>
            </w:pPr>
            <w:r>
              <w:t>1135.57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6"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6"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6"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6"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6"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6"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6"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141.91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6"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51.52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69.46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6" w:type="dxa"/>
            <w:vAlign w:val="center"/>
          </w:tcPr>
          <w:p>
            <w:pPr>
              <w:pStyle w:val="14"/>
            </w:pPr>
            <w:r>
              <w:t>本年收入合计</w:t>
            </w:r>
          </w:p>
        </w:tc>
        <w:tc>
          <w:tcPr>
            <w:tcW w:w="2126" w:type="dxa"/>
            <w:vAlign w:val="center"/>
          </w:tcPr>
          <w:p>
            <w:pPr>
              <w:pStyle w:val="15"/>
            </w:pPr>
            <w:r>
              <w:t>1416.46</w:t>
            </w:r>
          </w:p>
        </w:tc>
        <w:tc>
          <w:tcPr>
            <w:tcW w:w="4535" w:type="dxa"/>
            <w:vAlign w:val="center"/>
          </w:tcPr>
          <w:p>
            <w:pPr>
              <w:pStyle w:val="14"/>
            </w:pPr>
            <w:r>
              <w:t>本年支出合计</w:t>
            </w:r>
          </w:p>
        </w:tc>
        <w:tc>
          <w:tcPr>
            <w:tcW w:w="2126" w:type="dxa"/>
            <w:vAlign w:val="center"/>
          </w:tcPr>
          <w:p>
            <w:pPr>
              <w:pStyle w:val="15"/>
            </w:pPr>
            <w:r>
              <w:t>1416.46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6"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6" w:type="dxa"/>
            <w:vAlign w:val="center"/>
          </w:tcPr>
          <w:p>
            <w:pPr>
              <w:pStyle w:val="14"/>
            </w:pPr>
            <w:r>
              <w:t>收入总计</w:t>
            </w:r>
          </w:p>
        </w:tc>
        <w:tc>
          <w:tcPr>
            <w:tcW w:w="2126" w:type="dxa"/>
            <w:vAlign w:val="center"/>
          </w:tcPr>
          <w:p>
            <w:pPr>
              <w:pStyle w:val="15"/>
            </w:pPr>
            <w:r>
              <w:t>1416.46</w:t>
            </w:r>
          </w:p>
        </w:tc>
        <w:tc>
          <w:tcPr>
            <w:tcW w:w="4535" w:type="dxa"/>
            <w:vAlign w:val="center"/>
          </w:tcPr>
          <w:p>
            <w:pPr>
              <w:pStyle w:val="14"/>
            </w:pPr>
            <w:r>
              <w:t>支出总计</w:t>
            </w:r>
          </w:p>
        </w:tc>
        <w:tc>
          <w:tcPr>
            <w:tcW w:w="2126" w:type="dxa"/>
            <w:vAlign w:val="center"/>
          </w:tcPr>
          <w:p>
            <w:pPr>
              <w:pStyle w:val="15"/>
            </w:pPr>
            <w:r>
              <w:t>1416.46</w:t>
            </w:r>
          </w:p>
        </w:tc>
      </w:tr>
    </w:tbl>
    <w:p>
      <w:pPr>
        <w:sectPr>
          <w:footerReference r:id="rId5" w:type="default"/>
          <w:footerReference r:id="rId6" w:type="even"/>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301石家庄市鹿泉区人民政府办公室</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预算年度：2023</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1416.46</w:t>
            </w:r>
          </w:p>
        </w:tc>
        <w:tc>
          <w:tcPr>
            <w:tcW w:w="1134" w:type="dxa"/>
            <w:vAlign w:val="center"/>
          </w:tcPr>
          <w:p>
            <w:pPr>
              <w:pStyle w:val="15"/>
            </w:pPr>
            <w:r>
              <w:t>1416.46</w:t>
            </w:r>
          </w:p>
        </w:tc>
        <w:tc>
          <w:tcPr>
            <w:tcW w:w="1134" w:type="dxa"/>
            <w:vAlign w:val="center"/>
          </w:tcPr>
          <w:p>
            <w:pPr>
              <w:pStyle w:val="15"/>
            </w:pPr>
            <w:r>
              <w:t>1416.46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1135.57</w:t>
            </w:r>
          </w:p>
        </w:tc>
        <w:tc>
          <w:tcPr>
            <w:tcW w:w="1134" w:type="dxa"/>
            <w:vAlign w:val="center"/>
          </w:tcPr>
          <w:p>
            <w:pPr>
              <w:pStyle w:val="11"/>
            </w:pPr>
            <w:r>
              <w:t>1135.57</w:t>
            </w:r>
          </w:p>
        </w:tc>
        <w:tc>
          <w:tcPr>
            <w:tcW w:w="1134" w:type="dxa"/>
            <w:vAlign w:val="center"/>
          </w:tcPr>
          <w:p>
            <w:pPr>
              <w:pStyle w:val="11"/>
            </w:pPr>
            <w:r>
              <w:t>1135.57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1135.57</w:t>
            </w:r>
          </w:p>
        </w:tc>
        <w:tc>
          <w:tcPr>
            <w:tcW w:w="1134" w:type="dxa"/>
            <w:vAlign w:val="center"/>
          </w:tcPr>
          <w:p>
            <w:pPr>
              <w:pStyle w:val="11"/>
            </w:pPr>
            <w:r>
              <w:t>1135.57</w:t>
            </w:r>
          </w:p>
        </w:tc>
        <w:tc>
          <w:tcPr>
            <w:tcW w:w="1134" w:type="dxa"/>
            <w:vAlign w:val="center"/>
          </w:tcPr>
          <w:p>
            <w:pPr>
              <w:pStyle w:val="11"/>
            </w:pPr>
            <w:r>
              <w:t>1135.57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pPr>
            <w:r>
              <w:t>714.07</w:t>
            </w:r>
          </w:p>
        </w:tc>
        <w:tc>
          <w:tcPr>
            <w:tcW w:w="1134" w:type="dxa"/>
            <w:vAlign w:val="center"/>
          </w:tcPr>
          <w:p>
            <w:pPr>
              <w:pStyle w:val="11"/>
            </w:pPr>
            <w:r>
              <w:t>714.07</w:t>
            </w:r>
          </w:p>
        </w:tc>
        <w:tc>
          <w:tcPr>
            <w:tcW w:w="1134" w:type="dxa"/>
            <w:vAlign w:val="center"/>
          </w:tcPr>
          <w:p>
            <w:pPr>
              <w:pStyle w:val="11"/>
            </w:pPr>
            <w:r>
              <w:t>714.07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2010302</w:t>
            </w:r>
          </w:p>
        </w:tc>
        <w:tc>
          <w:tcPr>
            <w:tcW w:w="1559" w:type="dxa"/>
            <w:vAlign w:val="center"/>
          </w:tcPr>
          <w:p>
            <w:pPr>
              <w:pStyle w:val="12"/>
            </w:pPr>
            <w:r>
              <w:t>一般行政管理事务</w:t>
            </w:r>
          </w:p>
        </w:tc>
        <w:tc>
          <w:tcPr>
            <w:tcW w:w="1134" w:type="dxa"/>
            <w:vAlign w:val="center"/>
          </w:tcPr>
          <w:p>
            <w:pPr>
              <w:pStyle w:val="11"/>
            </w:pPr>
            <w:r>
              <w:t>411.50</w:t>
            </w:r>
          </w:p>
        </w:tc>
        <w:tc>
          <w:tcPr>
            <w:tcW w:w="1134" w:type="dxa"/>
            <w:vAlign w:val="center"/>
          </w:tcPr>
          <w:p>
            <w:pPr>
              <w:pStyle w:val="11"/>
            </w:pPr>
            <w:r>
              <w:t>411.50</w:t>
            </w:r>
          </w:p>
        </w:tc>
        <w:tc>
          <w:tcPr>
            <w:tcW w:w="1134" w:type="dxa"/>
            <w:vAlign w:val="center"/>
          </w:tcPr>
          <w:p>
            <w:pPr>
              <w:pStyle w:val="11"/>
            </w:pPr>
            <w:r>
              <w:t>411.50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2010399</w:t>
            </w:r>
          </w:p>
        </w:tc>
        <w:tc>
          <w:tcPr>
            <w:tcW w:w="1559" w:type="dxa"/>
            <w:vAlign w:val="center"/>
          </w:tcPr>
          <w:p>
            <w:pPr>
              <w:pStyle w:val="12"/>
            </w:pPr>
            <w:r>
              <w:t>其他政府办公厅（室）及相关机构事务支出</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141.91</w:t>
            </w:r>
          </w:p>
        </w:tc>
        <w:tc>
          <w:tcPr>
            <w:tcW w:w="1134" w:type="dxa"/>
            <w:vAlign w:val="center"/>
          </w:tcPr>
          <w:p>
            <w:pPr>
              <w:pStyle w:val="11"/>
            </w:pPr>
            <w:r>
              <w:t>141.91</w:t>
            </w:r>
          </w:p>
        </w:tc>
        <w:tc>
          <w:tcPr>
            <w:tcW w:w="1134" w:type="dxa"/>
            <w:vAlign w:val="center"/>
          </w:tcPr>
          <w:p>
            <w:pPr>
              <w:pStyle w:val="11"/>
            </w:pPr>
            <w:r>
              <w:t>141.91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141.91</w:t>
            </w:r>
          </w:p>
        </w:tc>
        <w:tc>
          <w:tcPr>
            <w:tcW w:w="1134" w:type="dxa"/>
            <w:vAlign w:val="center"/>
          </w:tcPr>
          <w:p>
            <w:pPr>
              <w:pStyle w:val="11"/>
            </w:pPr>
            <w:r>
              <w:t>141.91</w:t>
            </w:r>
          </w:p>
        </w:tc>
        <w:tc>
          <w:tcPr>
            <w:tcW w:w="1134" w:type="dxa"/>
            <w:vAlign w:val="center"/>
          </w:tcPr>
          <w:p>
            <w:pPr>
              <w:pStyle w:val="11"/>
            </w:pPr>
            <w:r>
              <w:t>141.91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71.30</w:t>
            </w:r>
          </w:p>
        </w:tc>
        <w:tc>
          <w:tcPr>
            <w:tcW w:w="1134" w:type="dxa"/>
            <w:vAlign w:val="center"/>
          </w:tcPr>
          <w:p>
            <w:pPr>
              <w:pStyle w:val="11"/>
            </w:pPr>
            <w:r>
              <w:t>71.30</w:t>
            </w:r>
          </w:p>
        </w:tc>
        <w:tc>
          <w:tcPr>
            <w:tcW w:w="1134" w:type="dxa"/>
            <w:vAlign w:val="center"/>
          </w:tcPr>
          <w:p>
            <w:pPr>
              <w:pStyle w:val="11"/>
            </w:pPr>
            <w:r>
              <w:t>71.30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70.61</w:t>
            </w:r>
          </w:p>
        </w:tc>
        <w:tc>
          <w:tcPr>
            <w:tcW w:w="1134" w:type="dxa"/>
            <w:vAlign w:val="center"/>
          </w:tcPr>
          <w:p>
            <w:pPr>
              <w:pStyle w:val="11"/>
            </w:pPr>
            <w:r>
              <w:t>70.61</w:t>
            </w:r>
          </w:p>
        </w:tc>
        <w:tc>
          <w:tcPr>
            <w:tcW w:w="1134" w:type="dxa"/>
            <w:vAlign w:val="center"/>
          </w:tcPr>
          <w:p>
            <w:pPr>
              <w:pStyle w:val="11"/>
            </w:pPr>
            <w:r>
              <w:t>70.61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51.52</w:t>
            </w:r>
          </w:p>
        </w:tc>
        <w:tc>
          <w:tcPr>
            <w:tcW w:w="1134" w:type="dxa"/>
            <w:vAlign w:val="center"/>
          </w:tcPr>
          <w:p>
            <w:pPr>
              <w:pStyle w:val="11"/>
            </w:pPr>
            <w:r>
              <w:t>51.52</w:t>
            </w:r>
          </w:p>
        </w:tc>
        <w:tc>
          <w:tcPr>
            <w:tcW w:w="1134" w:type="dxa"/>
            <w:vAlign w:val="center"/>
          </w:tcPr>
          <w:p>
            <w:pPr>
              <w:pStyle w:val="11"/>
            </w:pPr>
            <w:r>
              <w:t>51.52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51.52</w:t>
            </w:r>
          </w:p>
        </w:tc>
        <w:tc>
          <w:tcPr>
            <w:tcW w:w="1134" w:type="dxa"/>
            <w:vAlign w:val="center"/>
          </w:tcPr>
          <w:p>
            <w:pPr>
              <w:pStyle w:val="11"/>
            </w:pPr>
            <w:r>
              <w:t>51.52</w:t>
            </w:r>
          </w:p>
        </w:tc>
        <w:tc>
          <w:tcPr>
            <w:tcW w:w="1134" w:type="dxa"/>
            <w:vAlign w:val="center"/>
          </w:tcPr>
          <w:p>
            <w:pPr>
              <w:pStyle w:val="11"/>
            </w:pPr>
            <w:r>
              <w:t>51.52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51.52</w:t>
            </w:r>
          </w:p>
        </w:tc>
        <w:tc>
          <w:tcPr>
            <w:tcW w:w="1134" w:type="dxa"/>
            <w:vAlign w:val="center"/>
          </w:tcPr>
          <w:p>
            <w:pPr>
              <w:pStyle w:val="11"/>
            </w:pPr>
            <w:r>
              <w:t>51.52</w:t>
            </w:r>
          </w:p>
        </w:tc>
        <w:tc>
          <w:tcPr>
            <w:tcW w:w="1134" w:type="dxa"/>
            <w:vAlign w:val="center"/>
          </w:tcPr>
          <w:p>
            <w:pPr>
              <w:pStyle w:val="11"/>
            </w:pPr>
            <w:r>
              <w:t>51.52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211</w:t>
            </w:r>
          </w:p>
        </w:tc>
        <w:tc>
          <w:tcPr>
            <w:tcW w:w="1559" w:type="dxa"/>
            <w:vAlign w:val="center"/>
          </w:tcPr>
          <w:p>
            <w:pPr>
              <w:pStyle w:val="12"/>
            </w:pPr>
            <w:r>
              <w:t>节能环保支出</w:t>
            </w:r>
          </w:p>
        </w:tc>
        <w:tc>
          <w:tcPr>
            <w:tcW w:w="1134" w:type="dxa"/>
            <w:vAlign w:val="center"/>
          </w:tcPr>
          <w:p>
            <w:pPr>
              <w:pStyle w:val="11"/>
            </w:pPr>
            <w:r>
              <w:t>18.00</w:t>
            </w:r>
          </w:p>
        </w:tc>
        <w:tc>
          <w:tcPr>
            <w:tcW w:w="1134" w:type="dxa"/>
            <w:vAlign w:val="center"/>
          </w:tcPr>
          <w:p>
            <w:pPr>
              <w:pStyle w:val="11"/>
            </w:pPr>
            <w:r>
              <w:t>18.00</w:t>
            </w:r>
          </w:p>
        </w:tc>
        <w:tc>
          <w:tcPr>
            <w:tcW w:w="1134" w:type="dxa"/>
            <w:vAlign w:val="center"/>
          </w:tcPr>
          <w:p>
            <w:pPr>
              <w:pStyle w:val="11"/>
            </w:pPr>
            <w:r>
              <w:t>18.00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21103</w:t>
            </w:r>
          </w:p>
        </w:tc>
        <w:tc>
          <w:tcPr>
            <w:tcW w:w="1559" w:type="dxa"/>
            <w:vAlign w:val="center"/>
          </w:tcPr>
          <w:p>
            <w:pPr>
              <w:pStyle w:val="12"/>
            </w:pPr>
            <w:r>
              <w:t>污染防治</w:t>
            </w:r>
          </w:p>
        </w:tc>
        <w:tc>
          <w:tcPr>
            <w:tcW w:w="1134" w:type="dxa"/>
            <w:vAlign w:val="center"/>
          </w:tcPr>
          <w:p>
            <w:pPr>
              <w:pStyle w:val="11"/>
            </w:pPr>
            <w:r>
              <w:t>18.00</w:t>
            </w:r>
          </w:p>
        </w:tc>
        <w:tc>
          <w:tcPr>
            <w:tcW w:w="1134" w:type="dxa"/>
            <w:vAlign w:val="center"/>
          </w:tcPr>
          <w:p>
            <w:pPr>
              <w:pStyle w:val="11"/>
            </w:pPr>
            <w:r>
              <w:t>18.00</w:t>
            </w:r>
          </w:p>
        </w:tc>
        <w:tc>
          <w:tcPr>
            <w:tcW w:w="1134" w:type="dxa"/>
            <w:vAlign w:val="center"/>
          </w:tcPr>
          <w:p>
            <w:pPr>
              <w:pStyle w:val="11"/>
            </w:pPr>
            <w:r>
              <w:t>18.00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2110301</w:t>
            </w:r>
          </w:p>
        </w:tc>
        <w:tc>
          <w:tcPr>
            <w:tcW w:w="1559" w:type="dxa"/>
            <w:vAlign w:val="center"/>
          </w:tcPr>
          <w:p>
            <w:pPr>
              <w:pStyle w:val="12"/>
            </w:pPr>
            <w:r>
              <w:t>大气</w:t>
            </w:r>
          </w:p>
        </w:tc>
        <w:tc>
          <w:tcPr>
            <w:tcW w:w="1134" w:type="dxa"/>
            <w:vAlign w:val="center"/>
          </w:tcPr>
          <w:p>
            <w:pPr>
              <w:pStyle w:val="11"/>
            </w:pPr>
            <w:r>
              <w:t>18.00</w:t>
            </w:r>
          </w:p>
        </w:tc>
        <w:tc>
          <w:tcPr>
            <w:tcW w:w="1134" w:type="dxa"/>
            <w:vAlign w:val="center"/>
          </w:tcPr>
          <w:p>
            <w:pPr>
              <w:pStyle w:val="11"/>
            </w:pPr>
            <w:r>
              <w:t>18.00</w:t>
            </w:r>
          </w:p>
        </w:tc>
        <w:tc>
          <w:tcPr>
            <w:tcW w:w="1134" w:type="dxa"/>
            <w:vAlign w:val="center"/>
          </w:tcPr>
          <w:p>
            <w:pPr>
              <w:pStyle w:val="11"/>
            </w:pPr>
            <w:r>
              <w:t>18.00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69.46</w:t>
            </w:r>
          </w:p>
        </w:tc>
        <w:tc>
          <w:tcPr>
            <w:tcW w:w="1134" w:type="dxa"/>
            <w:vAlign w:val="center"/>
          </w:tcPr>
          <w:p>
            <w:pPr>
              <w:pStyle w:val="11"/>
            </w:pPr>
            <w:r>
              <w:t>69.46</w:t>
            </w:r>
          </w:p>
        </w:tc>
        <w:tc>
          <w:tcPr>
            <w:tcW w:w="1134" w:type="dxa"/>
            <w:vAlign w:val="center"/>
          </w:tcPr>
          <w:p>
            <w:pPr>
              <w:pStyle w:val="11"/>
            </w:pPr>
            <w:r>
              <w:t>69.46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69.46</w:t>
            </w:r>
          </w:p>
        </w:tc>
        <w:tc>
          <w:tcPr>
            <w:tcW w:w="1134" w:type="dxa"/>
            <w:vAlign w:val="center"/>
          </w:tcPr>
          <w:p>
            <w:pPr>
              <w:pStyle w:val="11"/>
            </w:pPr>
            <w:r>
              <w:t>69.46</w:t>
            </w:r>
          </w:p>
        </w:tc>
        <w:tc>
          <w:tcPr>
            <w:tcW w:w="1134" w:type="dxa"/>
            <w:vAlign w:val="center"/>
          </w:tcPr>
          <w:p>
            <w:pPr>
              <w:pStyle w:val="11"/>
            </w:pPr>
            <w:r>
              <w:t>69.46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69.46</w:t>
            </w:r>
          </w:p>
        </w:tc>
        <w:tc>
          <w:tcPr>
            <w:tcW w:w="1134" w:type="dxa"/>
            <w:vAlign w:val="center"/>
          </w:tcPr>
          <w:p>
            <w:pPr>
              <w:pStyle w:val="11"/>
            </w:pPr>
            <w:r>
              <w:t>69.46</w:t>
            </w:r>
          </w:p>
        </w:tc>
        <w:tc>
          <w:tcPr>
            <w:tcW w:w="1134" w:type="dxa"/>
            <w:vAlign w:val="center"/>
          </w:tcPr>
          <w:p>
            <w:pPr>
              <w:pStyle w:val="11"/>
            </w:pPr>
            <w:r>
              <w:t>69.46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301石家庄市鹿泉区人民政府办公室</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预算年度：2023</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6"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6" w:type="dxa"/>
            <w:vAlign w:val="center"/>
          </w:tcPr>
          <w:p>
            <w:pPr>
              <w:pStyle w:val="14"/>
            </w:pPr>
            <w:r>
              <w:t>合计</w:t>
            </w:r>
          </w:p>
        </w:tc>
        <w:tc>
          <w:tcPr>
            <w:tcW w:w="1361" w:type="dxa"/>
            <w:vAlign w:val="center"/>
          </w:tcPr>
          <w:p>
            <w:pPr>
              <w:pStyle w:val="15"/>
            </w:pPr>
            <w:r>
              <w:t>1416.46</w:t>
            </w:r>
          </w:p>
        </w:tc>
        <w:tc>
          <w:tcPr>
            <w:tcW w:w="1361" w:type="dxa"/>
            <w:vAlign w:val="center"/>
          </w:tcPr>
          <w:p>
            <w:pPr>
              <w:pStyle w:val="15"/>
            </w:pPr>
            <w:r>
              <w:t>976.96</w:t>
            </w:r>
          </w:p>
        </w:tc>
        <w:tc>
          <w:tcPr>
            <w:tcW w:w="1361" w:type="dxa"/>
            <w:vAlign w:val="center"/>
          </w:tcPr>
          <w:p>
            <w:pPr>
              <w:pStyle w:val="15"/>
            </w:pPr>
            <w:r>
              <w:t>439.50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6" w:type="dxa"/>
            <w:vAlign w:val="center"/>
          </w:tcPr>
          <w:p>
            <w:pPr>
              <w:pStyle w:val="12"/>
            </w:pPr>
            <w:r>
              <w:t>一般公共服务支出</w:t>
            </w:r>
          </w:p>
        </w:tc>
        <w:tc>
          <w:tcPr>
            <w:tcW w:w="1361" w:type="dxa"/>
            <w:vAlign w:val="center"/>
          </w:tcPr>
          <w:p>
            <w:pPr>
              <w:pStyle w:val="11"/>
            </w:pPr>
            <w:r>
              <w:t>1135.57</w:t>
            </w:r>
          </w:p>
        </w:tc>
        <w:tc>
          <w:tcPr>
            <w:tcW w:w="1361" w:type="dxa"/>
            <w:vAlign w:val="center"/>
          </w:tcPr>
          <w:p>
            <w:pPr>
              <w:pStyle w:val="11"/>
            </w:pPr>
            <w:r>
              <w:t>714.07</w:t>
            </w:r>
          </w:p>
        </w:tc>
        <w:tc>
          <w:tcPr>
            <w:tcW w:w="1361" w:type="dxa"/>
            <w:vAlign w:val="center"/>
          </w:tcPr>
          <w:p>
            <w:pPr>
              <w:pStyle w:val="11"/>
            </w:pPr>
            <w:r>
              <w:t>421.50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6" w:type="dxa"/>
            <w:vAlign w:val="center"/>
          </w:tcPr>
          <w:p>
            <w:pPr>
              <w:pStyle w:val="12"/>
            </w:pPr>
            <w:r>
              <w:t>政府办公厅（室）及相关机构事务</w:t>
            </w:r>
          </w:p>
        </w:tc>
        <w:tc>
          <w:tcPr>
            <w:tcW w:w="1361" w:type="dxa"/>
            <w:vAlign w:val="center"/>
          </w:tcPr>
          <w:p>
            <w:pPr>
              <w:pStyle w:val="11"/>
            </w:pPr>
            <w:r>
              <w:t>1135.57</w:t>
            </w:r>
          </w:p>
        </w:tc>
        <w:tc>
          <w:tcPr>
            <w:tcW w:w="1361" w:type="dxa"/>
            <w:vAlign w:val="center"/>
          </w:tcPr>
          <w:p>
            <w:pPr>
              <w:pStyle w:val="11"/>
            </w:pPr>
            <w:r>
              <w:t>714.07</w:t>
            </w:r>
          </w:p>
        </w:tc>
        <w:tc>
          <w:tcPr>
            <w:tcW w:w="1361" w:type="dxa"/>
            <w:vAlign w:val="center"/>
          </w:tcPr>
          <w:p>
            <w:pPr>
              <w:pStyle w:val="11"/>
            </w:pPr>
            <w:r>
              <w:t>421.50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2010301</w:t>
            </w:r>
          </w:p>
        </w:tc>
        <w:tc>
          <w:tcPr>
            <w:tcW w:w="4536" w:type="dxa"/>
            <w:vAlign w:val="center"/>
          </w:tcPr>
          <w:p>
            <w:pPr>
              <w:pStyle w:val="12"/>
            </w:pPr>
            <w:r>
              <w:t>行政运行</w:t>
            </w:r>
          </w:p>
        </w:tc>
        <w:tc>
          <w:tcPr>
            <w:tcW w:w="1361" w:type="dxa"/>
            <w:vAlign w:val="center"/>
          </w:tcPr>
          <w:p>
            <w:pPr>
              <w:pStyle w:val="11"/>
            </w:pPr>
            <w:r>
              <w:t>714.07</w:t>
            </w:r>
          </w:p>
        </w:tc>
        <w:tc>
          <w:tcPr>
            <w:tcW w:w="1361" w:type="dxa"/>
            <w:vAlign w:val="center"/>
          </w:tcPr>
          <w:p>
            <w:pPr>
              <w:pStyle w:val="11"/>
            </w:pPr>
            <w:r>
              <w:t>714.07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2010302</w:t>
            </w:r>
          </w:p>
        </w:tc>
        <w:tc>
          <w:tcPr>
            <w:tcW w:w="4536" w:type="dxa"/>
            <w:vAlign w:val="center"/>
          </w:tcPr>
          <w:p>
            <w:pPr>
              <w:pStyle w:val="12"/>
            </w:pPr>
            <w:r>
              <w:t>一般行政管理事务</w:t>
            </w:r>
          </w:p>
        </w:tc>
        <w:tc>
          <w:tcPr>
            <w:tcW w:w="1361" w:type="dxa"/>
            <w:vAlign w:val="center"/>
          </w:tcPr>
          <w:p>
            <w:pPr>
              <w:pStyle w:val="11"/>
            </w:pPr>
            <w:r>
              <w:t>411.50</w:t>
            </w:r>
          </w:p>
        </w:tc>
        <w:tc>
          <w:tcPr>
            <w:tcW w:w="1361" w:type="dxa"/>
            <w:vAlign w:val="center"/>
          </w:tcPr>
          <w:p>
            <w:pPr>
              <w:pStyle w:val="11"/>
            </w:pPr>
          </w:p>
        </w:tc>
        <w:tc>
          <w:tcPr>
            <w:tcW w:w="1361" w:type="dxa"/>
            <w:vAlign w:val="center"/>
          </w:tcPr>
          <w:p>
            <w:pPr>
              <w:pStyle w:val="11"/>
            </w:pPr>
            <w:r>
              <w:t>411.50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2010399</w:t>
            </w:r>
          </w:p>
        </w:tc>
        <w:tc>
          <w:tcPr>
            <w:tcW w:w="4536" w:type="dxa"/>
            <w:vAlign w:val="center"/>
          </w:tcPr>
          <w:p>
            <w:pPr>
              <w:pStyle w:val="12"/>
            </w:pPr>
            <w:r>
              <w:t>其他政府办公厅（室）及相关机构事务支出</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w:t>
            </w:r>
          </w:p>
        </w:tc>
        <w:tc>
          <w:tcPr>
            <w:tcW w:w="4536" w:type="dxa"/>
            <w:vAlign w:val="center"/>
          </w:tcPr>
          <w:p>
            <w:pPr>
              <w:pStyle w:val="12"/>
            </w:pPr>
            <w:r>
              <w:t>社会保障和就业支出</w:t>
            </w:r>
          </w:p>
        </w:tc>
        <w:tc>
          <w:tcPr>
            <w:tcW w:w="1361" w:type="dxa"/>
            <w:vAlign w:val="center"/>
          </w:tcPr>
          <w:p>
            <w:pPr>
              <w:pStyle w:val="11"/>
            </w:pPr>
            <w:r>
              <w:t>141.91</w:t>
            </w:r>
          </w:p>
        </w:tc>
        <w:tc>
          <w:tcPr>
            <w:tcW w:w="1361" w:type="dxa"/>
            <w:vAlign w:val="center"/>
          </w:tcPr>
          <w:p>
            <w:pPr>
              <w:pStyle w:val="11"/>
            </w:pPr>
            <w:r>
              <w:t>141.91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w:t>
            </w:r>
          </w:p>
        </w:tc>
        <w:tc>
          <w:tcPr>
            <w:tcW w:w="4536" w:type="dxa"/>
            <w:vAlign w:val="center"/>
          </w:tcPr>
          <w:p>
            <w:pPr>
              <w:pStyle w:val="12"/>
            </w:pPr>
            <w:r>
              <w:t>行政事业单位养老支出</w:t>
            </w:r>
          </w:p>
        </w:tc>
        <w:tc>
          <w:tcPr>
            <w:tcW w:w="1361" w:type="dxa"/>
            <w:vAlign w:val="center"/>
          </w:tcPr>
          <w:p>
            <w:pPr>
              <w:pStyle w:val="11"/>
            </w:pPr>
            <w:r>
              <w:t>141.91</w:t>
            </w:r>
          </w:p>
        </w:tc>
        <w:tc>
          <w:tcPr>
            <w:tcW w:w="1361" w:type="dxa"/>
            <w:vAlign w:val="center"/>
          </w:tcPr>
          <w:p>
            <w:pPr>
              <w:pStyle w:val="11"/>
            </w:pPr>
            <w:r>
              <w:t>141.91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2080501</w:t>
            </w:r>
          </w:p>
        </w:tc>
        <w:tc>
          <w:tcPr>
            <w:tcW w:w="4536" w:type="dxa"/>
            <w:vAlign w:val="center"/>
          </w:tcPr>
          <w:p>
            <w:pPr>
              <w:pStyle w:val="12"/>
            </w:pPr>
            <w:r>
              <w:t>行政单位离退休</w:t>
            </w:r>
          </w:p>
        </w:tc>
        <w:tc>
          <w:tcPr>
            <w:tcW w:w="1361" w:type="dxa"/>
            <w:vAlign w:val="center"/>
          </w:tcPr>
          <w:p>
            <w:pPr>
              <w:pStyle w:val="11"/>
            </w:pPr>
            <w:r>
              <w:t>71.30</w:t>
            </w:r>
          </w:p>
        </w:tc>
        <w:tc>
          <w:tcPr>
            <w:tcW w:w="1361" w:type="dxa"/>
            <w:vAlign w:val="center"/>
          </w:tcPr>
          <w:p>
            <w:pPr>
              <w:pStyle w:val="11"/>
            </w:pPr>
            <w:r>
              <w:t>71.30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2080505</w:t>
            </w:r>
          </w:p>
        </w:tc>
        <w:tc>
          <w:tcPr>
            <w:tcW w:w="4536" w:type="dxa"/>
            <w:vAlign w:val="center"/>
          </w:tcPr>
          <w:p>
            <w:pPr>
              <w:pStyle w:val="12"/>
            </w:pPr>
            <w:r>
              <w:t>机关事业单位基本养老保险缴费支出</w:t>
            </w:r>
          </w:p>
        </w:tc>
        <w:tc>
          <w:tcPr>
            <w:tcW w:w="1361" w:type="dxa"/>
            <w:vAlign w:val="center"/>
          </w:tcPr>
          <w:p>
            <w:pPr>
              <w:pStyle w:val="11"/>
            </w:pPr>
            <w:r>
              <w:t>70.61</w:t>
            </w:r>
          </w:p>
        </w:tc>
        <w:tc>
          <w:tcPr>
            <w:tcW w:w="1361" w:type="dxa"/>
            <w:vAlign w:val="center"/>
          </w:tcPr>
          <w:p>
            <w:pPr>
              <w:pStyle w:val="11"/>
            </w:pPr>
            <w:r>
              <w:t>70.61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w:t>
            </w:r>
          </w:p>
        </w:tc>
        <w:tc>
          <w:tcPr>
            <w:tcW w:w="4536" w:type="dxa"/>
            <w:vAlign w:val="center"/>
          </w:tcPr>
          <w:p>
            <w:pPr>
              <w:pStyle w:val="12"/>
            </w:pPr>
            <w:r>
              <w:t>卫生健康支出</w:t>
            </w:r>
          </w:p>
        </w:tc>
        <w:tc>
          <w:tcPr>
            <w:tcW w:w="1361" w:type="dxa"/>
            <w:vAlign w:val="center"/>
          </w:tcPr>
          <w:p>
            <w:pPr>
              <w:pStyle w:val="11"/>
            </w:pPr>
            <w:r>
              <w:t>51.52</w:t>
            </w:r>
          </w:p>
        </w:tc>
        <w:tc>
          <w:tcPr>
            <w:tcW w:w="1361" w:type="dxa"/>
            <w:vAlign w:val="center"/>
          </w:tcPr>
          <w:p>
            <w:pPr>
              <w:pStyle w:val="11"/>
            </w:pPr>
            <w:r>
              <w:t>51.52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w:t>
            </w:r>
          </w:p>
        </w:tc>
        <w:tc>
          <w:tcPr>
            <w:tcW w:w="4536" w:type="dxa"/>
            <w:vAlign w:val="center"/>
          </w:tcPr>
          <w:p>
            <w:pPr>
              <w:pStyle w:val="12"/>
            </w:pPr>
            <w:r>
              <w:t>行政事业单位医疗</w:t>
            </w:r>
          </w:p>
        </w:tc>
        <w:tc>
          <w:tcPr>
            <w:tcW w:w="1361" w:type="dxa"/>
            <w:vAlign w:val="center"/>
          </w:tcPr>
          <w:p>
            <w:pPr>
              <w:pStyle w:val="11"/>
            </w:pPr>
            <w:r>
              <w:t>51.52</w:t>
            </w:r>
          </w:p>
        </w:tc>
        <w:tc>
          <w:tcPr>
            <w:tcW w:w="1361" w:type="dxa"/>
            <w:vAlign w:val="center"/>
          </w:tcPr>
          <w:p>
            <w:pPr>
              <w:pStyle w:val="11"/>
            </w:pPr>
            <w:r>
              <w:t>51.52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2101101</w:t>
            </w:r>
          </w:p>
        </w:tc>
        <w:tc>
          <w:tcPr>
            <w:tcW w:w="4536" w:type="dxa"/>
            <w:vAlign w:val="center"/>
          </w:tcPr>
          <w:p>
            <w:pPr>
              <w:pStyle w:val="12"/>
            </w:pPr>
            <w:r>
              <w:t>行政单位医疗</w:t>
            </w:r>
          </w:p>
        </w:tc>
        <w:tc>
          <w:tcPr>
            <w:tcW w:w="1361" w:type="dxa"/>
            <w:vAlign w:val="center"/>
          </w:tcPr>
          <w:p>
            <w:pPr>
              <w:pStyle w:val="11"/>
            </w:pPr>
            <w:r>
              <w:t>51.52</w:t>
            </w:r>
          </w:p>
        </w:tc>
        <w:tc>
          <w:tcPr>
            <w:tcW w:w="1361" w:type="dxa"/>
            <w:vAlign w:val="center"/>
          </w:tcPr>
          <w:p>
            <w:pPr>
              <w:pStyle w:val="11"/>
            </w:pPr>
            <w:r>
              <w:t>51.52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211</w:t>
            </w:r>
          </w:p>
        </w:tc>
        <w:tc>
          <w:tcPr>
            <w:tcW w:w="4536" w:type="dxa"/>
            <w:vAlign w:val="center"/>
          </w:tcPr>
          <w:p>
            <w:pPr>
              <w:pStyle w:val="12"/>
            </w:pPr>
            <w:r>
              <w:t>节能环保支出</w:t>
            </w:r>
          </w:p>
        </w:tc>
        <w:tc>
          <w:tcPr>
            <w:tcW w:w="1361" w:type="dxa"/>
            <w:vAlign w:val="center"/>
          </w:tcPr>
          <w:p>
            <w:pPr>
              <w:pStyle w:val="11"/>
            </w:pPr>
            <w:r>
              <w:t>18.00</w:t>
            </w:r>
          </w:p>
        </w:tc>
        <w:tc>
          <w:tcPr>
            <w:tcW w:w="1361" w:type="dxa"/>
            <w:vAlign w:val="center"/>
          </w:tcPr>
          <w:p>
            <w:pPr>
              <w:pStyle w:val="11"/>
            </w:pPr>
          </w:p>
        </w:tc>
        <w:tc>
          <w:tcPr>
            <w:tcW w:w="1361" w:type="dxa"/>
            <w:vAlign w:val="center"/>
          </w:tcPr>
          <w:p>
            <w:pPr>
              <w:pStyle w:val="11"/>
            </w:pPr>
            <w:r>
              <w:t>18.00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21103</w:t>
            </w:r>
          </w:p>
        </w:tc>
        <w:tc>
          <w:tcPr>
            <w:tcW w:w="4536" w:type="dxa"/>
            <w:vAlign w:val="center"/>
          </w:tcPr>
          <w:p>
            <w:pPr>
              <w:pStyle w:val="12"/>
            </w:pPr>
            <w:r>
              <w:t>污染防治</w:t>
            </w:r>
          </w:p>
        </w:tc>
        <w:tc>
          <w:tcPr>
            <w:tcW w:w="1361" w:type="dxa"/>
            <w:vAlign w:val="center"/>
          </w:tcPr>
          <w:p>
            <w:pPr>
              <w:pStyle w:val="11"/>
            </w:pPr>
            <w:r>
              <w:t>18.00</w:t>
            </w:r>
          </w:p>
        </w:tc>
        <w:tc>
          <w:tcPr>
            <w:tcW w:w="1361" w:type="dxa"/>
            <w:vAlign w:val="center"/>
          </w:tcPr>
          <w:p>
            <w:pPr>
              <w:pStyle w:val="11"/>
            </w:pPr>
          </w:p>
        </w:tc>
        <w:tc>
          <w:tcPr>
            <w:tcW w:w="1361" w:type="dxa"/>
            <w:vAlign w:val="center"/>
          </w:tcPr>
          <w:p>
            <w:pPr>
              <w:pStyle w:val="11"/>
            </w:pPr>
            <w:r>
              <w:t>18.00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2110301</w:t>
            </w:r>
          </w:p>
        </w:tc>
        <w:tc>
          <w:tcPr>
            <w:tcW w:w="4536" w:type="dxa"/>
            <w:vAlign w:val="center"/>
          </w:tcPr>
          <w:p>
            <w:pPr>
              <w:pStyle w:val="12"/>
            </w:pPr>
            <w:r>
              <w:t>大气</w:t>
            </w:r>
          </w:p>
        </w:tc>
        <w:tc>
          <w:tcPr>
            <w:tcW w:w="1361" w:type="dxa"/>
            <w:vAlign w:val="center"/>
          </w:tcPr>
          <w:p>
            <w:pPr>
              <w:pStyle w:val="11"/>
            </w:pPr>
            <w:r>
              <w:t>18.00</w:t>
            </w:r>
          </w:p>
        </w:tc>
        <w:tc>
          <w:tcPr>
            <w:tcW w:w="1361" w:type="dxa"/>
            <w:vAlign w:val="center"/>
          </w:tcPr>
          <w:p>
            <w:pPr>
              <w:pStyle w:val="11"/>
            </w:pPr>
          </w:p>
        </w:tc>
        <w:tc>
          <w:tcPr>
            <w:tcW w:w="1361" w:type="dxa"/>
            <w:vAlign w:val="center"/>
          </w:tcPr>
          <w:p>
            <w:pPr>
              <w:pStyle w:val="11"/>
            </w:pPr>
            <w:r>
              <w:t>18.00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w:t>
            </w:r>
          </w:p>
        </w:tc>
        <w:tc>
          <w:tcPr>
            <w:tcW w:w="4536" w:type="dxa"/>
            <w:vAlign w:val="center"/>
          </w:tcPr>
          <w:p>
            <w:pPr>
              <w:pStyle w:val="12"/>
            </w:pPr>
            <w:r>
              <w:t>住房保障支出</w:t>
            </w:r>
          </w:p>
        </w:tc>
        <w:tc>
          <w:tcPr>
            <w:tcW w:w="1361" w:type="dxa"/>
            <w:vAlign w:val="center"/>
          </w:tcPr>
          <w:p>
            <w:pPr>
              <w:pStyle w:val="11"/>
            </w:pPr>
            <w:r>
              <w:t>69.46</w:t>
            </w:r>
          </w:p>
        </w:tc>
        <w:tc>
          <w:tcPr>
            <w:tcW w:w="1361" w:type="dxa"/>
            <w:vAlign w:val="center"/>
          </w:tcPr>
          <w:p>
            <w:pPr>
              <w:pStyle w:val="11"/>
            </w:pPr>
            <w:r>
              <w:t>69.46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22102</w:t>
            </w:r>
          </w:p>
        </w:tc>
        <w:tc>
          <w:tcPr>
            <w:tcW w:w="4536" w:type="dxa"/>
            <w:vAlign w:val="center"/>
          </w:tcPr>
          <w:p>
            <w:pPr>
              <w:pStyle w:val="12"/>
            </w:pPr>
            <w:r>
              <w:t>住房改革支出</w:t>
            </w:r>
          </w:p>
        </w:tc>
        <w:tc>
          <w:tcPr>
            <w:tcW w:w="1361" w:type="dxa"/>
            <w:vAlign w:val="center"/>
          </w:tcPr>
          <w:p>
            <w:pPr>
              <w:pStyle w:val="11"/>
            </w:pPr>
            <w:r>
              <w:t>69.46</w:t>
            </w:r>
          </w:p>
        </w:tc>
        <w:tc>
          <w:tcPr>
            <w:tcW w:w="1361" w:type="dxa"/>
            <w:vAlign w:val="center"/>
          </w:tcPr>
          <w:p>
            <w:pPr>
              <w:pStyle w:val="11"/>
            </w:pPr>
            <w:r>
              <w:t>69.46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2210201</w:t>
            </w:r>
          </w:p>
        </w:tc>
        <w:tc>
          <w:tcPr>
            <w:tcW w:w="4536" w:type="dxa"/>
            <w:vAlign w:val="center"/>
          </w:tcPr>
          <w:p>
            <w:pPr>
              <w:pStyle w:val="12"/>
            </w:pPr>
            <w:r>
              <w:t>住房公积金</w:t>
            </w:r>
          </w:p>
        </w:tc>
        <w:tc>
          <w:tcPr>
            <w:tcW w:w="1361" w:type="dxa"/>
            <w:vAlign w:val="center"/>
          </w:tcPr>
          <w:p>
            <w:pPr>
              <w:pStyle w:val="11"/>
            </w:pPr>
            <w:r>
              <w:t>69.46</w:t>
            </w:r>
          </w:p>
        </w:tc>
        <w:tc>
          <w:tcPr>
            <w:tcW w:w="1361" w:type="dxa"/>
            <w:vAlign w:val="center"/>
          </w:tcPr>
          <w:p>
            <w:pPr>
              <w:pStyle w:val="11"/>
            </w:pPr>
            <w:r>
              <w:t>69.46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301石家庄市鹿泉区人民政府办公室</w:t>
            </w:r>
          </w:p>
        </w:tc>
        <w:tc>
          <w:tcPr>
            <w:tcW w:w="3402" w:type="dxa"/>
            <w:tcBorders>
              <w:top w:val="single" w:color="FFFFFF" w:sz="6" w:space="0"/>
              <w:left w:val="single" w:color="FFFFFF" w:sz="6" w:space="0"/>
              <w:right w:val="single" w:color="FFFFFF" w:sz="6" w:space="0"/>
            </w:tcBorders>
            <w:vAlign w:val="center"/>
          </w:tcPr>
          <w:p>
            <w:pPr>
              <w:pStyle w:val="8"/>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1416.46</w:t>
            </w:r>
          </w:p>
        </w:tc>
        <w:tc>
          <w:tcPr>
            <w:tcW w:w="3402" w:type="dxa"/>
            <w:vAlign w:val="center"/>
          </w:tcPr>
          <w:p>
            <w:pPr>
              <w:pStyle w:val="12"/>
            </w:pPr>
            <w:r>
              <w:t>一、一般公共服务支出</w:t>
            </w:r>
          </w:p>
        </w:tc>
        <w:tc>
          <w:tcPr>
            <w:tcW w:w="1474" w:type="dxa"/>
            <w:vAlign w:val="center"/>
          </w:tcPr>
          <w:p>
            <w:pPr>
              <w:pStyle w:val="11"/>
            </w:pPr>
            <w:r>
              <w:t>1135.57</w:t>
            </w:r>
          </w:p>
        </w:tc>
        <w:tc>
          <w:tcPr>
            <w:tcW w:w="1474" w:type="dxa"/>
            <w:vAlign w:val="center"/>
          </w:tcPr>
          <w:p>
            <w:pPr>
              <w:pStyle w:val="11"/>
            </w:pPr>
            <w:r>
              <w:t>1135.57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141.91</w:t>
            </w:r>
          </w:p>
        </w:tc>
        <w:tc>
          <w:tcPr>
            <w:tcW w:w="1474" w:type="dxa"/>
            <w:vAlign w:val="center"/>
          </w:tcPr>
          <w:p>
            <w:pPr>
              <w:pStyle w:val="11"/>
            </w:pPr>
            <w:r>
              <w:t>141.91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51.52</w:t>
            </w:r>
          </w:p>
        </w:tc>
        <w:tc>
          <w:tcPr>
            <w:tcW w:w="1474" w:type="dxa"/>
            <w:vAlign w:val="center"/>
          </w:tcPr>
          <w:p>
            <w:pPr>
              <w:pStyle w:val="11"/>
            </w:pPr>
            <w:r>
              <w:t>51.52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r>
              <w:t>18.00</w:t>
            </w:r>
          </w:p>
        </w:tc>
        <w:tc>
          <w:tcPr>
            <w:tcW w:w="1474" w:type="dxa"/>
            <w:vAlign w:val="center"/>
          </w:tcPr>
          <w:p>
            <w:pPr>
              <w:pStyle w:val="11"/>
            </w:pPr>
            <w:r>
              <w:t>18.00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69.46</w:t>
            </w:r>
          </w:p>
        </w:tc>
        <w:tc>
          <w:tcPr>
            <w:tcW w:w="1474" w:type="dxa"/>
            <w:vAlign w:val="center"/>
          </w:tcPr>
          <w:p>
            <w:pPr>
              <w:pStyle w:val="11"/>
            </w:pPr>
            <w:r>
              <w:t>69.46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1416.46</w:t>
            </w:r>
          </w:p>
        </w:tc>
        <w:tc>
          <w:tcPr>
            <w:tcW w:w="3402" w:type="dxa"/>
            <w:vAlign w:val="center"/>
          </w:tcPr>
          <w:p>
            <w:pPr>
              <w:pStyle w:val="14"/>
            </w:pPr>
            <w:r>
              <w:t>本年支出合计</w:t>
            </w:r>
          </w:p>
        </w:tc>
        <w:tc>
          <w:tcPr>
            <w:tcW w:w="1474" w:type="dxa"/>
            <w:vAlign w:val="center"/>
          </w:tcPr>
          <w:p>
            <w:pPr>
              <w:pStyle w:val="15"/>
            </w:pPr>
            <w:r>
              <w:t>1416.46</w:t>
            </w:r>
          </w:p>
        </w:tc>
        <w:tc>
          <w:tcPr>
            <w:tcW w:w="1474" w:type="dxa"/>
            <w:vAlign w:val="center"/>
          </w:tcPr>
          <w:p>
            <w:pPr>
              <w:pStyle w:val="15"/>
            </w:pPr>
            <w:r>
              <w:t>1416.46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1416.46</w:t>
            </w:r>
          </w:p>
        </w:tc>
        <w:tc>
          <w:tcPr>
            <w:tcW w:w="3402" w:type="dxa"/>
            <w:vAlign w:val="center"/>
          </w:tcPr>
          <w:p>
            <w:pPr>
              <w:pStyle w:val="14"/>
            </w:pPr>
            <w:r>
              <w:t>支出总计</w:t>
            </w:r>
          </w:p>
        </w:tc>
        <w:tc>
          <w:tcPr>
            <w:tcW w:w="1474" w:type="dxa"/>
            <w:vAlign w:val="center"/>
          </w:tcPr>
          <w:p>
            <w:pPr>
              <w:pStyle w:val="15"/>
            </w:pPr>
            <w:r>
              <w:t>1416.46</w:t>
            </w:r>
          </w:p>
        </w:tc>
        <w:tc>
          <w:tcPr>
            <w:tcW w:w="1474" w:type="dxa"/>
            <w:vAlign w:val="center"/>
          </w:tcPr>
          <w:p>
            <w:pPr>
              <w:pStyle w:val="15"/>
            </w:pPr>
            <w:r>
              <w:t>1416.46</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301石家庄市鹿泉区人民政府办公室</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1416.46</w:t>
            </w:r>
          </w:p>
        </w:tc>
        <w:tc>
          <w:tcPr>
            <w:tcW w:w="2551" w:type="dxa"/>
            <w:vAlign w:val="center"/>
          </w:tcPr>
          <w:p>
            <w:pPr>
              <w:pStyle w:val="15"/>
            </w:pPr>
            <w:r>
              <w:t>976.96</w:t>
            </w:r>
          </w:p>
        </w:tc>
        <w:tc>
          <w:tcPr>
            <w:tcW w:w="2551" w:type="dxa"/>
            <w:vAlign w:val="center"/>
          </w:tcPr>
          <w:p>
            <w:pPr>
              <w:pStyle w:val="15"/>
            </w:pPr>
            <w:r>
              <w:t>439.50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1135.57</w:t>
            </w:r>
          </w:p>
        </w:tc>
        <w:tc>
          <w:tcPr>
            <w:tcW w:w="2551" w:type="dxa"/>
            <w:vAlign w:val="center"/>
          </w:tcPr>
          <w:p>
            <w:pPr>
              <w:pStyle w:val="11"/>
            </w:pPr>
            <w:r>
              <w:t>714.07</w:t>
            </w:r>
          </w:p>
        </w:tc>
        <w:tc>
          <w:tcPr>
            <w:tcW w:w="2551" w:type="dxa"/>
            <w:vAlign w:val="center"/>
          </w:tcPr>
          <w:p>
            <w:pPr>
              <w:pStyle w:val="11"/>
            </w:pPr>
            <w:r>
              <w:t>421.50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1135.57</w:t>
            </w:r>
          </w:p>
        </w:tc>
        <w:tc>
          <w:tcPr>
            <w:tcW w:w="2551" w:type="dxa"/>
            <w:vAlign w:val="center"/>
          </w:tcPr>
          <w:p>
            <w:pPr>
              <w:pStyle w:val="11"/>
            </w:pPr>
            <w:r>
              <w:t>714.07</w:t>
            </w:r>
          </w:p>
        </w:tc>
        <w:tc>
          <w:tcPr>
            <w:tcW w:w="2551" w:type="dxa"/>
            <w:vAlign w:val="center"/>
          </w:tcPr>
          <w:p>
            <w:pPr>
              <w:pStyle w:val="11"/>
            </w:pPr>
            <w:r>
              <w:t>421.50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714.07</w:t>
            </w:r>
          </w:p>
        </w:tc>
        <w:tc>
          <w:tcPr>
            <w:tcW w:w="2551" w:type="dxa"/>
            <w:vAlign w:val="center"/>
          </w:tcPr>
          <w:p>
            <w:pPr>
              <w:pStyle w:val="11"/>
            </w:pPr>
            <w:r>
              <w:t>714.07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2010302</w:t>
            </w:r>
          </w:p>
        </w:tc>
        <w:tc>
          <w:tcPr>
            <w:tcW w:w="4535" w:type="dxa"/>
            <w:vAlign w:val="center"/>
          </w:tcPr>
          <w:p>
            <w:pPr>
              <w:pStyle w:val="12"/>
            </w:pPr>
            <w:r>
              <w:t>一般行政管理事务</w:t>
            </w:r>
          </w:p>
        </w:tc>
        <w:tc>
          <w:tcPr>
            <w:tcW w:w="2551" w:type="dxa"/>
            <w:vAlign w:val="center"/>
          </w:tcPr>
          <w:p>
            <w:pPr>
              <w:pStyle w:val="11"/>
            </w:pPr>
            <w:r>
              <w:t>411.50</w:t>
            </w:r>
          </w:p>
        </w:tc>
        <w:tc>
          <w:tcPr>
            <w:tcW w:w="2551" w:type="dxa"/>
            <w:vAlign w:val="center"/>
          </w:tcPr>
          <w:p>
            <w:pPr>
              <w:pStyle w:val="11"/>
            </w:pPr>
          </w:p>
        </w:tc>
        <w:tc>
          <w:tcPr>
            <w:tcW w:w="2551" w:type="dxa"/>
            <w:vAlign w:val="center"/>
          </w:tcPr>
          <w:p>
            <w:pPr>
              <w:pStyle w:val="11"/>
            </w:pPr>
            <w:r>
              <w:t>411.50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2010399</w:t>
            </w:r>
          </w:p>
        </w:tc>
        <w:tc>
          <w:tcPr>
            <w:tcW w:w="4535" w:type="dxa"/>
            <w:vAlign w:val="center"/>
          </w:tcPr>
          <w:p>
            <w:pPr>
              <w:pStyle w:val="12"/>
            </w:pPr>
            <w:r>
              <w:t>其他政府办公厅（室）及相关机构事务支出</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141.91</w:t>
            </w:r>
          </w:p>
        </w:tc>
        <w:tc>
          <w:tcPr>
            <w:tcW w:w="2551" w:type="dxa"/>
            <w:vAlign w:val="center"/>
          </w:tcPr>
          <w:p>
            <w:pPr>
              <w:pStyle w:val="11"/>
            </w:pPr>
            <w:r>
              <w:t>141.91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141.91</w:t>
            </w:r>
          </w:p>
        </w:tc>
        <w:tc>
          <w:tcPr>
            <w:tcW w:w="2551" w:type="dxa"/>
            <w:vAlign w:val="center"/>
          </w:tcPr>
          <w:p>
            <w:pPr>
              <w:pStyle w:val="11"/>
            </w:pPr>
            <w:r>
              <w:t>141.91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71.30</w:t>
            </w:r>
          </w:p>
        </w:tc>
        <w:tc>
          <w:tcPr>
            <w:tcW w:w="2551" w:type="dxa"/>
            <w:vAlign w:val="center"/>
          </w:tcPr>
          <w:p>
            <w:pPr>
              <w:pStyle w:val="11"/>
            </w:pPr>
            <w:r>
              <w:t>71.30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70.61</w:t>
            </w:r>
          </w:p>
        </w:tc>
        <w:tc>
          <w:tcPr>
            <w:tcW w:w="2551" w:type="dxa"/>
            <w:vAlign w:val="center"/>
          </w:tcPr>
          <w:p>
            <w:pPr>
              <w:pStyle w:val="11"/>
            </w:pPr>
            <w:r>
              <w:t>70.61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51.52</w:t>
            </w:r>
          </w:p>
        </w:tc>
        <w:tc>
          <w:tcPr>
            <w:tcW w:w="2551" w:type="dxa"/>
            <w:vAlign w:val="center"/>
          </w:tcPr>
          <w:p>
            <w:pPr>
              <w:pStyle w:val="11"/>
            </w:pPr>
            <w:r>
              <w:t>51.52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51.52</w:t>
            </w:r>
          </w:p>
        </w:tc>
        <w:tc>
          <w:tcPr>
            <w:tcW w:w="2551" w:type="dxa"/>
            <w:vAlign w:val="center"/>
          </w:tcPr>
          <w:p>
            <w:pPr>
              <w:pStyle w:val="11"/>
            </w:pPr>
            <w:r>
              <w:t>51.52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51.52</w:t>
            </w:r>
          </w:p>
        </w:tc>
        <w:tc>
          <w:tcPr>
            <w:tcW w:w="2551" w:type="dxa"/>
            <w:vAlign w:val="center"/>
          </w:tcPr>
          <w:p>
            <w:pPr>
              <w:pStyle w:val="11"/>
            </w:pPr>
            <w:r>
              <w:t>51.52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211</w:t>
            </w:r>
          </w:p>
        </w:tc>
        <w:tc>
          <w:tcPr>
            <w:tcW w:w="4535" w:type="dxa"/>
            <w:vAlign w:val="center"/>
          </w:tcPr>
          <w:p>
            <w:pPr>
              <w:pStyle w:val="12"/>
            </w:pPr>
            <w:r>
              <w:t>节能环保支出</w:t>
            </w:r>
          </w:p>
        </w:tc>
        <w:tc>
          <w:tcPr>
            <w:tcW w:w="2551" w:type="dxa"/>
            <w:vAlign w:val="center"/>
          </w:tcPr>
          <w:p>
            <w:pPr>
              <w:pStyle w:val="11"/>
            </w:pPr>
            <w:r>
              <w:t>18.00</w:t>
            </w:r>
          </w:p>
        </w:tc>
        <w:tc>
          <w:tcPr>
            <w:tcW w:w="2551" w:type="dxa"/>
            <w:vAlign w:val="center"/>
          </w:tcPr>
          <w:p>
            <w:pPr>
              <w:pStyle w:val="11"/>
            </w:pPr>
          </w:p>
        </w:tc>
        <w:tc>
          <w:tcPr>
            <w:tcW w:w="2551" w:type="dxa"/>
            <w:vAlign w:val="center"/>
          </w:tcPr>
          <w:p>
            <w:pPr>
              <w:pStyle w:val="11"/>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21103</w:t>
            </w:r>
          </w:p>
        </w:tc>
        <w:tc>
          <w:tcPr>
            <w:tcW w:w="4535" w:type="dxa"/>
            <w:vAlign w:val="center"/>
          </w:tcPr>
          <w:p>
            <w:pPr>
              <w:pStyle w:val="12"/>
            </w:pPr>
            <w:r>
              <w:t>污染防治</w:t>
            </w:r>
          </w:p>
        </w:tc>
        <w:tc>
          <w:tcPr>
            <w:tcW w:w="2551" w:type="dxa"/>
            <w:vAlign w:val="center"/>
          </w:tcPr>
          <w:p>
            <w:pPr>
              <w:pStyle w:val="11"/>
            </w:pPr>
            <w:r>
              <w:t>18.00</w:t>
            </w:r>
          </w:p>
        </w:tc>
        <w:tc>
          <w:tcPr>
            <w:tcW w:w="2551" w:type="dxa"/>
            <w:vAlign w:val="center"/>
          </w:tcPr>
          <w:p>
            <w:pPr>
              <w:pStyle w:val="11"/>
            </w:pPr>
          </w:p>
        </w:tc>
        <w:tc>
          <w:tcPr>
            <w:tcW w:w="2551" w:type="dxa"/>
            <w:vAlign w:val="center"/>
          </w:tcPr>
          <w:p>
            <w:pPr>
              <w:pStyle w:val="11"/>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2110301</w:t>
            </w:r>
          </w:p>
        </w:tc>
        <w:tc>
          <w:tcPr>
            <w:tcW w:w="4535" w:type="dxa"/>
            <w:vAlign w:val="center"/>
          </w:tcPr>
          <w:p>
            <w:pPr>
              <w:pStyle w:val="12"/>
            </w:pPr>
            <w:r>
              <w:t>大气</w:t>
            </w:r>
          </w:p>
        </w:tc>
        <w:tc>
          <w:tcPr>
            <w:tcW w:w="2551" w:type="dxa"/>
            <w:vAlign w:val="center"/>
          </w:tcPr>
          <w:p>
            <w:pPr>
              <w:pStyle w:val="11"/>
            </w:pPr>
            <w:r>
              <w:t>18.00</w:t>
            </w:r>
          </w:p>
        </w:tc>
        <w:tc>
          <w:tcPr>
            <w:tcW w:w="2551" w:type="dxa"/>
            <w:vAlign w:val="center"/>
          </w:tcPr>
          <w:p>
            <w:pPr>
              <w:pStyle w:val="11"/>
            </w:pPr>
          </w:p>
        </w:tc>
        <w:tc>
          <w:tcPr>
            <w:tcW w:w="2551" w:type="dxa"/>
            <w:vAlign w:val="center"/>
          </w:tcPr>
          <w:p>
            <w:pPr>
              <w:pStyle w:val="11"/>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69.46</w:t>
            </w:r>
          </w:p>
        </w:tc>
        <w:tc>
          <w:tcPr>
            <w:tcW w:w="2551" w:type="dxa"/>
            <w:vAlign w:val="center"/>
          </w:tcPr>
          <w:p>
            <w:pPr>
              <w:pStyle w:val="11"/>
            </w:pPr>
            <w:r>
              <w:t>69.46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69.46</w:t>
            </w:r>
          </w:p>
        </w:tc>
        <w:tc>
          <w:tcPr>
            <w:tcW w:w="2551" w:type="dxa"/>
            <w:vAlign w:val="center"/>
          </w:tcPr>
          <w:p>
            <w:pPr>
              <w:pStyle w:val="11"/>
            </w:pPr>
            <w:r>
              <w:t>69.46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69.46</w:t>
            </w:r>
          </w:p>
        </w:tc>
        <w:tc>
          <w:tcPr>
            <w:tcW w:w="2551" w:type="dxa"/>
            <w:vAlign w:val="center"/>
          </w:tcPr>
          <w:p>
            <w:pPr>
              <w:pStyle w:val="11"/>
            </w:pPr>
            <w:r>
              <w:t>69.46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301石家庄市鹿泉区人民政府办公室</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3"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2"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976.96</w:t>
            </w:r>
          </w:p>
        </w:tc>
        <w:tc>
          <w:tcPr>
            <w:tcW w:w="2551" w:type="dxa"/>
            <w:vAlign w:val="center"/>
          </w:tcPr>
          <w:p>
            <w:pPr>
              <w:pStyle w:val="15"/>
            </w:pPr>
            <w:r>
              <w:t>808.51</w:t>
            </w:r>
          </w:p>
        </w:tc>
        <w:tc>
          <w:tcPr>
            <w:tcW w:w="2552" w:type="dxa"/>
            <w:vAlign w:val="center"/>
          </w:tcPr>
          <w:p>
            <w:pPr>
              <w:pStyle w:val="15"/>
            </w:pPr>
            <w:r>
              <w:t>168.45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737.11</w:t>
            </w:r>
          </w:p>
        </w:tc>
        <w:tc>
          <w:tcPr>
            <w:tcW w:w="2551" w:type="dxa"/>
            <w:vAlign w:val="center"/>
          </w:tcPr>
          <w:p>
            <w:pPr>
              <w:pStyle w:val="11"/>
            </w:pPr>
            <w:r>
              <w:t>737.11</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186.68</w:t>
            </w:r>
          </w:p>
        </w:tc>
        <w:tc>
          <w:tcPr>
            <w:tcW w:w="2551" w:type="dxa"/>
            <w:vAlign w:val="center"/>
          </w:tcPr>
          <w:p>
            <w:pPr>
              <w:pStyle w:val="11"/>
            </w:pPr>
            <w:r>
              <w:t>186.68</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122.64</w:t>
            </w:r>
          </w:p>
        </w:tc>
        <w:tc>
          <w:tcPr>
            <w:tcW w:w="2551" w:type="dxa"/>
            <w:vAlign w:val="center"/>
          </w:tcPr>
          <w:p>
            <w:pPr>
              <w:pStyle w:val="11"/>
            </w:pPr>
            <w:r>
              <w:t>122.64</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184.69</w:t>
            </w:r>
          </w:p>
        </w:tc>
        <w:tc>
          <w:tcPr>
            <w:tcW w:w="2551" w:type="dxa"/>
            <w:vAlign w:val="center"/>
          </w:tcPr>
          <w:p>
            <w:pPr>
              <w:pStyle w:val="11"/>
            </w:pPr>
            <w:r>
              <w:t>184.69</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49.08</w:t>
            </w:r>
          </w:p>
        </w:tc>
        <w:tc>
          <w:tcPr>
            <w:tcW w:w="2551" w:type="dxa"/>
            <w:vAlign w:val="center"/>
          </w:tcPr>
          <w:p>
            <w:pPr>
              <w:pStyle w:val="11"/>
            </w:pPr>
            <w:r>
              <w:t>49.08</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70.61</w:t>
            </w:r>
          </w:p>
        </w:tc>
        <w:tc>
          <w:tcPr>
            <w:tcW w:w="2551" w:type="dxa"/>
            <w:vAlign w:val="center"/>
          </w:tcPr>
          <w:p>
            <w:pPr>
              <w:pStyle w:val="11"/>
            </w:pPr>
            <w:r>
              <w:t>70.61</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29.05</w:t>
            </w:r>
          </w:p>
        </w:tc>
        <w:tc>
          <w:tcPr>
            <w:tcW w:w="2551" w:type="dxa"/>
            <w:vAlign w:val="center"/>
          </w:tcPr>
          <w:p>
            <w:pPr>
              <w:pStyle w:val="11"/>
            </w:pPr>
            <w:r>
              <w:t>29.05</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22.48</w:t>
            </w:r>
          </w:p>
        </w:tc>
        <w:tc>
          <w:tcPr>
            <w:tcW w:w="2551" w:type="dxa"/>
            <w:vAlign w:val="center"/>
          </w:tcPr>
          <w:p>
            <w:pPr>
              <w:pStyle w:val="11"/>
            </w:pPr>
            <w:r>
              <w:t>22.48</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2.43</w:t>
            </w:r>
          </w:p>
        </w:tc>
        <w:tc>
          <w:tcPr>
            <w:tcW w:w="2551" w:type="dxa"/>
            <w:vAlign w:val="center"/>
          </w:tcPr>
          <w:p>
            <w:pPr>
              <w:pStyle w:val="11"/>
            </w:pPr>
            <w:r>
              <w:t>2.43</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69.46</w:t>
            </w:r>
          </w:p>
        </w:tc>
        <w:tc>
          <w:tcPr>
            <w:tcW w:w="2551" w:type="dxa"/>
            <w:vAlign w:val="center"/>
          </w:tcPr>
          <w:p>
            <w:pPr>
              <w:pStyle w:val="11"/>
            </w:pPr>
            <w:r>
              <w:t>69.46</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168.45</w:t>
            </w:r>
          </w:p>
        </w:tc>
        <w:tc>
          <w:tcPr>
            <w:tcW w:w="2551" w:type="dxa"/>
            <w:vAlign w:val="center"/>
          </w:tcPr>
          <w:p>
            <w:pPr>
              <w:pStyle w:val="11"/>
            </w:pPr>
          </w:p>
        </w:tc>
        <w:tc>
          <w:tcPr>
            <w:tcW w:w="2552" w:type="dxa"/>
            <w:vAlign w:val="center"/>
          </w:tcPr>
          <w:p>
            <w:pPr>
              <w:pStyle w:val="11"/>
            </w:pPr>
            <w:r>
              <w:t>168.45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27.60</w:t>
            </w:r>
          </w:p>
        </w:tc>
        <w:tc>
          <w:tcPr>
            <w:tcW w:w="2551" w:type="dxa"/>
            <w:vAlign w:val="center"/>
          </w:tcPr>
          <w:p>
            <w:pPr>
              <w:pStyle w:val="11"/>
            </w:pPr>
          </w:p>
        </w:tc>
        <w:tc>
          <w:tcPr>
            <w:tcW w:w="2552" w:type="dxa"/>
            <w:vAlign w:val="center"/>
          </w:tcPr>
          <w:p>
            <w:pPr>
              <w:pStyle w:val="11"/>
            </w:pPr>
            <w:r>
              <w:t>27.60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15.85</w:t>
            </w:r>
          </w:p>
        </w:tc>
        <w:tc>
          <w:tcPr>
            <w:tcW w:w="2551" w:type="dxa"/>
            <w:vAlign w:val="center"/>
          </w:tcPr>
          <w:p>
            <w:pPr>
              <w:pStyle w:val="11"/>
            </w:pPr>
          </w:p>
        </w:tc>
        <w:tc>
          <w:tcPr>
            <w:tcW w:w="2552" w:type="dxa"/>
            <w:vAlign w:val="center"/>
          </w:tcPr>
          <w:p>
            <w:pPr>
              <w:pStyle w:val="11"/>
            </w:pPr>
            <w:r>
              <w:t>15.85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1.00</w:t>
            </w:r>
          </w:p>
        </w:tc>
        <w:tc>
          <w:tcPr>
            <w:tcW w:w="2551" w:type="dxa"/>
            <w:vAlign w:val="center"/>
          </w:tcPr>
          <w:p>
            <w:pPr>
              <w:pStyle w:val="11"/>
            </w:pPr>
          </w:p>
        </w:tc>
        <w:tc>
          <w:tcPr>
            <w:tcW w:w="2552"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30227</w:t>
            </w:r>
          </w:p>
        </w:tc>
        <w:tc>
          <w:tcPr>
            <w:tcW w:w="4535" w:type="dxa"/>
            <w:vAlign w:val="center"/>
          </w:tcPr>
          <w:p>
            <w:pPr>
              <w:pStyle w:val="12"/>
            </w:pPr>
            <w:r>
              <w:t>委托业务费</w:t>
            </w:r>
          </w:p>
        </w:tc>
        <w:tc>
          <w:tcPr>
            <w:tcW w:w="2551" w:type="dxa"/>
            <w:vAlign w:val="center"/>
          </w:tcPr>
          <w:p>
            <w:pPr>
              <w:pStyle w:val="11"/>
            </w:pPr>
            <w:r>
              <w:t>70.18</w:t>
            </w:r>
          </w:p>
        </w:tc>
        <w:tc>
          <w:tcPr>
            <w:tcW w:w="2551" w:type="dxa"/>
            <w:vAlign w:val="center"/>
          </w:tcPr>
          <w:p>
            <w:pPr>
              <w:pStyle w:val="11"/>
            </w:pPr>
          </w:p>
        </w:tc>
        <w:tc>
          <w:tcPr>
            <w:tcW w:w="2552" w:type="dxa"/>
            <w:vAlign w:val="center"/>
          </w:tcPr>
          <w:p>
            <w:pPr>
              <w:pStyle w:val="11"/>
            </w:pPr>
            <w:r>
              <w:t>70.18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3.95</w:t>
            </w:r>
          </w:p>
        </w:tc>
        <w:tc>
          <w:tcPr>
            <w:tcW w:w="2551" w:type="dxa"/>
            <w:vAlign w:val="center"/>
          </w:tcPr>
          <w:p>
            <w:pPr>
              <w:pStyle w:val="11"/>
            </w:pPr>
          </w:p>
        </w:tc>
        <w:tc>
          <w:tcPr>
            <w:tcW w:w="2552" w:type="dxa"/>
            <w:vAlign w:val="center"/>
          </w:tcPr>
          <w:p>
            <w:pPr>
              <w:pStyle w:val="11"/>
            </w:pPr>
            <w:r>
              <w:t>3.95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4.67</w:t>
            </w:r>
          </w:p>
        </w:tc>
        <w:tc>
          <w:tcPr>
            <w:tcW w:w="2551" w:type="dxa"/>
            <w:vAlign w:val="center"/>
          </w:tcPr>
          <w:p>
            <w:pPr>
              <w:pStyle w:val="11"/>
            </w:pPr>
          </w:p>
        </w:tc>
        <w:tc>
          <w:tcPr>
            <w:tcW w:w="2552" w:type="dxa"/>
            <w:vAlign w:val="center"/>
          </w:tcPr>
          <w:p>
            <w:pPr>
              <w:pStyle w:val="11"/>
            </w:pPr>
            <w:r>
              <w:t>4.67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21.60</w:t>
            </w:r>
          </w:p>
        </w:tc>
        <w:tc>
          <w:tcPr>
            <w:tcW w:w="2551" w:type="dxa"/>
            <w:vAlign w:val="center"/>
          </w:tcPr>
          <w:p>
            <w:pPr>
              <w:pStyle w:val="11"/>
            </w:pPr>
          </w:p>
        </w:tc>
        <w:tc>
          <w:tcPr>
            <w:tcW w:w="2552" w:type="dxa"/>
            <w:vAlign w:val="center"/>
          </w:tcPr>
          <w:p>
            <w:pPr>
              <w:pStyle w:val="11"/>
            </w:pPr>
            <w:r>
              <w:t>21.60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20.86</w:t>
            </w:r>
          </w:p>
        </w:tc>
        <w:tc>
          <w:tcPr>
            <w:tcW w:w="2551" w:type="dxa"/>
            <w:vAlign w:val="center"/>
          </w:tcPr>
          <w:p>
            <w:pPr>
              <w:pStyle w:val="11"/>
            </w:pPr>
          </w:p>
        </w:tc>
        <w:tc>
          <w:tcPr>
            <w:tcW w:w="2552" w:type="dxa"/>
            <w:vAlign w:val="center"/>
          </w:tcPr>
          <w:p>
            <w:pPr>
              <w:pStyle w:val="11"/>
            </w:pPr>
            <w:r>
              <w:t>20.86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2.74</w:t>
            </w:r>
          </w:p>
        </w:tc>
        <w:tc>
          <w:tcPr>
            <w:tcW w:w="2551" w:type="dxa"/>
            <w:vAlign w:val="center"/>
          </w:tcPr>
          <w:p>
            <w:pPr>
              <w:pStyle w:val="11"/>
            </w:pPr>
          </w:p>
        </w:tc>
        <w:tc>
          <w:tcPr>
            <w:tcW w:w="2552" w:type="dxa"/>
            <w:vAlign w:val="center"/>
          </w:tcPr>
          <w:p>
            <w:pPr>
              <w:pStyle w:val="11"/>
            </w:pPr>
            <w:r>
              <w:t>2.74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71.40</w:t>
            </w:r>
          </w:p>
        </w:tc>
        <w:tc>
          <w:tcPr>
            <w:tcW w:w="2551" w:type="dxa"/>
            <w:vAlign w:val="center"/>
          </w:tcPr>
          <w:p>
            <w:pPr>
              <w:pStyle w:val="11"/>
            </w:pPr>
            <w:r>
              <w:t>71.40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17.20</w:t>
            </w:r>
          </w:p>
        </w:tc>
        <w:tc>
          <w:tcPr>
            <w:tcW w:w="2551" w:type="dxa"/>
            <w:vAlign w:val="center"/>
          </w:tcPr>
          <w:p>
            <w:pPr>
              <w:pStyle w:val="11"/>
            </w:pPr>
            <w:r>
              <w:t>17.20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52.26</w:t>
            </w:r>
          </w:p>
        </w:tc>
        <w:tc>
          <w:tcPr>
            <w:tcW w:w="2551" w:type="dxa"/>
            <w:vAlign w:val="center"/>
          </w:tcPr>
          <w:p>
            <w:pPr>
              <w:pStyle w:val="11"/>
            </w:pPr>
            <w:r>
              <w:t>52.26</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1.84</w:t>
            </w:r>
          </w:p>
        </w:tc>
        <w:tc>
          <w:tcPr>
            <w:tcW w:w="2551" w:type="dxa"/>
            <w:vAlign w:val="center"/>
          </w:tcPr>
          <w:p>
            <w:pPr>
              <w:pStyle w:val="11"/>
            </w:pPr>
            <w:r>
              <w:t>1.84</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0.11</w:t>
            </w:r>
          </w:p>
        </w:tc>
        <w:tc>
          <w:tcPr>
            <w:tcW w:w="2551" w:type="dxa"/>
            <w:vAlign w:val="center"/>
          </w:tcPr>
          <w:p>
            <w:pPr>
              <w:pStyle w:val="11"/>
            </w:pPr>
            <w:r>
              <w:t>0.11</w:t>
            </w:r>
          </w:p>
        </w:tc>
        <w:tc>
          <w:tcPr>
            <w:tcW w:w="2552"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301石家庄市鹿泉区人民政府办公室</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301石家庄市鹿泉区人民政府办公室</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301石家庄市鹿泉区人民政府办公室</w:t>
            </w:r>
          </w:p>
        </w:tc>
        <w:tc>
          <w:tcPr>
            <w:tcW w:w="2381" w:type="dxa"/>
            <w:tcBorders>
              <w:top w:val="single" w:color="FFFFFF" w:sz="6" w:space="0"/>
              <w:left w:val="single" w:color="FFFFFF" w:sz="6" w:space="0"/>
              <w:right w:val="single" w:color="FFFFFF" w:sz="6" w:space="0"/>
            </w:tcBorders>
            <w:vAlign w:val="center"/>
          </w:tcPr>
          <w:p>
            <w:pPr>
              <w:pStyle w:val="8"/>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5"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2" w:type="dxa"/>
            <w:vAlign w:val="center"/>
          </w:tcPr>
          <w:p>
            <w:pPr>
              <w:pStyle w:val="15"/>
            </w:pPr>
            <w:r>
              <w:rPr>
                <w:rFonts w:hint="eastAsia" w:eastAsiaTheme="minorEastAsia"/>
                <w:lang w:eastAsia="zh-CN"/>
              </w:rPr>
              <w:t>3</w:t>
            </w:r>
            <w:r>
              <w:t>9.10</w:t>
            </w:r>
          </w:p>
        </w:tc>
        <w:tc>
          <w:tcPr>
            <w:tcW w:w="2381" w:type="dxa"/>
            <w:vAlign w:val="center"/>
          </w:tcPr>
          <w:p>
            <w:pPr>
              <w:pStyle w:val="15"/>
            </w:pPr>
            <w:r>
              <w:rPr>
                <w:rFonts w:hint="eastAsia" w:eastAsiaTheme="minorEastAsia"/>
                <w:lang w:eastAsia="zh-CN"/>
              </w:rPr>
              <w:t>3</w:t>
            </w:r>
            <w:r>
              <w:t>9.10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2" w:type="dxa"/>
            <w:vAlign w:val="center"/>
          </w:tcPr>
          <w:p>
            <w:pPr>
              <w:pStyle w:val="11"/>
            </w:pPr>
            <w:r>
              <w:rPr>
                <w:rFonts w:hint="eastAsia" w:eastAsiaTheme="minorEastAsia"/>
                <w:lang w:eastAsia="zh-CN"/>
              </w:rPr>
              <w:t>3</w:t>
            </w:r>
            <w:r>
              <w:t>9.10</w:t>
            </w:r>
          </w:p>
        </w:tc>
        <w:tc>
          <w:tcPr>
            <w:tcW w:w="2381" w:type="dxa"/>
            <w:vAlign w:val="center"/>
          </w:tcPr>
          <w:p>
            <w:pPr>
              <w:pStyle w:val="11"/>
            </w:pPr>
            <w:r>
              <w:rPr>
                <w:rFonts w:hint="eastAsia" w:eastAsiaTheme="minorEastAsia"/>
                <w:lang w:eastAsia="zh-CN"/>
              </w:rPr>
              <w:t>3</w:t>
            </w:r>
            <w:r>
              <w:t>9.10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2" w:type="dxa"/>
            <w:vAlign w:val="center"/>
          </w:tcPr>
          <w:p>
            <w:pPr>
              <w:pStyle w:val="11"/>
            </w:pPr>
            <w:r>
              <w:t>7.50</w:t>
            </w:r>
          </w:p>
        </w:tc>
        <w:tc>
          <w:tcPr>
            <w:tcW w:w="2381" w:type="dxa"/>
            <w:vAlign w:val="center"/>
          </w:tcPr>
          <w:p>
            <w:pPr>
              <w:pStyle w:val="11"/>
            </w:pPr>
            <w:r>
              <w:t>7.50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2" w:type="dxa"/>
            <w:vAlign w:val="center"/>
          </w:tcPr>
          <w:p>
            <w:pPr>
              <w:pStyle w:val="11"/>
            </w:pPr>
            <w:r>
              <w:t>7.50</w:t>
            </w:r>
          </w:p>
        </w:tc>
        <w:tc>
          <w:tcPr>
            <w:tcW w:w="2381" w:type="dxa"/>
            <w:vAlign w:val="center"/>
          </w:tcPr>
          <w:p>
            <w:pPr>
              <w:pStyle w:val="11"/>
            </w:pPr>
            <w:r>
              <w:t>7.50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2" w:type="dxa"/>
            <w:vAlign w:val="center"/>
          </w:tcPr>
          <w:p>
            <w:pPr>
              <w:pStyle w:val="11"/>
            </w:pPr>
            <w:r>
              <w:t>21.60</w:t>
            </w:r>
          </w:p>
        </w:tc>
        <w:tc>
          <w:tcPr>
            <w:tcW w:w="2381" w:type="dxa"/>
            <w:vAlign w:val="center"/>
          </w:tcPr>
          <w:p>
            <w:pPr>
              <w:pStyle w:val="11"/>
            </w:pPr>
            <w:r>
              <w:t>21.60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2" w:type="dxa"/>
            <w:vAlign w:val="center"/>
          </w:tcPr>
          <w:p>
            <w:pPr>
              <w:pStyle w:val="11"/>
            </w:pPr>
            <w:r>
              <w:t>21.60</w:t>
            </w:r>
          </w:p>
        </w:tc>
        <w:tc>
          <w:tcPr>
            <w:tcW w:w="2381" w:type="dxa"/>
            <w:vAlign w:val="center"/>
          </w:tcPr>
          <w:p>
            <w:pPr>
              <w:pStyle w:val="11"/>
            </w:pPr>
            <w:r>
              <w:t>21.60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2" w:type="dxa"/>
            <w:vAlign w:val="center"/>
          </w:tcPr>
          <w:p>
            <w:pPr>
              <w:pStyle w:val="11"/>
              <w:rPr>
                <w:rFonts w:hint="eastAsia" w:eastAsiaTheme="minorEastAsia"/>
                <w:lang w:eastAsia="zh-CN"/>
              </w:rPr>
            </w:pPr>
            <w:r>
              <w:rPr>
                <w:rFonts w:hint="eastAsia" w:eastAsiaTheme="minorEastAsia"/>
                <w:lang w:eastAsia="zh-CN"/>
              </w:rPr>
              <w:t>10</w:t>
            </w:r>
          </w:p>
        </w:tc>
        <w:tc>
          <w:tcPr>
            <w:tcW w:w="2381" w:type="dxa"/>
            <w:vAlign w:val="center"/>
          </w:tcPr>
          <w:p>
            <w:pPr>
              <w:pStyle w:val="11"/>
              <w:rPr>
                <w:rFonts w:hint="eastAsia" w:eastAsiaTheme="minorEastAsia"/>
                <w:lang w:eastAsia="zh-CN"/>
              </w:rPr>
            </w:pPr>
            <w:r>
              <w:rPr>
                <w:rFonts w:hint="eastAsia" w:eastAsiaTheme="minorEastAsia"/>
                <w:lang w:eastAsia="zh-CN"/>
              </w:rPr>
              <w:t>10</w:t>
            </w:r>
          </w:p>
        </w:tc>
        <w:tc>
          <w:tcPr>
            <w:tcW w:w="2381" w:type="dxa"/>
            <w:vAlign w:val="center"/>
          </w:tcPr>
          <w:p>
            <w:pPr>
              <w:pStyle w:val="11"/>
            </w:pPr>
          </w:p>
        </w:tc>
        <w:tc>
          <w:tcPr>
            <w:tcW w:w="2381" w:type="dxa"/>
            <w:vAlign w:val="center"/>
          </w:tcPr>
          <w:p>
            <w:pPr>
              <w:pStyle w:val="11"/>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石家庄市鹿泉区人民政府办公室2023年部门预算信息公开情况说明</w:t>
      </w:r>
    </w:p>
    <w:p>
      <w:pPr>
        <w:jc w:val="center"/>
      </w:pPr>
      <w:r>
        <w:rPr>
          <w:rFonts w:ascii="方正小标宋_GBK" w:hAnsi="方正小标宋_GBK" w:eastAsia="方正小标宋_GBK" w:cs="方正小标宋_GBK"/>
          <w:color w:val="000000"/>
          <w:sz w:val="44"/>
        </w:rPr>
        <w:t>石家庄市鹿泉区人民政府办公室2023年部门预算信息公开情况说明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
        </w:rPr>
        <w:t>中华人民共和国</w:t>
      </w:r>
      <w:bookmarkStart w:id="16" w:name="_GoBack"/>
      <w:bookmarkEnd w:id="16"/>
      <w:r>
        <w:rPr>
          <w:rFonts w:eastAsia="方正仿宋_GBK"/>
          <w:color w:val="000000"/>
          <w:sz w:val="28"/>
        </w:rPr>
        <w:t>预算法》、《地方预决算公开操作规程》和《关于进一步推进预算公开工作的实施意见》规定，现将石家庄市鹿泉区人民政府办公室2023年部门预算公开如下：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7"/>
      </w:pPr>
      <w:r>
        <w:rPr>
          <w:rFonts w:hint="eastAsia"/>
          <w:lang w:val="en-US" w:eastAsia="zh-CN"/>
        </w:rPr>
        <w:t>1</w:t>
      </w:r>
      <w:r>
        <w:t>、负责区政府决议、决定的起草与审核。</w:t>
      </w:r>
    </w:p>
    <w:p>
      <w:pPr>
        <w:pStyle w:val="17"/>
      </w:pPr>
      <w:r>
        <w:t>2、负责重大事项向市委、市政府请示报告及反馈等工作。</w:t>
      </w:r>
    </w:p>
    <w:p>
      <w:pPr>
        <w:pStyle w:val="17"/>
      </w:pPr>
      <w:r>
        <w:rPr>
          <w:rFonts w:hint="eastAsia"/>
          <w:lang w:val="en-US" w:eastAsia="zh-CN"/>
        </w:rPr>
        <w:t>3</w:t>
      </w:r>
      <w:r>
        <w:t>、负责区政府</w:t>
      </w:r>
      <w:r>
        <w:rPr>
          <w:rFonts w:hint="eastAsia"/>
          <w:lang w:eastAsia="zh-CN"/>
        </w:rPr>
        <w:t>年度工作计划、工作总结、工作汇报、会议纪要</w:t>
      </w:r>
      <w:r>
        <w:t>等各种文件、领导讲话材料的起草、审核和印发工作。</w:t>
      </w:r>
    </w:p>
    <w:p>
      <w:pPr>
        <w:pStyle w:val="17"/>
      </w:pPr>
      <w:r>
        <w:t>4、负责以区政府名义印发的各类公文文稿的审核与印发工作。</w:t>
      </w:r>
    </w:p>
    <w:p>
      <w:pPr>
        <w:pStyle w:val="17"/>
      </w:pPr>
      <w:r>
        <w:t>5、负责区政府领导各类重要活动、会议通知的组织安排工作。</w:t>
      </w:r>
    </w:p>
    <w:p>
      <w:pPr>
        <w:pStyle w:val="17"/>
      </w:pPr>
      <w:r>
        <w:t>6、负责督导检查区政府各项决议、决定和区领导批示具体事项的执行情况，并及时向区政府和办公室领导报告。</w:t>
      </w:r>
    </w:p>
    <w:p>
      <w:pPr>
        <w:pStyle w:val="17"/>
      </w:pPr>
      <w:r>
        <w:t>7、负责各类文件的登记、收发、传阅及各部门往来行文的呈批、转办、催办和管理工作。</w:t>
      </w:r>
    </w:p>
    <w:p>
      <w:pPr>
        <w:pStyle w:val="17"/>
      </w:pPr>
      <w:r>
        <w:t>8、组织受理人大代表议案、建议、批评和意见及政协委员提案。</w:t>
      </w:r>
    </w:p>
    <w:p>
      <w:pPr>
        <w:pStyle w:val="17"/>
      </w:pPr>
      <w:r>
        <w:t>9、负责区政府及办公室印章的保管与使用工作。</w:t>
      </w:r>
    </w:p>
    <w:p>
      <w:pPr>
        <w:pStyle w:val="17"/>
      </w:pPr>
      <w:r>
        <w:t>10、负责区政府办公室全天24小时值班工作。</w:t>
      </w:r>
    </w:p>
    <w:p>
      <w:pPr>
        <w:pStyle w:val="17"/>
      </w:pPr>
      <w:r>
        <w:t>11、负责全区应急管理及紧急情况重大事件报告工作；区领导对紧急情况重大事件的压报、误报、批示意见的督办落实工作。</w:t>
      </w:r>
    </w:p>
    <w:p>
      <w:pPr>
        <w:pStyle w:val="17"/>
      </w:pPr>
      <w:r>
        <w:t>12、负责市委内网和市政府内网的接收、上报和日常管理维护工作</w:t>
      </w:r>
    </w:p>
    <w:p>
      <w:pPr>
        <w:pStyle w:val="17"/>
      </w:pPr>
      <w:r>
        <w:t>13、负责全市会议及区领导、办公室召开会议的通知、协调工作。</w:t>
      </w:r>
    </w:p>
    <w:p>
      <w:pPr>
        <w:pStyle w:val="17"/>
      </w:pPr>
      <w:r>
        <w:t>14、负责区政府和市委、市政府等机关的工作联系，负责与各镇党委、政府，各街道办党工委、办事处和区直机关、驻区单位的公务联系</w:t>
      </w:r>
    </w:p>
    <w:p>
      <w:pPr>
        <w:pStyle w:val="17"/>
      </w:pPr>
      <w:r>
        <w:t>15、负责政务问询、市长公开电话、区长公开电话、群众来访、群众来信、人民网留言等方面的工作。</w:t>
      </w:r>
    </w:p>
    <w:p>
      <w:pPr>
        <w:pStyle w:val="17"/>
      </w:pPr>
      <w:r>
        <w:t>16、负责指导、督促、检查和考核全区各镇党委、政府、各街道办党工委、办事处及驻区单位的值班工作。</w:t>
      </w:r>
    </w:p>
    <w:p>
      <w:pPr>
        <w:pStyle w:val="17"/>
      </w:pPr>
      <w:r>
        <w:t>17、完成区政府和办公室领导或上级机关交办的其它工作。</w:t>
      </w:r>
    </w:p>
    <w:p>
      <w:pPr>
        <w:pStyle w:val="17"/>
      </w:pPr>
    </w:p>
    <w:p>
      <w:pPr>
        <w:pStyle w:val="17"/>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石家庄市鹿泉区人民政府办公室本级</w:t>
            </w:r>
          </w:p>
        </w:tc>
        <w:tc>
          <w:tcPr>
            <w:tcW w:w="1843" w:type="dxa"/>
            <w:vAlign w:val="center"/>
          </w:tcPr>
          <w:p>
            <w:pPr>
              <w:pStyle w:val="13"/>
            </w:pPr>
            <w:r>
              <w:t>行政</w:t>
            </w:r>
          </w:p>
        </w:tc>
        <w:tc>
          <w:tcPr>
            <w:tcW w:w="2126" w:type="dxa"/>
            <w:vAlign w:val="center"/>
          </w:tcPr>
          <w:p>
            <w:pPr>
              <w:pStyle w:val="13"/>
            </w:pPr>
            <w:r>
              <w:t>正处（县）级</w:t>
            </w:r>
          </w:p>
        </w:tc>
        <w:tc>
          <w:tcPr>
            <w:tcW w:w="3827" w:type="dxa"/>
            <w:vAlign w:val="center"/>
          </w:tcPr>
          <w:p>
            <w:pPr>
              <w:pStyle w:val="13"/>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spacing w:line="500" w:lineRule="exact"/>
        <w:ind w:firstLine="560"/>
      </w:pPr>
      <w:r>
        <w:rPr>
          <w:rFonts w:eastAsia="方正仿宋_GBK"/>
          <w:color w:val="000000"/>
          <w:sz w:val="28"/>
        </w:rPr>
        <w:t>按照预算管理有关规定，目前我省部门预算的编制实行综合预算管理，即全部收入和支出都反映在预算中。石家庄市鹿泉区人民政府办公室机关及所属事业单位的收支包含在部门预算中。</w:t>
      </w:r>
    </w:p>
    <w:p>
      <w:pPr>
        <w:pStyle w:val="18"/>
      </w:pPr>
      <w:r>
        <w:t>1、收入说明</w:t>
      </w:r>
    </w:p>
    <w:p>
      <w:pPr>
        <w:pStyle w:val="18"/>
      </w:pPr>
      <w:r>
        <w:t>反映本部门当年全部收入。2023年预算收入1416.46万元，其中：一般公共预算收入1416.46万元。</w:t>
      </w:r>
    </w:p>
    <w:p>
      <w:pPr>
        <w:pStyle w:val="18"/>
      </w:pPr>
      <w:r>
        <w:t>2、支出说明</w:t>
      </w:r>
    </w:p>
    <w:p>
      <w:pPr>
        <w:pStyle w:val="18"/>
      </w:pPr>
      <w:r>
        <w:t>收支预算总表支出栏、基本支出表、项目支出表按经济分类和支出功能分类科目编制，反映鹿泉区人民政府年度部门预算中支出预算的总体情况。2023年支出预算1416.46万元，其中基本支出976.96万元，包括人员经费808.51万元和日常公用经费168.45万元；项目支出439.5万元，主要为电子政务外网服务费、市民服务热线经费、信息化运行服务费等。</w:t>
      </w:r>
    </w:p>
    <w:p>
      <w:pPr>
        <w:pStyle w:val="18"/>
      </w:pPr>
      <w:r>
        <w:t>3、比上年增减情况</w:t>
      </w:r>
    </w:p>
    <w:p>
      <w:pPr>
        <w:pStyle w:val="18"/>
      </w:pPr>
      <w:r>
        <w:t>2023年预算收支安排1416.46万元，较2022年预算增加12.49万元，其中：基本支出增加23.49万元，主要为人员经费支出增加；项目支出减少11万元，主要为专项工作经费减少。</w:t>
      </w:r>
    </w:p>
    <w:p>
      <w:pPr>
        <w:pStyle w:val="18"/>
        <w:rPr>
          <w:rFonts w:hint="eastAsia" w:ascii="黑体" w:hAnsi="黑体" w:eastAsia="黑体" w:cs="黑体"/>
          <w:sz w:val="32"/>
          <w:szCs w:val="32"/>
        </w:rPr>
      </w:pPr>
      <w:r>
        <w:rPr>
          <w:rFonts w:hint="eastAsia" w:ascii="黑体" w:hAnsi="黑体" w:eastAsia="黑体" w:cs="黑体"/>
          <w:sz w:val="32"/>
          <w:szCs w:val="32"/>
        </w:rPr>
        <w:t>三、机关运行经费安排情况</w:t>
      </w:r>
    </w:p>
    <w:p>
      <w:pPr>
        <w:pStyle w:val="18"/>
      </w:pPr>
      <w:r>
        <w:t>2023年，我部门机关运行经费为168.45 万元，主要用于保证机关正常运转的办公及印刷费、邮电费、差旅费、会议费、福利费、一般设备购置费、日常维修费、公务车运行维护费等支出。</w:t>
      </w:r>
    </w:p>
    <w:p>
      <w:pPr>
        <w:pStyle w:val="18"/>
      </w:pPr>
      <w:r>
        <w:rPr>
          <w:rFonts w:hint="eastAsia" w:ascii="黑体" w:hAnsi="黑体" w:eastAsia="黑体" w:cs="黑体"/>
          <w:sz w:val="32"/>
          <w:szCs w:val="32"/>
        </w:rPr>
        <w:t>四、财政拨款“三公”经费预算情况及增减变化原因</w:t>
      </w:r>
    </w:p>
    <w:p>
      <w:pPr>
        <w:pStyle w:val="18"/>
      </w:pPr>
      <w:r>
        <w:t>2023 年，我部门财政拨款“三公”经费预算安排 39.1万元，其中：因公出国（境）费 7.5万元；公务用车购置及运维费21.6万元（其中：公务用车购置费 0 万元，公务用车运行维护费 21.6万元)；公务接待费 10万元。“三公”经费与上年持平。</w:t>
      </w:r>
    </w:p>
    <w:p>
      <w:pPr>
        <w:spacing w:before="10" w:after="10" w:line="360" w:lineRule="auto"/>
        <w:ind w:firstLine="640" w:firstLineChars="200"/>
        <w:outlineLvl w:val="2"/>
      </w:pPr>
      <w:bookmarkStart w:id="11" w:name="_Toc_3_3_0000000014"/>
      <w:r>
        <w:rPr>
          <w:rFonts w:ascii="黑体" w:hAnsi="黑体" w:eastAsia="黑体" w:cs="黑体"/>
          <w:color w:val="000000"/>
          <w:sz w:val="32"/>
        </w:rPr>
        <w:t>五、预算绩效信息</w:t>
      </w:r>
      <w:bookmarkEnd w:id="11"/>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olor w:val="000000"/>
          <w:sz w:val="28"/>
        </w:rPr>
        <w:t>（一）总体绩效目标</w:t>
      </w:r>
    </w:p>
    <w:p>
      <w:pPr>
        <w:pStyle w:val="21"/>
        <w:ind w:left="0" w:leftChars="0" w:firstLine="560" w:firstLineChars="200"/>
      </w:pPr>
      <w:r>
        <w:t>以习近平新时代中国特色社会主义思想为指导，深入贯彻党的</w:t>
      </w:r>
      <w:r>
        <w:rPr>
          <w:rFonts w:hint="eastAsia"/>
          <w:lang w:eastAsia="zh-CN"/>
        </w:rPr>
        <w:t>二十大</w:t>
      </w:r>
      <w:r>
        <w:t>精神，做好政府重大活动组织、会务安排工作，做好应急处置及应急值守工作，做好政府门户网站和内网办公系统维护和建设工作、人防服务。</w:t>
      </w:r>
    </w:p>
    <w:p>
      <w:pPr>
        <w:pStyle w:val="21"/>
      </w:pPr>
      <w:r>
        <w:rPr>
          <w:rFonts w:hint="eastAsia"/>
          <w:lang w:eastAsia="zh-CN"/>
        </w:rPr>
        <w:t>（二）</w:t>
      </w:r>
      <w:r>
        <w:t>分项绩效目标</w:t>
      </w:r>
    </w:p>
    <w:p>
      <w:pPr>
        <w:pStyle w:val="21"/>
      </w:pPr>
      <w:r>
        <w:rPr>
          <w:rFonts w:hint="eastAsia"/>
          <w:lang w:eastAsia="zh-CN"/>
        </w:rPr>
        <w:t>一、</w:t>
      </w:r>
      <w:r>
        <w:t>电子政务外网服务费</w:t>
      </w:r>
    </w:p>
    <w:p>
      <w:pPr>
        <w:pStyle w:val="21"/>
      </w:pPr>
      <w:r>
        <w:t>绩效目标：通过设备服务、软件服务、信息系统集成、运行维护服务、技术服务，达到鹿泉区电子政务外网安全高效运行。</w:t>
      </w:r>
    </w:p>
    <w:p>
      <w:pPr>
        <w:pStyle w:val="21"/>
      </w:pPr>
      <w:r>
        <w:rPr>
          <w:rFonts w:hint="eastAsia"/>
          <w:lang w:eastAsia="zh-CN"/>
        </w:rPr>
        <w:t>二、</w:t>
      </w:r>
      <w:r>
        <w:t>人防经费</w:t>
      </w:r>
    </w:p>
    <w:p>
      <w:pPr>
        <w:pStyle w:val="21"/>
      </w:pPr>
      <w:r>
        <w:t>绩效目标：通过建设人防教育基地一处及不少于2次的人防宣传，做好人防宣传教育工作，做到战时有序组织开展人民防空空情信息保障、群众疏散掩蔽等重要的人防工作。</w:t>
      </w:r>
    </w:p>
    <w:p>
      <w:pPr>
        <w:pStyle w:val="21"/>
      </w:pPr>
      <w:r>
        <w:rPr>
          <w:rFonts w:hint="eastAsia"/>
          <w:lang w:eastAsia="zh-CN"/>
        </w:rPr>
        <w:t>三、</w:t>
      </w:r>
      <w:r>
        <w:t>市民服务热线经费</w:t>
      </w:r>
    </w:p>
    <w:p>
      <w:pPr>
        <w:pStyle w:val="21"/>
      </w:pPr>
      <w:r>
        <w:t>绩效目标：公开电话实行24小时办公，进一步提高我区公开电话办理质量,提升群众满意度,解决群众的烦心事、揪心事。</w:t>
      </w:r>
    </w:p>
    <w:p>
      <w:pPr>
        <w:pStyle w:val="21"/>
      </w:pPr>
      <w:r>
        <w:rPr>
          <w:rFonts w:hint="eastAsia"/>
          <w:lang w:eastAsia="zh-CN"/>
        </w:rPr>
        <w:t>（三）</w:t>
      </w:r>
      <w:r>
        <w:t>工作保障措施</w:t>
      </w:r>
    </w:p>
    <w:p>
      <w:pPr>
        <w:pStyle w:val="21"/>
      </w:pPr>
      <w:r>
        <w:rPr>
          <w:rFonts w:hint="eastAsia"/>
          <w:lang w:eastAsia="zh-CN"/>
        </w:rPr>
        <w:t>一、</w:t>
      </w:r>
      <w:r>
        <w:t>完善制度建设。将事前评估、目标管理、运行监控、绩效评价、结果应用等各项改革措施，有效融入预算管理的全过程，研究完善预算绩效管理有关制度办法和财务管理规定。建立统筹协调、分工协作、密切配合、合力推进的工作机制，围绕年度总体绩效目标和分项绩效目标，明确责任主体，实施进度要求，确保如期完成。</w:t>
      </w:r>
    </w:p>
    <w:p>
      <w:pPr>
        <w:pStyle w:val="21"/>
      </w:pPr>
      <w:r>
        <w:rPr>
          <w:rFonts w:hint="eastAsia"/>
          <w:lang w:eastAsia="zh-CN"/>
        </w:rPr>
        <w:t>二、</w:t>
      </w:r>
      <w:r>
        <w:t>加强支出管理。强化财政预算执行刚性，编细编实预算，对预算的事前、事中、事后进行全过程控制，进一步提高财政资金使用效益。加强支出结构优化，通过加快履行政府采购手续、尽快启动项目、及时支付资金、确保按照时间节点完成支出任务。</w:t>
      </w:r>
    </w:p>
    <w:p>
      <w:pPr>
        <w:pStyle w:val="21"/>
      </w:pPr>
      <w:r>
        <w:rPr>
          <w:rFonts w:hint="eastAsia"/>
          <w:lang w:eastAsia="zh-CN"/>
        </w:rPr>
        <w:t>三、</w:t>
      </w:r>
      <w:r>
        <w:t>加强绩效运行监控。按要求开展绩效运行监控，依据确定的绩效目标，采取项目跟踪、数据核查和汇总分析等方式，动态了解和掌握项目绩效目标实现程度、资金支出进度和项目实施进度，对评价中发现的问题及时整改，确保绩效目标按期保质完成。</w:t>
      </w:r>
    </w:p>
    <w:p>
      <w:pPr>
        <w:pStyle w:val="21"/>
      </w:pPr>
      <w:r>
        <w:rPr>
          <w:rFonts w:hint="eastAsia"/>
          <w:lang w:eastAsia="zh-CN"/>
        </w:rPr>
        <w:t>四、</w:t>
      </w:r>
      <w:r>
        <w:t>规范财政资金、财务资产管理。规范财政资金使用效益，完善内部控制管理制度，坚持依法理财，注重资金支出绩效，最大限额的发挥财政资金效益。在完善财务管理制度的基础上，科学配置单位资产，严格审批程序，加强固定资产登记、使用和报废处置管理，做到支出合理，物尽其用。</w:t>
      </w:r>
    </w:p>
    <w:p>
      <w:pPr>
        <w:pStyle w:val="21"/>
      </w:pPr>
      <w:r>
        <w:rPr>
          <w:rFonts w:hint="eastAsia"/>
          <w:lang w:eastAsia="zh-CN"/>
        </w:rPr>
        <w:t>五、</w:t>
      </w:r>
      <w:r>
        <w:t>强化宣传引导。加强预算绩效管理专业知识培训，提高预算绩效管理工作人员的业务素质，不断优化财务人员知识结构，促进财务人员严格履职，当好领导参谋。加大宣传力度，强化预算绩效管理意识，培育绩效管理文化，促进预算绩效管理水平进一步提升。</w:t>
      </w:r>
    </w:p>
    <w:p>
      <w:pPr>
        <w:pStyle w:val="21"/>
      </w:pPr>
    </w:p>
    <w:p>
      <w:pPr>
        <w:pStyle w:val="22"/>
      </w:pPr>
    </w:p>
    <w:p>
      <w:pPr>
        <w:pStyle w:val="23"/>
      </w:pPr>
    </w:p>
    <w:p>
      <w:p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第二部分  专项资金绩效目标</w:t>
      </w:r>
    </w:p>
    <w:p>
      <w:pPr>
        <w:rPr>
          <w:rFonts w:hint="eastAsia" w:ascii="方正楷体_GBK" w:hAnsi="方正楷体_GBK" w:eastAsia="方正楷体_GBK" w:cs="方正楷体_GBK"/>
          <w:b/>
          <w:color w:val="000000"/>
          <w:sz w:val="32"/>
          <w:szCs w:val="24"/>
          <w:lang w:val="en-US" w:eastAsia="zh-CN" w:bidi="ar-SA"/>
        </w:rPr>
      </w:pPr>
    </w:p>
    <w:p>
      <w:pPr>
        <w:ind w:firstLine="720" w:firstLineChars="300"/>
        <w:rPr>
          <w:rFonts w:ascii="方正楷体_GBK" w:hAnsi="方正楷体_GBK" w:eastAsia="方正楷体_GBK" w:cs="方正楷体_GBK"/>
          <w:b/>
          <w:color w:val="000000"/>
          <w:sz w:val="32"/>
          <w:szCs w:val="24"/>
          <w:lang w:val="en-US" w:eastAsia="uk-UA" w:bidi="ar-SA"/>
        </w:rPr>
      </w:pPr>
      <w:r>
        <w:rPr>
          <w:rFonts w:hint="eastAsia"/>
          <w:lang w:eastAsia="zh-CN"/>
        </w:rPr>
        <w:t>我部门无专项资金。</w:t>
      </w:r>
    </w:p>
    <w:p>
      <w:pPr>
        <w:tabs>
          <w:tab w:val="left" w:pos="770"/>
        </w:tabs>
        <w:jc w:val="left"/>
        <w:rPr>
          <w:rFonts w:hint="eastAsia" w:eastAsia="方正楷体_GBK"/>
          <w:lang w:val="en-US" w:eastAsia="zh-CN"/>
        </w:rPr>
        <w:sectPr>
          <w:pgSz w:w="16840" w:h="11900" w:orient="landscape"/>
          <w:pgMar w:top="1361" w:right="1020" w:bottom="1361" w:left="1020" w:header="720" w:footer="720" w:gutter="0"/>
          <w:cols w:space="720" w:num="1"/>
        </w:sectPr>
      </w:pPr>
      <w:r>
        <w:rPr>
          <w:rFonts w:hint="eastAsia" w:ascii="方正楷体_GBK" w:hAnsi="方正楷体_GBK" w:eastAsia="方正楷体_GBK" w:cs="方正楷体_GBK"/>
          <w:b/>
          <w:color w:val="000000"/>
          <w:sz w:val="32"/>
          <w:szCs w:val="24"/>
          <w:lang w:val="en-US" w:eastAsia="zh-CN" w:bidi="ar-SA"/>
        </w:rPr>
        <w:tab/>
      </w:r>
    </w:p>
    <w:p>
      <w:pPr>
        <w:ind w:firstLine="64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ind w:firstLine="560"/>
      </w:pPr>
      <w:r>
        <w:rPr>
          <w:rFonts w:ascii="方正仿宋_GBK" w:hAnsi="方正仿宋_GBK" w:eastAsia="方正仿宋_GBK" w:cs="方正仿宋_GBK"/>
          <w:b/>
          <w:color w:val="000000"/>
          <w:sz w:val="28"/>
        </w:rPr>
        <w:t>1、大气办工作经费绩效目标表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建立重点污染源清单库。2、通过排查企业环境污染问题，督导实现达标排放。3、进行大气污染防治宣传，通过制作展板、印发宣传册、制作宣传条幅等方式，促使企业主动履行大气污染防治主体责任。</w:t>
            </w:r>
          </w:p>
        </w:tc>
      </w:tr>
    </w:tbl>
    <w:p>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排查企业数量</w:t>
            </w:r>
          </w:p>
        </w:tc>
        <w:tc>
          <w:tcPr>
            <w:tcW w:w="2835" w:type="dxa"/>
            <w:vAlign w:val="center"/>
          </w:tcPr>
          <w:p>
            <w:pPr>
              <w:pStyle w:val="12"/>
            </w:pPr>
            <w:r>
              <w:t>排查企业数量</w:t>
            </w:r>
          </w:p>
        </w:tc>
        <w:tc>
          <w:tcPr>
            <w:tcW w:w="2551" w:type="dxa"/>
            <w:vAlign w:val="center"/>
          </w:tcPr>
          <w:p>
            <w:pPr>
              <w:pStyle w:val="12"/>
            </w:pPr>
            <w:r>
              <w:t>≥10家</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制作展板数量</w:t>
            </w:r>
          </w:p>
        </w:tc>
        <w:tc>
          <w:tcPr>
            <w:tcW w:w="2835" w:type="dxa"/>
            <w:vAlign w:val="center"/>
          </w:tcPr>
          <w:p>
            <w:pPr>
              <w:pStyle w:val="12"/>
            </w:pPr>
            <w:r>
              <w:t>制作展板数量</w:t>
            </w:r>
          </w:p>
        </w:tc>
        <w:tc>
          <w:tcPr>
            <w:tcW w:w="2551" w:type="dxa"/>
            <w:vAlign w:val="center"/>
          </w:tcPr>
          <w:p>
            <w:pPr>
              <w:pStyle w:val="12"/>
            </w:pPr>
            <w:r>
              <w:t>≥100块</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印发宣传册数量</w:t>
            </w:r>
          </w:p>
        </w:tc>
        <w:tc>
          <w:tcPr>
            <w:tcW w:w="2835" w:type="dxa"/>
            <w:vAlign w:val="center"/>
          </w:tcPr>
          <w:p>
            <w:pPr>
              <w:pStyle w:val="12"/>
            </w:pPr>
            <w:r>
              <w:t>印发宣传册数量</w:t>
            </w:r>
          </w:p>
        </w:tc>
        <w:tc>
          <w:tcPr>
            <w:tcW w:w="2551" w:type="dxa"/>
            <w:vAlign w:val="center"/>
          </w:tcPr>
          <w:p>
            <w:pPr>
              <w:pStyle w:val="12"/>
            </w:pPr>
            <w:r>
              <w:t>≥1000份</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考核达标率</w:t>
            </w:r>
          </w:p>
        </w:tc>
        <w:tc>
          <w:tcPr>
            <w:tcW w:w="2835" w:type="dxa"/>
            <w:vAlign w:val="center"/>
          </w:tcPr>
          <w:p>
            <w:pPr>
              <w:pStyle w:val="12"/>
            </w:pPr>
            <w:r>
              <w:t>大气污染考核达标率</w:t>
            </w:r>
          </w:p>
        </w:tc>
        <w:tc>
          <w:tcPr>
            <w:tcW w:w="2551" w:type="dxa"/>
            <w:vAlign w:val="center"/>
          </w:tcPr>
          <w:p>
            <w:pPr>
              <w:pStyle w:val="12"/>
            </w:pPr>
            <w:r>
              <w:t>≥96%</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工作任务完成及时率</w:t>
            </w:r>
          </w:p>
        </w:tc>
        <w:tc>
          <w:tcPr>
            <w:tcW w:w="2835" w:type="dxa"/>
            <w:vAlign w:val="center"/>
          </w:tcPr>
          <w:p>
            <w:pPr>
              <w:pStyle w:val="12"/>
            </w:pPr>
            <w:r>
              <w:t>工作任务完成及时率</w:t>
            </w:r>
          </w:p>
        </w:tc>
        <w:tc>
          <w:tcPr>
            <w:tcW w:w="2551" w:type="dxa"/>
            <w:vAlign w:val="center"/>
          </w:tcPr>
          <w:p>
            <w:pPr>
              <w:pStyle w:val="12"/>
            </w:pPr>
            <w:r>
              <w:t>≥98%</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pPr>
            <w:r>
              <w:t>资金成本</w:t>
            </w:r>
          </w:p>
        </w:tc>
        <w:tc>
          <w:tcPr>
            <w:tcW w:w="2551" w:type="dxa"/>
            <w:vAlign w:val="center"/>
          </w:tcPr>
          <w:p>
            <w:pPr>
              <w:pStyle w:val="12"/>
            </w:pPr>
            <w:r>
              <w:t>≤46.8万元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重点污染源清单库</w:t>
            </w:r>
          </w:p>
        </w:tc>
        <w:tc>
          <w:tcPr>
            <w:tcW w:w="2835" w:type="dxa"/>
            <w:vAlign w:val="center"/>
          </w:tcPr>
          <w:p>
            <w:pPr>
              <w:pStyle w:val="12"/>
            </w:pPr>
            <w:r>
              <w:t>重点污染源清单库</w:t>
            </w:r>
          </w:p>
        </w:tc>
        <w:tc>
          <w:tcPr>
            <w:tcW w:w="2551" w:type="dxa"/>
            <w:vAlign w:val="center"/>
          </w:tcPr>
          <w:p>
            <w:pPr>
              <w:pStyle w:val="12"/>
            </w:pPr>
            <w:r>
              <w:t>≤5家</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持续影响效果</w:t>
            </w:r>
          </w:p>
        </w:tc>
        <w:tc>
          <w:tcPr>
            <w:tcW w:w="2835" w:type="dxa"/>
            <w:vAlign w:val="center"/>
          </w:tcPr>
          <w:p>
            <w:pPr>
              <w:pStyle w:val="12"/>
            </w:pPr>
            <w:r>
              <w:t>群众环保意识进一步提高</w:t>
            </w:r>
          </w:p>
        </w:tc>
        <w:tc>
          <w:tcPr>
            <w:tcW w:w="2551" w:type="dxa"/>
            <w:vAlign w:val="center"/>
          </w:tcPr>
          <w:p>
            <w:pPr>
              <w:pStyle w:val="12"/>
            </w:pPr>
            <w:r>
              <w:t>≥96%</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≥96%</w:t>
            </w:r>
          </w:p>
        </w:tc>
        <w:tc>
          <w:tcPr>
            <w:tcW w:w="2268"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2、电子政务外网服务费绩效目标表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1.目标内容：通过设备服务、软件服务、信息系统集成、运行维护服务、技术服务，达到鹿泉区电子政务外网安全高效运行。</w:t>
            </w:r>
          </w:p>
        </w:tc>
      </w:tr>
    </w:tbl>
    <w:p>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硬件维护</w:t>
            </w:r>
          </w:p>
        </w:tc>
        <w:tc>
          <w:tcPr>
            <w:tcW w:w="2835" w:type="dxa"/>
            <w:vAlign w:val="center"/>
          </w:tcPr>
          <w:p>
            <w:pPr>
              <w:pStyle w:val="12"/>
            </w:pPr>
            <w:r>
              <w:t>硬件维护数量</w:t>
            </w:r>
          </w:p>
        </w:tc>
        <w:tc>
          <w:tcPr>
            <w:tcW w:w="2551" w:type="dxa"/>
            <w:vAlign w:val="center"/>
          </w:tcPr>
          <w:p>
            <w:pPr>
              <w:pStyle w:val="12"/>
            </w:pPr>
            <w:r>
              <w:t>≥25个</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系统故障率</w:t>
            </w:r>
          </w:p>
        </w:tc>
        <w:tc>
          <w:tcPr>
            <w:tcW w:w="2835" w:type="dxa"/>
            <w:vAlign w:val="center"/>
          </w:tcPr>
          <w:p>
            <w:pPr>
              <w:pStyle w:val="12"/>
            </w:pPr>
            <w:r>
              <w:t>系统出现故障率</w:t>
            </w:r>
          </w:p>
        </w:tc>
        <w:tc>
          <w:tcPr>
            <w:tcW w:w="2551" w:type="dxa"/>
            <w:vAlign w:val="center"/>
          </w:tcPr>
          <w:p>
            <w:pPr>
              <w:pStyle w:val="12"/>
            </w:pPr>
            <w:r>
              <w:t>&lt;10%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系统故障修复及时性</w:t>
            </w:r>
          </w:p>
        </w:tc>
        <w:tc>
          <w:tcPr>
            <w:tcW w:w="2835" w:type="dxa"/>
            <w:vAlign w:val="center"/>
          </w:tcPr>
          <w:p>
            <w:pPr>
              <w:pStyle w:val="12"/>
            </w:pPr>
            <w:r>
              <w:t>系统故障修复及时性</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pPr>
            <w:r>
              <w:t>资金成本</w:t>
            </w:r>
          </w:p>
        </w:tc>
        <w:tc>
          <w:tcPr>
            <w:tcW w:w="2551" w:type="dxa"/>
            <w:vAlign w:val="center"/>
          </w:tcPr>
          <w:p>
            <w:pPr>
              <w:pStyle w:val="12"/>
            </w:pPr>
            <w:r>
              <w:t>186.5万元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系统正常使用年限</w:t>
            </w:r>
          </w:p>
        </w:tc>
        <w:tc>
          <w:tcPr>
            <w:tcW w:w="2835" w:type="dxa"/>
            <w:vAlign w:val="center"/>
          </w:tcPr>
          <w:p>
            <w:pPr>
              <w:pStyle w:val="12"/>
            </w:pPr>
            <w:r>
              <w:t>购买的系统可正常使用的年限</w:t>
            </w:r>
          </w:p>
        </w:tc>
        <w:tc>
          <w:tcPr>
            <w:tcW w:w="2551" w:type="dxa"/>
            <w:vAlign w:val="center"/>
          </w:tcPr>
          <w:p>
            <w:pPr>
              <w:pStyle w:val="12"/>
            </w:pPr>
            <w:r>
              <w:t>3年</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服务对象满意程度</w:t>
            </w:r>
          </w:p>
        </w:tc>
        <w:tc>
          <w:tcPr>
            <w:tcW w:w="2835" w:type="dxa"/>
            <w:vAlign w:val="center"/>
          </w:tcPr>
          <w:p>
            <w:pPr>
              <w:pStyle w:val="12"/>
            </w:pPr>
            <w:r>
              <w:t>服务对象满意程度</w:t>
            </w:r>
          </w:p>
        </w:tc>
        <w:tc>
          <w:tcPr>
            <w:tcW w:w="2551" w:type="dxa"/>
            <w:vAlign w:val="center"/>
          </w:tcPr>
          <w:p>
            <w:pPr>
              <w:pStyle w:val="12"/>
            </w:pPr>
            <w:r>
              <w:t>≥90%</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3、公务招待费绩效目标表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1.目标内容：服务于区政府,圆满完成各项接待任务，有效推进我区经济建设的任务目标，保障上级在鹿泉区的各项重大活动圆满完成</w:t>
            </w:r>
          </w:p>
        </w:tc>
      </w:tr>
    </w:tbl>
    <w:p>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完成公务接待次数</w:t>
            </w:r>
          </w:p>
        </w:tc>
        <w:tc>
          <w:tcPr>
            <w:tcW w:w="2835" w:type="dxa"/>
            <w:vAlign w:val="center"/>
          </w:tcPr>
          <w:p>
            <w:pPr>
              <w:pStyle w:val="12"/>
            </w:pPr>
            <w:r>
              <w:t>项目拉练及重大活动次数</w:t>
            </w:r>
          </w:p>
        </w:tc>
        <w:tc>
          <w:tcPr>
            <w:tcW w:w="2551" w:type="dxa"/>
            <w:vAlign w:val="center"/>
          </w:tcPr>
          <w:p>
            <w:pPr>
              <w:pStyle w:val="12"/>
            </w:pPr>
            <w:r>
              <w:t>≤6次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公务接待完成情况</w:t>
            </w:r>
          </w:p>
        </w:tc>
        <w:tc>
          <w:tcPr>
            <w:tcW w:w="2835" w:type="dxa"/>
            <w:vAlign w:val="center"/>
          </w:tcPr>
          <w:p>
            <w:pPr>
              <w:pStyle w:val="12"/>
            </w:pPr>
            <w:r>
              <w:t>公务接待完成情况</w:t>
            </w:r>
          </w:p>
        </w:tc>
        <w:tc>
          <w:tcPr>
            <w:tcW w:w="2551" w:type="dxa"/>
            <w:vAlign w:val="center"/>
          </w:tcPr>
          <w:p>
            <w:pPr>
              <w:pStyle w:val="12"/>
            </w:pPr>
            <w:r>
              <w:t>是否圆满完成</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2835" w:type="dxa"/>
            <w:vAlign w:val="center"/>
          </w:tcPr>
          <w:p>
            <w:pPr>
              <w:pStyle w:val="12"/>
            </w:pPr>
            <w:r>
              <w:t>是否按时完成</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接待成本</w:t>
            </w:r>
          </w:p>
        </w:tc>
        <w:tc>
          <w:tcPr>
            <w:tcW w:w="2835" w:type="dxa"/>
            <w:vAlign w:val="center"/>
          </w:tcPr>
          <w:p>
            <w:pPr>
              <w:pStyle w:val="12"/>
            </w:pPr>
            <w:r>
              <w:t>接待成本</w:t>
            </w:r>
          </w:p>
        </w:tc>
        <w:tc>
          <w:tcPr>
            <w:tcW w:w="2551" w:type="dxa"/>
            <w:vAlign w:val="center"/>
          </w:tcPr>
          <w:p>
            <w:pPr>
              <w:pStyle w:val="12"/>
            </w:pPr>
            <w:r>
              <w:t>≤10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可持续影响度</w:t>
            </w:r>
          </w:p>
        </w:tc>
        <w:tc>
          <w:tcPr>
            <w:tcW w:w="2835" w:type="dxa"/>
            <w:vAlign w:val="center"/>
          </w:tcPr>
          <w:p>
            <w:pPr>
              <w:pStyle w:val="12"/>
            </w:pPr>
            <w:r>
              <w:t>可持续影响度</w:t>
            </w:r>
          </w:p>
        </w:tc>
        <w:tc>
          <w:tcPr>
            <w:tcW w:w="2551" w:type="dxa"/>
            <w:vAlign w:val="center"/>
          </w:tcPr>
          <w:p>
            <w:pPr>
              <w:pStyle w:val="12"/>
            </w:pPr>
            <w:r>
              <w:t>≥90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≥90</w:t>
            </w:r>
          </w:p>
        </w:tc>
        <w:tc>
          <w:tcPr>
            <w:tcW w:w="2268"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4、国家赔偿金绩效目标表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1.1、通过国家赔偿行为以体现法治公平的目标。2、通过国家赔偿达到维护社会稳定的目标</w:t>
            </w:r>
          </w:p>
        </w:tc>
      </w:tr>
    </w:tbl>
    <w:p>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国家赔偿金金额</w:t>
            </w:r>
          </w:p>
        </w:tc>
        <w:tc>
          <w:tcPr>
            <w:tcW w:w="2835" w:type="dxa"/>
            <w:vAlign w:val="center"/>
          </w:tcPr>
          <w:p>
            <w:pPr>
              <w:pStyle w:val="12"/>
            </w:pPr>
            <w:r>
              <w:t>国家赔偿金金额</w:t>
            </w:r>
          </w:p>
        </w:tc>
        <w:tc>
          <w:tcPr>
            <w:tcW w:w="2551" w:type="dxa"/>
            <w:vAlign w:val="center"/>
          </w:tcPr>
          <w:p>
            <w:pPr>
              <w:pStyle w:val="12"/>
            </w:pPr>
            <w:r>
              <w:t>≤10万元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国家赔偿金完成率</w:t>
            </w:r>
          </w:p>
        </w:tc>
        <w:tc>
          <w:tcPr>
            <w:tcW w:w="2835" w:type="dxa"/>
            <w:vAlign w:val="center"/>
          </w:tcPr>
          <w:p>
            <w:pPr>
              <w:pStyle w:val="12"/>
            </w:pPr>
            <w:r>
              <w:t>国家赔偿金完成情况</w:t>
            </w:r>
          </w:p>
        </w:tc>
        <w:tc>
          <w:tcPr>
            <w:tcW w:w="2551" w:type="dxa"/>
            <w:vAlign w:val="center"/>
          </w:tcPr>
          <w:p>
            <w:pPr>
              <w:pStyle w:val="12"/>
            </w:pPr>
            <w:r>
              <w:t>≥90%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国家赔偿金赔偿及时率</w:t>
            </w:r>
          </w:p>
        </w:tc>
        <w:tc>
          <w:tcPr>
            <w:tcW w:w="2835" w:type="dxa"/>
            <w:vAlign w:val="center"/>
          </w:tcPr>
          <w:p>
            <w:pPr>
              <w:pStyle w:val="12"/>
            </w:pPr>
            <w:r>
              <w:t>国家赔偿金赔偿及时性</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赔偿金成本</w:t>
            </w:r>
          </w:p>
        </w:tc>
        <w:tc>
          <w:tcPr>
            <w:tcW w:w="2835" w:type="dxa"/>
            <w:vAlign w:val="center"/>
          </w:tcPr>
          <w:p>
            <w:pPr>
              <w:pStyle w:val="12"/>
            </w:pPr>
            <w:r>
              <w:t>赔偿金成本</w:t>
            </w:r>
          </w:p>
        </w:tc>
        <w:tc>
          <w:tcPr>
            <w:tcW w:w="2551" w:type="dxa"/>
            <w:vAlign w:val="center"/>
          </w:tcPr>
          <w:p>
            <w:pPr>
              <w:pStyle w:val="12"/>
            </w:pPr>
            <w:r>
              <w:t>≤10万元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社会影响力</w:t>
            </w:r>
          </w:p>
        </w:tc>
        <w:tc>
          <w:tcPr>
            <w:tcW w:w="2835" w:type="dxa"/>
            <w:vAlign w:val="center"/>
          </w:tcPr>
          <w:p>
            <w:pPr>
              <w:pStyle w:val="12"/>
            </w:pPr>
            <w:r>
              <w:t>社会影响力方面的变化情况</w:t>
            </w:r>
          </w:p>
        </w:tc>
        <w:tc>
          <w:tcPr>
            <w:tcW w:w="2551" w:type="dxa"/>
            <w:vAlign w:val="center"/>
          </w:tcPr>
          <w:p>
            <w:pPr>
              <w:pStyle w:val="12"/>
            </w:pPr>
            <w:r>
              <w:t>提升</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群众对赔偿结果满意度</w:t>
            </w:r>
          </w:p>
        </w:tc>
        <w:tc>
          <w:tcPr>
            <w:tcW w:w="2551" w:type="dxa"/>
            <w:vAlign w:val="center"/>
          </w:tcPr>
          <w:p>
            <w:pPr>
              <w:pStyle w:val="12"/>
            </w:pPr>
            <w:r>
              <w:t>≥90%</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5、人防经费绩效目标表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1.目标内容：通过建设人防教育基地一处及不少于2次的人防宣传，做好人防宣传教育工作，做到战时有序组织开展人民防空空情信息保障、群众疏散掩蔽等重要的人防工作</w:t>
            </w:r>
          </w:p>
        </w:tc>
      </w:tr>
    </w:tbl>
    <w:p>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人防宣传次数</w:t>
            </w:r>
          </w:p>
        </w:tc>
        <w:tc>
          <w:tcPr>
            <w:tcW w:w="2835" w:type="dxa"/>
            <w:vAlign w:val="center"/>
          </w:tcPr>
          <w:p>
            <w:pPr>
              <w:pStyle w:val="12"/>
            </w:pPr>
            <w:r>
              <w:t>宣传次数</w:t>
            </w:r>
          </w:p>
        </w:tc>
        <w:tc>
          <w:tcPr>
            <w:tcW w:w="2551" w:type="dxa"/>
            <w:vAlign w:val="center"/>
          </w:tcPr>
          <w:p>
            <w:pPr>
              <w:pStyle w:val="12"/>
            </w:pPr>
            <w:r>
              <w:t>≥2次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人防警报安装的验收通过率</w:t>
            </w:r>
          </w:p>
        </w:tc>
        <w:tc>
          <w:tcPr>
            <w:tcW w:w="2835" w:type="dxa"/>
            <w:vAlign w:val="center"/>
          </w:tcPr>
          <w:p>
            <w:pPr>
              <w:pStyle w:val="12"/>
            </w:pPr>
            <w:r>
              <w:t>人防警报试鸣及安装</w:t>
            </w:r>
          </w:p>
        </w:tc>
        <w:tc>
          <w:tcPr>
            <w:tcW w:w="2551" w:type="dxa"/>
            <w:vAlign w:val="center"/>
          </w:tcPr>
          <w:p>
            <w:pPr>
              <w:pStyle w:val="12"/>
            </w:pPr>
            <w:r>
              <w:t>≥90%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人防宣传按时完成率</w:t>
            </w:r>
          </w:p>
        </w:tc>
        <w:tc>
          <w:tcPr>
            <w:tcW w:w="2835" w:type="dxa"/>
            <w:vAlign w:val="center"/>
          </w:tcPr>
          <w:p>
            <w:pPr>
              <w:pStyle w:val="12"/>
            </w:pPr>
            <w:r>
              <w:t>人防宣传按时完成情况</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pPr>
            <w:r>
              <w:t>资金成本</w:t>
            </w:r>
          </w:p>
        </w:tc>
        <w:tc>
          <w:tcPr>
            <w:tcW w:w="2551" w:type="dxa"/>
            <w:vAlign w:val="center"/>
          </w:tcPr>
          <w:p>
            <w:pPr>
              <w:pStyle w:val="12"/>
            </w:pPr>
            <w:r>
              <w:t>≤110万</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成果应用效果</w:t>
            </w:r>
          </w:p>
        </w:tc>
        <w:tc>
          <w:tcPr>
            <w:tcW w:w="2835" w:type="dxa"/>
            <w:vAlign w:val="center"/>
          </w:tcPr>
          <w:p>
            <w:pPr>
              <w:pStyle w:val="12"/>
            </w:pPr>
            <w:r>
              <w:t>通过人防教育基地建设，提高群众对人防工作的认识</w:t>
            </w:r>
          </w:p>
        </w:tc>
        <w:tc>
          <w:tcPr>
            <w:tcW w:w="2551" w:type="dxa"/>
            <w:vAlign w:val="center"/>
          </w:tcPr>
          <w:p>
            <w:pPr>
              <w:pStyle w:val="12"/>
            </w:pPr>
            <w:r>
              <w:t>进一步提高群众对人防的认识</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群众对诉求事项解决情况满意度</w:t>
            </w:r>
          </w:p>
        </w:tc>
        <w:tc>
          <w:tcPr>
            <w:tcW w:w="2551" w:type="dxa"/>
            <w:vAlign w:val="center"/>
          </w:tcPr>
          <w:p>
            <w:pPr>
              <w:pStyle w:val="12"/>
            </w:pPr>
            <w:r>
              <w:t>≥90%</w:t>
            </w:r>
          </w:p>
        </w:tc>
        <w:tc>
          <w:tcPr>
            <w:tcW w:w="2268"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6、市民服务热线经费绩效目标表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1.目标内容：公开电话实行24小时办公，进一步提高我区公开电话办理质量,提升群众满意度,解决群众的烦心事、揪心事</w:t>
            </w:r>
          </w:p>
        </w:tc>
      </w:tr>
    </w:tbl>
    <w:p>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公开电话受理时间</w:t>
            </w:r>
          </w:p>
        </w:tc>
        <w:tc>
          <w:tcPr>
            <w:tcW w:w="2835" w:type="dxa"/>
            <w:vAlign w:val="center"/>
          </w:tcPr>
          <w:p>
            <w:pPr>
              <w:pStyle w:val="12"/>
            </w:pPr>
            <w:r>
              <w:t>公开电话受理时间</w:t>
            </w:r>
          </w:p>
        </w:tc>
        <w:tc>
          <w:tcPr>
            <w:tcW w:w="2551" w:type="dxa"/>
            <w:vAlign w:val="center"/>
          </w:tcPr>
          <w:p>
            <w:pPr>
              <w:pStyle w:val="12"/>
            </w:pPr>
            <w:r>
              <w:t>24小时/天</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公开电话办结率</w:t>
            </w:r>
          </w:p>
        </w:tc>
        <w:tc>
          <w:tcPr>
            <w:tcW w:w="2835" w:type="dxa"/>
            <w:vAlign w:val="center"/>
          </w:tcPr>
          <w:p>
            <w:pPr>
              <w:pStyle w:val="12"/>
            </w:pPr>
            <w:r>
              <w:t>群众诉求事项案件办结率</w:t>
            </w:r>
          </w:p>
        </w:tc>
        <w:tc>
          <w:tcPr>
            <w:tcW w:w="2551" w:type="dxa"/>
            <w:vAlign w:val="center"/>
          </w:tcPr>
          <w:p>
            <w:pPr>
              <w:pStyle w:val="12"/>
            </w:pPr>
            <w:r>
              <w:t>≥80%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公开电话办理及时性</w:t>
            </w:r>
          </w:p>
        </w:tc>
        <w:tc>
          <w:tcPr>
            <w:tcW w:w="2835" w:type="dxa"/>
            <w:vAlign w:val="center"/>
          </w:tcPr>
          <w:p>
            <w:pPr>
              <w:pStyle w:val="12"/>
            </w:pPr>
            <w:r>
              <w:t>群众反映问题立即交办</w:t>
            </w:r>
          </w:p>
        </w:tc>
        <w:tc>
          <w:tcPr>
            <w:tcW w:w="2551" w:type="dxa"/>
            <w:vAlign w:val="center"/>
          </w:tcPr>
          <w:p>
            <w:pPr>
              <w:pStyle w:val="12"/>
            </w:pPr>
            <w:r>
              <w:t>≥90%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pPr>
            <w:r>
              <w:t>减少资金成本，人员优化</w:t>
            </w:r>
          </w:p>
        </w:tc>
        <w:tc>
          <w:tcPr>
            <w:tcW w:w="2551" w:type="dxa"/>
            <w:vAlign w:val="center"/>
          </w:tcPr>
          <w:p>
            <w:pPr>
              <w:pStyle w:val="12"/>
            </w:pPr>
            <w:r>
              <w:t>≤96万元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受理电话落实率</w:t>
            </w:r>
          </w:p>
        </w:tc>
        <w:tc>
          <w:tcPr>
            <w:tcW w:w="2835" w:type="dxa"/>
            <w:vAlign w:val="center"/>
          </w:tcPr>
          <w:p>
            <w:pPr>
              <w:pStyle w:val="12"/>
            </w:pPr>
            <w:r>
              <w:t>受理电话落实情况</w:t>
            </w:r>
          </w:p>
        </w:tc>
        <w:tc>
          <w:tcPr>
            <w:tcW w:w="2551" w:type="dxa"/>
            <w:vAlign w:val="center"/>
          </w:tcPr>
          <w:p>
            <w:pPr>
              <w:pStyle w:val="12"/>
            </w:pPr>
            <w:r>
              <w:t>≥85%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≥85%</w:t>
            </w:r>
          </w:p>
        </w:tc>
        <w:tc>
          <w:tcPr>
            <w:tcW w:w="2268"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7、信息化运行维护费绩效目标表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1.目标内容：通过政府门户网站、网络办公系统2套系统的维护，保障全区各部门、乡镇正常发布网站信息；及时收发通知、公文。</w:t>
            </w:r>
          </w:p>
        </w:tc>
      </w:tr>
    </w:tbl>
    <w:p>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软件维护数量</w:t>
            </w:r>
          </w:p>
        </w:tc>
        <w:tc>
          <w:tcPr>
            <w:tcW w:w="2835" w:type="dxa"/>
            <w:vAlign w:val="center"/>
          </w:tcPr>
          <w:p>
            <w:pPr>
              <w:pStyle w:val="12"/>
            </w:pPr>
            <w:r>
              <w:t>软件维护数量</w:t>
            </w:r>
          </w:p>
        </w:tc>
        <w:tc>
          <w:tcPr>
            <w:tcW w:w="2551" w:type="dxa"/>
            <w:vAlign w:val="center"/>
          </w:tcPr>
          <w:p>
            <w:pPr>
              <w:pStyle w:val="12"/>
            </w:pPr>
            <w:r>
              <w:t>2个</w:t>
            </w:r>
          </w:p>
        </w:tc>
        <w:tc>
          <w:tcPr>
            <w:tcW w:w="2268" w:type="dxa"/>
            <w:vAlign w:val="center"/>
          </w:tcPr>
          <w:p>
            <w:pPr>
              <w:pStyle w:val="12"/>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系统故障率</w:t>
            </w:r>
          </w:p>
        </w:tc>
        <w:tc>
          <w:tcPr>
            <w:tcW w:w="2835" w:type="dxa"/>
            <w:vAlign w:val="center"/>
          </w:tcPr>
          <w:p>
            <w:pPr>
              <w:pStyle w:val="12"/>
            </w:pPr>
            <w:r>
              <w:t>系统出现故障率</w:t>
            </w:r>
          </w:p>
        </w:tc>
        <w:tc>
          <w:tcPr>
            <w:tcW w:w="2551" w:type="dxa"/>
            <w:vAlign w:val="center"/>
          </w:tcPr>
          <w:p>
            <w:pPr>
              <w:pStyle w:val="12"/>
            </w:pPr>
            <w:r>
              <w:t>≤10%</w:t>
            </w:r>
          </w:p>
        </w:tc>
        <w:tc>
          <w:tcPr>
            <w:tcW w:w="2268" w:type="dxa"/>
            <w:vAlign w:val="center"/>
          </w:tcPr>
          <w:p>
            <w:pPr>
              <w:pStyle w:val="12"/>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处理业务及时性</w:t>
            </w:r>
          </w:p>
        </w:tc>
        <w:tc>
          <w:tcPr>
            <w:tcW w:w="2835" w:type="dxa"/>
            <w:vAlign w:val="center"/>
          </w:tcPr>
          <w:p>
            <w:pPr>
              <w:pStyle w:val="12"/>
            </w:pPr>
            <w:r>
              <w:t>及时处理业务数占总处理数的比例</w:t>
            </w:r>
          </w:p>
        </w:tc>
        <w:tc>
          <w:tcPr>
            <w:tcW w:w="2551" w:type="dxa"/>
            <w:vAlign w:val="center"/>
          </w:tcPr>
          <w:p>
            <w:pPr>
              <w:pStyle w:val="12"/>
            </w:pPr>
            <w:r>
              <w:t>≥90%</w:t>
            </w:r>
          </w:p>
        </w:tc>
        <w:tc>
          <w:tcPr>
            <w:tcW w:w="2268" w:type="dxa"/>
            <w:vAlign w:val="center"/>
          </w:tcPr>
          <w:p>
            <w:pPr>
              <w:pStyle w:val="12"/>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pPr>
            <w:r>
              <w:t>资金成本</w:t>
            </w:r>
          </w:p>
        </w:tc>
        <w:tc>
          <w:tcPr>
            <w:tcW w:w="2551" w:type="dxa"/>
            <w:vAlign w:val="center"/>
          </w:tcPr>
          <w:p>
            <w:pPr>
              <w:pStyle w:val="12"/>
            </w:pPr>
            <w:r>
              <w:t>≤90万元</w:t>
            </w:r>
          </w:p>
        </w:tc>
        <w:tc>
          <w:tcPr>
            <w:tcW w:w="2268" w:type="dxa"/>
            <w:vAlign w:val="center"/>
          </w:tcPr>
          <w:p>
            <w:pPr>
              <w:pStyle w:val="12"/>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软件正常使用年限</w:t>
            </w:r>
          </w:p>
        </w:tc>
        <w:tc>
          <w:tcPr>
            <w:tcW w:w="2835" w:type="dxa"/>
            <w:vAlign w:val="center"/>
          </w:tcPr>
          <w:p>
            <w:pPr>
              <w:pStyle w:val="12"/>
            </w:pPr>
            <w:r>
              <w:t>软件正常使用年限</w:t>
            </w:r>
          </w:p>
        </w:tc>
        <w:tc>
          <w:tcPr>
            <w:tcW w:w="2551" w:type="dxa"/>
            <w:vAlign w:val="center"/>
          </w:tcPr>
          <w:p>
            <w:pPr>
              <w:pStyle w:val="12"/>
            </w:pPr>
            <w:r>
              <w:t>≥1年</w:t>
            </w:r>
          </w:p>
        </w:tc>
        <w:tc>
          <w:tcPr>
            <w:tcW w:w="2268" w:type="dxa"/>
            <w:vAlign w:val="center"/>
          </w:tcPr>
          <w:p>
            <w:pPr>
              <w:pStyle w:val="12"/>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≥99%</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8、因公出国费绩效目标表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 1.走访国外知名企业2、引进国外专家人才，学习国外先进经验</w:t>
            </w:r>
          </w:p>
        </w:tc>
      </w:tr>
    </w:tbl>
    <w:p>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出访次数</w:t>
            </w:r>
          </w:p>
        </w:tc>
        <w:tc>
          <w:tcPr>
            <w:tcW w:w="2835" w:type="dxa"/>
            <w:vAlign w:val="center"/>
          </w:tcPr>
          <w:p>
            <w:pPr>
              <w:pStyle w:val="12"/>
            </w:pPr>
            <w:r>
              <w:t>出访次数</w:t>
            </w:r>
          </w:p>
        </w:tc>
        <w:tc>
          <w:tcPr>
            <w:tcW w:w="2551" w:type="dxa"/>
            <w:vAlign w:val="center"/>
          </w:tcPr>
          <w:p>
            <w:pPr>
              <w:pStyle w:val="12"/>
            </w:pPr>
            <w:r>
              <w:t>≥3次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出国任务完成率</w:t>
            </w:r>
          </w:p>
        </w:tc>
        <w:tc>
          <w:tcPr>
            <w:tcW w:w="2835" w:type="dxa"/>
            <w:vAlign w:val="center"/>
          </w:tcPr>
          <w:p>
            <w:pPr>
              <w:pStyle w:val="12"/>
            </w:pPr>
            <w:r>
              <w:t>出国任务完成情况</w:t>
            </w:r>
          </w:p>
        </w:tc>
        <w:tc>
          <w:tcPr>
            <w:tcW w:w="2551" w:type="dxa"/>
            <w:vAlign w:val="center"/>
          </w:tcPr>
          <w:p>
            <w:pPr>
              <w:pStyle w:val="12"/>
            </w:pPr>
            <w:r>
              <w:t>≥96%</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出国任务完成情况</w:t>
            </w:r>
          </w:p>
        </w:tc>
        <w:tc>
          <w:tcPr>
            <w:tcW w:w="2835" w:type="dxa"/>
            <w:vAlign w:val="center"/>
          </w:tcPr>
          <w:p>
            <w:pPr>
              <w:pStyle w:val="12"/>
            </w:pPr>
            <w:r>
              <w:t>出国任务按时完成情况</w:t>
            </w:r>
          </w:p>
        </w:tc>
        <w:tc>
          <w:tcPr>
            <w:tcW w:w="2551" w:type="dxa"/>
            <w:vAlign w:val="center"/>
          </w:tcPr>
          <w:p>
            <w:pPr>
              <w:pStyle w:val="12"/>
            </w:pPr>
            <w:r>
              <w:t>≥96%</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出访成本</w:t>
            </w:r>
          </w:p>
        </w:tc>
        <w:tc>
          <w:tcPr>
            <w:tcW w:w="2835" w:type="dxa"/>
            <w:vAlign w:val="center"/>
          </w:tcPr>
          <w:p>
            <w:pPr>
              <w:pStyle w:val="12"/>
            </w:pPr>
            <w:r>
              <w:t>出访成本</w:t>
            </w:r>
          </w:p>
        </w:tc>
        <w:tc>
          <w:tcPr>
            <w:tcW w:w="2551" w:type="dxa"/>
            <w:vAlign w:val="center"/>
          </w:tcPr>
          <w:p>
            <w:pPr>
              <w:pStyle w:val="12"/>
            </w:pPr>
            <w:r>
              <w:t>≤7.5万元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社会影响力</w:t>
            </w:r>
          </w:p>
        </w:tc>
        <w:tc>
          <w:tcPr>
            <w:tcW w:w="2835" w:type="dxa"/>
            <w:vAlign w:val="center"/>
          </w:tcPr>
          <w:p>
            <w:pPr>
              <w:pStyle w:val="12"/>
            </w:pPr>
            <w:r>
              <w:t>社会影响力方面的变化情况</w:t>
            </w:r>
          </w:p>
        </w:tc>
        <w:tc>
          <w:tcPr>
            <w:tcW w:w="2551" w:type="dxa"/>
            <w:vAlign w:val="center"/>
          </w:tcPr>
          <w:p>
            <w:pPr>
              <w:pStyle w:val="12"/>
            </w:pPr>
            <w:r>
              <w:t>提升</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活动参与者满意度</w:t>
            </w:r>
          </w:p>
        </w:tc>
        <w:tc>
          <w:tcPr>
            <w:tcW w:w="2835" w:type="dxa"/>
            <w:vAlign w:val="center"/>
          </w:tcPr>
          <w:p>
            <w:pPr>
              <w:pStyle w:val="12"/>
            </w:pPr>
            <w:r>
              <w:t>调查中满意和较满意人数占调查总人数的比</w:t>
            </w:r>
          </w:p>
        </w:tc>
        <w:tc>
          <w:tcPr>
            <w:tcW w:w="2551" w:type="dxa"/>
            <w:vAlign w:val="center"/>
          </w:tcPr>
          <w:p>
            <w:pPr>
              <w:pStyle w:val="12"/>
            </w:pPr>
            <w:r>
              <w:t>≥99%</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9、重大活动经费绩效目标表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1.目标内容：通过组织1-5次的重大活动，对外宣传，塑造我区良好形象，提升招商引资水平。</w:t>
            </w:r>
          </w:p>
        </w:tc>
      </w:tr>
    </w:tbl>
    <w:p>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组织宣传活动次数</w:t>
            </w:r>
          </w:p>
        </w:tc>
        <w:tc>
          <w:tcPr>
            <w:tcW w:w="2835" w:type="dxa"/>
            <w:vAlign w:val="center"/>
          </w:tcPr>
          <w:p>
            <w:pPr>
              <w:pStyle w:val="12"/>
            </w:pPr>
            <w:r>
              <w:t>宣传活动次数</w:t>
            </w:r>
          </w:p>
        </w:tc>
        <w:tc>
          <w:tcPr>
            <w:tcW w:w="2551" w:type="dxa"/>
            <w:vAlign w:val="center"/>
          </w:tcPr>
          <w:p>
            <w:pPr>
              <w:pStyle w:val="12"/>
            </w:pPr>
            <w:r>
              <w:t>≤5次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宣传活动覆盖率</w:t>
            </w:r>
          </w:p>
        </w:tc>
        <w:tc>
          <w:tcPr>
            <w:tcW w:w="2835" w:type="dxa"/>
            <w:vAlign w:val="center"/>
          </w:tcPr>
          <w:p>
            <w:pPr>
              <w:pStyle w:val="12"/>
            </w:pPr>
            <w:r>
              <w:t>宣传活动覆盖率</w:t>
            </w:r>
          </w:p>
        </w:tc>
        <w:tc>
          <w:tcPr>
            <w:tcW w:w="2551" w:type="dxa"/>
            <w:vAlign w:val="center"/>
          </w:tcPr>
          <w:p>
            <w:pPr>
              <w:pStyle w:val="12"/>
            </w:pPr>
            <w:r>
              <w:t>≥90%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重大活动按时完成率</w:t>
            </w:r>
          </w:p>
        </w:tc>
        <w:tc>
          <w:tcPr>
            <w:tcW w:w="2835" w:type="dxa"/>
            <w:vAlign w:val="center"/>
          </w:tcPr>
          <w:p>
            <w:pPr>
              <w:pStyle w:val="12"/>
            </w:pPr>
            <w:r>
              <w:t>重大活动按时完成</w:t>
            </w:r>
          </w:p>
        </w:tc>
        <w:tc>
          <w:tcPr>
            <w:tcW w:w="2551" w:type="dxa"/>
            <w:vAlign w:val="center"/>
          </w:tcPr>
          <w:p>
            <w:pPr>
              <w:pStyle w:val="12"/>
            </w:pPr>
            <w:r>
              <w:t>≥90%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pPr>
            <w:r>
              <w:t>资金成本控制</w:t>
            </w:r>
          </w:p>
        </w:tc>
        <w:tc>
          <w:tcPr>
            <w:tcW w:w="2551" w:type="dxa"/>
            <w:vAlign w:val="center"/>
          </w:tcPr>
          <w:p>
            <w:pPr>
              <w:pStyle w:val="12"/>
            </w:pPr>
            <w:r>
              <w:t>≤30万</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宣传知晓率</w:t>
            </w:r>
          </w:p>
        </w:tc>
        <w:tc>
          <w:tcPr>
            <w:tcW w:w="2835" w:type="dxa"/>
            <w:vAlign w:val="center"/>
          </w:tcPr>
          <w:p>
            <w:pPr>
              <w:pStyle w:val="12"/>
            </w:pPr>
            <w:r>
              <w:t>对外宣传效果</w:t>
            </w:r>
          </w:p>
        </w:tc>
        <w:tc>
          <w:tcPr>
            <w:tcW w:w="2551" w:type="dxa"/>
            <w:vAlign w:val="center"/>
          </w:tcPr>
          <w:p>
            <w:pPr>
              <w:pStyle w:val="12"/>
            </w:pPr>
            <w:r>
              <w:t>≥90%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≥90%</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10、专项工作经费绩效目标表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1.目标内容1、对外招商考察2、通过政务公开及政务督查力求上级政策落到实处</w:t>
            </w:r>
          </w:p>
        </w:tc>
      </w:tr>
    </w:tbl>
    <w:p>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外出考察次数</w:t>
            </w:r>
          </w:p>
        </w:tc>
        <w:tc>
          <w:tcPr>
            <w:tcW w:w="2835" w:type="dxa"/>
            <w:vAlign w:val="center"/>
          </w:tcPr>
          <w:p>
            <w:pPr>
              <w:pStyle w:val="12"/>
            </w:pPr>
            <w:r>
              <w:t>全年外出考察次数</w:t>
            </w:r>
          </w:p>
        </w:tc>
        <w:tc>
          <w:tcPr>
            <w:tcW w:w="2551" w:type="dxa"/>
            <w:vAlign w:val="center"/>
          </w:tcPr>
          <w:p>
            <w:pPr>
              <w:pStyle w:val="12"/>
            </w:pPr>
            <w:r>
              <w:t>≤10次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外出考察效果</w:t>
            </w:r>
          </w:p>
        </w:tc>
        <w:tc>
          <w:tcPr>
            <w:tcW w:w="2835" w:type="dxa"/>
            <w:vAlign w:val="center"/>
          </w:tcPr>
          <w:p>
            <w:pPr>
              <w:pStyle w:val="12"/>
            </w:pPr>
            <w:r>
              <w:t>外出考察效果</w:t>
            </w:r>
          </w:p>
        </w:tc>
        <w:tc>
          <w:tcPr>
            <w:tcW w:w="2551" w:type="dxa"/>
            <w:vAlign w:val="center"/>
          </w:tcPr>
          <w:p>
            <w:pPr>
              <w:pStyle w:val="12"/>
            </w:pPr>
            <w:r>
              <w:t>是否达到预期目标</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考察按时完成率</w:t>
            </w:r>
          </w:p>
        </w:tc>
        <w:tc>
          <w:tcPr>
            <w:tcW w:w="2835" w:type="dxa"/>
            <w:vAlign w:val="center"/>
          </w:tcPr>
          <w:p>
            <w:pPr>
              <w:pStyle w:val="12"/>
            </w:pPr>
            <w:r>
              <w:t>考察按时完成</w:t>
            </w:r>
          </w:p>
        </w:tc>
        <w:tc>
          <w:tcPr>
            <w:tcW w:w="2551" w:type="dxa"/>
            <w:vAlign w:val="center"/>
          </w:tcPr>
          <w:p>
            <w:pPr>
              <w:pStyle w:val="12"/>
            </w:pPr>
            <w:r>
              <w:t>≥90%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pPr>
            <w:r>
              <w:t>资金成本</w:t>
            </w:r>
          </w:p>
        </w:tc>
        <w:tc>
          <w:tcPr>
            <w:tcW w:w="2551" w:type="dxa"/>
            <w:vAlign w:val="center"/>
          </w:tcPr>
          <w:p>
            <w:pPr>
              <w:pStyle w:val="12"/>
            </w:pPr>
            <w:r>
              <w:t>≤118万元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社会影响率</w:t>
            </w:r>
          </w:p>
        </w:tc>
        <w:tc>
          <w:tcPr>
            <w:tcW w:w="2835" w:type="dxa"/>
            <w:vAlign w:val="center"/>
          </w:tcPr>
          <w:p>
            <w:pPr>
              <w:pStyle w:val="12"/>
            </w:pPr>
            <w:r>
              <w:t>社会影响力方面的变化</w:t>
            </w:r>
          </w:p>
        </w:tc>
        <w:tc>
          <w:tcPr>
            <w:tcW w:w="2551" w:type="dxa"/>
            <w:vAlign w:val="center"/>
          </w:tcPr>
          <w:p>
            <w:pPr>
              <w:pStyle w:val="12"/>
            </w:pPr>
            <w:r>
              <w:t>提升</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≥90%</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2" w:name="_Toc_3_3_0000000015"/>
      <w:r>
        <w:rPr>
          <w:rFonts w:ascii="黑体" w:hAnsi="黑体" w:eastAsia="黑体" w:cs="黑体"/>
          <w:color w:val="000000"/>
          <w:sz w:val="32"/>
        </w:rPr>
        <w:t>六、政府采购预算情况</w:t>
      </w:r>
      <w:bookmarkEnd w:id="12"/>
    </w:p>
    <w:p>
      <w:pPr>
        <w:spacing w:line="500" w:lineRule="exact"/>
        <w:ind w:firstLine="560"/>
      </w:pPr>
      <w:r>
        <w:rPr>
          <w:rFonts w:eastAsia="方正仿宋_GBK"/>
          <w:color w:val="000000"/>
          <w:sz w:val="28"/>
        </w:rPr>
        <w:t>2023年，石家庄市鹿泉区人民政府办公室安排政府采购预算96.00万元。具体内容见下表。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301石家庄市鹿泉区人民政府办公室</w:t>
            </w:r>
          </w:p>
        </w:tc>
        <w:tc>
          <w:tcPr>
            <w:tcW w:w="8676"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96.00</w:t>
            </w:r>
          </w:p>
        </w:tc>
        <w:tc>
          <w:tcPr>
            <w:tcW w:w="964" w:type="dxa"/>
            <w:vAlign w:val="center"/>
          </w:tcPr>
          <w:p>
            <w:pPr>
              <w:pStyle w:val="15"/>
            </w:pPr>
            <w:r>
              <w:t>96.00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96.00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石家庄市鹿泉区人民政府办公室本级小计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96.00</w:t>
            </w:r>
          </w:p>
        </w:tc>
        <w:tc>
          <w:tcPr>
            <w:tcW w:w="964" w:type="dxa"/>
            <w:vAlign w:val="center"/>
          </w:tcPr>
          <w:p>
            <w:pPr>
              <w:pStyle w:val="15"/>
            </w:pPr>
            <w:r>
              <w:t>96.00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96.00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市民服务热线经费</w:t>
            </w:r>
          </w:p>
        </w:tc>
        <w:tc>
          <w:tcPr>
            <w:tcW w:w="964" w:type="dxa"/>
            <w:vAlign w:val="center"/>
          </w:tcPr>
          <w:p>
            <w:pPr>
              <w:pStyle w:val="11"/>
            </w:pPr>
            <w:r>
              <w:t>96.00</w:t>
            </w:r>
          </w:p>
        </w:tc>
        <w:tc>
          <w:tcPr>
            <w:tcW w:w="1134" w:type="dxa"/>
            <w:vAlign w:val="center"/>
          </w:tcPr>
          <w:p>
            <w:pPr>
              <w:pStyle w:val="12"/>
            </w:pPr>
            <w:r>
              <w:t>其他信息技术服务</w:t>
            </w:r>
          </w:p>
        </w:tc>
        <w:tc>
          <w:tcPr>
            <w:tcW w:w="1134" w:type="dxa"/>
            <w:vAlign w:val="center"/>
          </w:tcPr>
          <w:p>
            <w:pPr>
              <w:pStyle w:val="12"/>
            </w:pPr>
            <w:r>
              <w:t>C16990000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96.00</w:t>
            </w:r>
          </w:p>
        </w:tc>
        <w:tc>
          <w:tcPr>
            <w:tcW w:w="964" w:type="dxa"/>
            <w:vAlign w:val="center"/>
          </w:tcPr>
          <w:p>
            <w:pPr>
              <w:pStyle w:val="11"/>
            </w:pPr>
            <w:r>
              <w:t>96.00</w:t>
            </w:r>
          </w:p>
        </w:tc>
        <w:tc>
          <w:tcPr>
            <w:tcW w:w="964" w:type="dxa"/>
            <w:vAlign w:val="center"/>
          </w:tcPr>
          <w:p>
            <w:pPr>
              <w:pStyle w:val="11"/>
            </w:pPr>
            <w:r>
              <w:t>96.00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96.00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2"/>
      </w:pPr>
      <w:bookmarkStart w:id="13" w:name="_Toc_3_3_0000000016"/>
      <w:r>
        <w:rPr>
          <w:rFonts w:ascii="黑体" w:hAnsi="黑体" w:eastAsia="黑体" w:cs="黑体"/>
          <w:color w:val="000000"/>
          <w:sz w:val="32"/>
        </w:rPr>
        <w:t>七、国有资产信息</w:t>
      </w:r>
      <w:bookmarkEnd w:id="13"/>
    </w:p>
    <w:p>
      <w:pPr>
        <w:spacing w:line="500" w:lineRule="exact"/>
        <w:ind w:firstLine="560"/>
      </w:pPr>
      <w:r>
        <w:rPr>
          <w:rFonts w:eastAsia="方正仿宋_GBK"/>
          <w:color w:val="000000"/>
          <w:sz w:val="28"/>
        </w:rPr>
        <w:t>石家庄市鹿泉区人民政府办公室（含所属单位）上年末固定资产金额为1445.43万元（详见下表）。本年度拟购置固定资产总额为10.00万元，已按要求列入政府采购预算，详见政府采购预算表。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301石家庄市鹿泉区人民政府办公室</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1445.43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r>
              <w:t>521.00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r>
              <w:t>521.00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r>
              <w:t>545.43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r>
              <w:t>379.00</w:t>
            </w:r>
          </w:p>
        </w:tc>
      </w:tr>
    </w:tbl>
    <w:p>
      <w:pPr>
        <w:ind w:firstLine="640"/>
      </w:pPr>
    </w:p>
    <w:p>
      <w:pPr>
        <w:spacing w:before="10" w:after="10"/>
        <w:ind w:firstLine="640"/>
        <w:outlineLvl w:val="2"/>
      </w:pPr>
      <w:bookmarkStart w:id="14" w:name="_Toc_3_3_0000000017"/>
      <w:r>
        <w:rPr>
          <w:rFonts w:ascii="黑体" w:hAnsi="黑体" w:eastAsia="黑体" w:cs="黑体"/>
          <w:color w:val="000000"/>
          <w:sz w:val="32"/>
        </w:rPr>
        <w:t>八、名词解释</w:t>
      </w:r>
      <w:bookmarkEnd w:id="14"/>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指省级财政当年拨付的资金。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区</w:t>
      </w:r>
      <w:r>
        <w:rPr>
          <w:rFonts w:eastAsia="方正仿宋_GBK"/>
          <w:color w:val="000000"/>
          <w:sz w:val="28"/>
        </w:rPr>
        <w:t>级财政预算管理的“三公”经费，是指</w:t>
      </w:r>
      <w:r>
        <w:rPr>
          <w:rFonts w:hint="eastAsia" w:eastAsia="方正仿宋_GBK"/>
          <w:color w:val="000000"/>
          <w:sz w:val="28"/>
          <w:lang w:eastAsia="zh-CN"/>
        </w:rPr>
        <w:t>区</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15" w:name="_Toc_3_3_0000000018"/>
      <w:r>
        <w:rPr>
          <w:rFonts w:ascii="黑体" w:hAnsi="黑体" w:eastAsia="黑体" w:cs="黑体"/>
          <w:color w:val="000000"/>
          <w:sz w:val="32"/>
        </w:rPr>
        <w:t>九、其他需要说明的事项</w:t>
      </w:r>
      <w:bookmarkEnd w:id="15"/>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p>
    <w:p>
      <w:pPr>
        <w:jc w:val="center"/>
      </w:pPr>
    </w:p>
    <w:p>
      <w:pPr>
        <w:jc w:val="center"/>
      </w:pPr>
    </w:p>
    <w:p>
      <w:pPr>
        <w:jc w:val="center"/>
      </w:pPr>
    </w:p>
    <w:p>
      <w:pPr>
        <w:jc w:val="center"/>
      </w:pPr>
    </w:p>
    <w:p>
      <w:pPr>
        <w:spacing w:line="500" w:lineRule="exact"/>
        <w:ind w:firstLine="560"/>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方正小标宋_GBK">
    <w:panose1 w:val="02000000000000000000"/>
    <w:charset w:val="86"/>
    <w:family w:val="roman"/>
    <w:pitch w:val="default"/>
    <w:sig w:usb0="00000001" w:usb1="08000000" w:usb2="00000000" w:usb3="00000000" w:csb0="00040000" w:csb1="00000000"/>
  </w:font>
  <w:font w:name="方正书宋_GBK">
    <w:panose1 w:val="02000000000000000000"/>
    <w:charset w:val="86"/>
    <w:family w:val="roman"/>
    <w:pitch w:val="default"/>
    <w:sig w:usb0="00000001" w:usb1="08000000" w:usb2="00000000" w:usb3="00000000" w:csb0="00040000" w:csb1="00000000"/>
  </w:font>
  <w:font w:name="方正仿宋_GBK">
    <w:panose1 w:val="02000000000000000000"/>
    <w:charset w:val="86"/>
    <w:family w:val="roman"/>
    <w:pitch w:val="default"/>
    <w:sig w:usb0="00000001" w:usb1="08000000" w:usb2="00000000" w:usb3="00000000" w:csb0="00040000" w:csb1="00000000"/>
  </w:font>
  <w:font w:name="方正楷体_GBK">
    <w:panose1 w:val="02000000000000000000"/>
    <w:charset w:val="86"/>
    <w:family w:val="roman"/>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方正宋体S-超大字符集">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15</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14</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true"/>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2E3Njk2YzU5MWFmMmZjYzgzN2Q3MWZjODk1ZGE2YWEifQ=="/>
  </w:docVars>
  <w:rsids>
    <w:rsidRoot w:val="007A5FD1"/>
    <w:rsid w:val="007A5FD1"/>
    <w:rsid w:val="00AE7F2B"/>
    <w:rsid w:val="00BC5308"/>
    <w:rsid w:val="00D21D80"/>
    <w:rsid w:val="01DA0D2E"/>
    <w:rsid w:val="0BFD6F71"/>
    <w:rsid w:val="0EDE15A2"/>
    <w:rsid w:val="196E316C"/>
    <w:rsid w:val="1CE036C3"/>
    <w:rsid w:val="1DF74C4A"/>
    <w:rsid w:val="1E336C3A"/>
    <w:rsid w:val="225F3F33"/>
    <w:rsid w:val="231353AB"/>
    <w:rsid w:val="283020BC"/>
    <w:rsid w:val="34CF2578"/>
    <w:rsid w:val="365629A7"/>
    <w:rsid w:val="3716497A"/>
    <w:rsid w:val="3CF42BCC"/>
    <w:rsid w:val="41CB0734"/>
    <w:rsid w:val="462067F8"/>
    <w:rsid w:val="48BB2CDA"/>
    <w:rsid w:val="4A086152"/>
    <w:rsid w:val="4CA1583B"/>
    <w:rsid w:val="5254144F"/>
    <w:rsid w:val="53137F75"/>
    <w:rsid w:val="590D05C0"/>
    <w:rsid w:val="67FFC855"/>
    <w:rsid w:val="6DCD4647"/>
    <w:rsid w:val="74D70BEE"/>
    <w:rsid w:val="7F2127C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unhideWhenUsed/>
    <w:qFormat/>
    <w:uiPriority w:val="1"/>
  </w:style>
  <w:style w:type="table" w:default="1" w:styleId="4">
    <w:name w:val="Normal Table"/>
    <w:unhideWhenUsed/>
    <w:qFormat/>
    <w:uiPriority w:val="99"/>
    <w:tblPr>
      <w:tblCellMar>
        <w:top w:w="0" w:type="dxa"/>
        <w:left w:w="108" w:type="dxa"/>
        <w:bottom w:w="0" w:type="dxa"/>
        <w:right w:w="108" w:type="dxa"/>
      </w:tblCellMar>
    </w:tblPr>
  </w:style>
  <w:style w:type="paragraph" w:styleId="2">
    <w:name w:val="footer"/>
    <w:basedOn w:val="1"/>
    <w:link w:val="34"/>
    <w:unhideWhenUsed/>
    <w:qFormat/>
    <w:uiPriority w:val="99"/>
    <w:pPr>
      <w:tabs>
        <w:tab w:val="center" w:pos="4153"/>
        <w:tab w:val="right" w:pos="8306"/>
      </w:tabs>
      <w:snapToGrid w:val="0"/>
    </w:pPr>
    <w:rPr>
      <w:sz w:val="18"/>
      <w:szCs w:val="18"/>
    </w:rPr>
  </w:style>
  <w:style w:type="paragraph" w:styleId="3">
    <w:name w:val="header"/>
    <w:basedOn w:val="1"/>
    <w:link w:val="33"/>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 w:type="character" w:customStyle="1" w:styleId="33">
    <w:name w:val="页眉 Char"/>
    <w:basedOn w:val="6"/>
    <w:link w:val="3"/>
    <w:semiHidden/>
    <w:qFormat/>
    <w:uiPriority w:val="99"/>
    <w:rPr>
      <w:rFonts w:eastAsia="Times New Roman"/>
      <w:sz w:val="18"/>
      <w:szCs w:val="18"/>
      <w:lang w:eastAsia="uk-UA"/>
    </w:rPr>
  </w:style>
  <w:style w:type="character" w:customStyle="1" w:styleId="34">
    <w:name w:val="页脚 Char"/>
    <w:basedOn w:val="6"/>
    <w:link w:val="2"/>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67</Pages>
  <Words>4114</Words>
  <Characters>23452</Characters>
  <Lines>195</Lines>
  <Paragraphs>55</Paragraphs>
  <TotalTime>1</TotalTime>
  <ScaleCrop>false</ScaleCrop>
  <LinksUpToDate>false</LinksUpToDate>
  <CharactersWithSpaces>27511</CharactersWithSpaces>
  <Application>WPS Office_11.8.2.10195_F1E327BC-269C-435d-A152-05C5408002CA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2023-03-08T17:56:00Z</dcterms:created>
  <dc:creator>Administrator</dc:creator>
  <cp:lastModifiedBy>uos</cp:lastModifiedBy>
  <dcterms:modified xsi:type="dcterms:W3CDTF">2024-07-03T10:56:31Z</dcterms:modified>
  <cp:revision>12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2052-11.8.2.10195</vt:lpwstr>
  </property>
  <property fmtid="{D5CDD505-2E9C-101B-9397-08002B2CF9AE}" pid="3" name="ICV">
    <vt:lpwstr>2E5C8E4765984976B18F9258DFD95134_12</vt:lpwstr>
  </property>
</Properties>
</file>