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color w:val="auto"/>
          <w:sz w:val="44"/>
          <w:szCs w:val="44"/>
          <w:lang w:val="en-US" w:eastAsia="zh-CN"/>
        </w:rPr>
      </w:pPr>
      <w:r>
        <w:rPr>
          <w:rFonts w:hint="eastAsia" w:ascii="方正小标宋_GBK" w:hAnsi="Times New Roman" w:eastAsia="方正小标宋_GBK" w:cs="Times New Roman"/>
          <w:bCs/>
          <w:color w:val="auto"/>
          <w:sz w:val="44"/>
          <w:szCs w:val="44"/>
          <w:lang w:val="en-US" w:eastAsia="zh-CN"/>
        </w:rPr>
        <w:t>石家庄市鹿泉区医疗保障局</w:t>
      </w:r>
    </w:p>
    <w:p>
      <w:pPr>
        <w:adjustRightInd w:val="0"/>
        <w:snapToGrid w:val="0"/>
        <w:jc w:val="center"/>
        <w:rPr>
          <w:rFonts w:ascii="方正小标宋_GBK" w:hAnsi="Times New Roman" w:eastAsia="方正小标宋_GBK" w:cs="Times New Roman"/>
          <w:bCs/>
          <w:color w:val="auto"/>
          <w:sz w:val="44"/>
          <w:szCs w:val="44"/>
        </w:rPr>
      </w:pPr>
      <w:r>
        <w:rPr>
          <w:rFonts w:hint="eastAsia" w:ascii="方正小标宋_GBK" w:hAnsi="Times New Roman" w:eastAsia="方正小标宋_GBK" w:cs="Times New Roman"/>
          <w:bCs/>
          <w:color w:val="auto"/>
          <w:sz w:val="44"/>
          <w:szCs w:val="44"/>
        </w:rPr>
        <w:t>2020年部门预算信息公开情况说明</w:t>
      </w:r>
    </w:p>
    <w:p>
      <w:pPr>
        <w:ind w:firstLine="640"/>
        <w:rPr>
          <w:rFonts w:ascii="Times New Roman" w:hAnsi="Times New Roman" w:eastAsia="仿宋" w:cs="Times New Roman"/>
          <w:color w:val="auto"/>
          <w:sz w:val="32"/>
          <w:szCs w:val="32"/>
        </w:rPr>
      </w:pP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按照</w:t>
      </w:r>
      <w:r>
        <w:rPr>
          <w:rFonts w:hint="eastAsia" w:ascii="Times New Roman" w:hAnsi="Times New Roman" w:eastAsia="仿宋" w:cs="Times New Roman"/>
          <w:color w:val="auto"/>
          <w:sz w:val="32"/>
          <w:szCs w:val="32"/>
          <w:lang w:eastAsia="zh-CN"/>
        </w:rPr>
        <w:t>《中华人民共和国预算法》</w:t>
      </w:r>
      <w:bookmarkStart w:id="17" w:name="_GoBack"/>
      <w:bookmarkEnd w:id="17"/>
      <w:r>
        <w:rPr>
          <w:rFonts w:hint="eastAsia" w:ascii="Times New Roman" w:hAnsi="Times New Roman" w:eastAsia="仿宋" w:cs="Times New Roman"/>
          <w:color w:val="auto"/>
          <w:sz w:val="32"/>
          <w:szCs w:val="32"/>
        </w:rPr>
        <w:t>、《地方预决算公开操作规程》和《河北省省级预算公开办法》规定，现将</w:t>
      </w:r>
      <w:r>
        <w:rPr>
          <w:rFonts w:hint="eastAsia" w:ascii="Times New Roman" w:hAnsi="Times New Roman" w:eastAsia="仿宋" w:cs="Times New Roman"/>
          <w:color w:val="auto"/>
          <w:sz w:val="32"/>
          <w:szCs w:val="32"/>
          <w:lang w:eastAsia="zh-CN"/>
        </w:rPr>
        <w:t>石家庄市鹿泉区医疗保障局</w:t>
      </w:r>
      <w:r>
        <w:rPr>
          <w:rFonts w:hint="eastAsia" w:ascii="Times New Roman" w:hAnsi="Times New Roman" w:eastAsia="仿宋" w:cs="Times New Roman"/>
          <w:color w:val="auto"/>
          <w:sz w:val="32"/>
          <w:szCs w:val="32"/>
        </w:rPr>
        <w:t>2020年部门预算公开如下：</w:t>
      </w:r>
    </w:p>
    <w:p>
      <w:pPr>
        <w:ind w:firstLine="640"/>
        <w:rPr>
          <w:rFonts w:ascii="黑体" w:hAnsi="黑体" w:eastAsia="黑体" w:cs="Times New Roman"/>
          <w:color w:val="auto"/>
          <w:sz w:val="32"/>
          <w:szCs w:val="32"/>
        </w:rPr>
      </w:pPr>
      <w:r>
        <w:rPr>
          <w:rFonts w:hint="eastAsia" w:ascii="黑体" w:hAnsi="黑体" w:eastAsia="黑体" w:cs="Times New Roman"/>
          <w:color w:val="auto"/>
          <w:sz w:val="32"/>
          <w:szCs w:val="32"/>
        </w:rPr>
        <w:t>一、部门职责及机构设置情况</w:t>
      </w:r>
    </w:p>
    <w:p>
      <w:pPr>
        <w:spacing w:line="500" w:lineRule="exact"/>
        <w:ind w:firstLine="643" w:firstLineChars="200"/>
        <w:jc w:val="left"/>
        <w:rPr>
          <w:rFonts w:ascii="仿宋" w:hAnsi="仿宋" w:eastAsia="仿宋" w:cs="Times New Roman"/>
          <w:b/>
          <w:color w:val="auto"/>
          <w:sz w:val="32"/>
          <w:szCs w:val="32"/>
        </w:rPr>
      </w:pPr>
      <w:r>
        <w:rPr>
          <w:rFonts w:hint="eastAsia" w:ascii="仿宋" w:hAnsi="仿宋" w:eastAsia="仿宋" w:cs="Times New Roman"/>
          <w:b/>
          <w:color w:val="auto"/>
          <w:sz w:val="32"/>
          <w:szCs w:val="32"/>
        </w:rPr>
        <w:t>部门</w:t>
      </w:r>
      <w:r>
        <w:rPr>
          <w:rFonts w:ascii="仿宋" w:hAnsi="仿宋" w:eastAsia="仿宋" w:cs="Times New Roman"/>
          <w:b/>
          <w:color w:val="auto"/>
          <w:sz w:val="32"/>
          <w:szCs w:val="32"/>
        </w:rPr>
        <w:t>职责：</w:t>
      </w:r>
    </w:p>
    <w:p>
      <w:pPr>
        <w:spacing w:line="500" w:lineRule="exact"/>
        <w:ind w:firstLine="560" w:firstLineChars="200"/>
        <w:jc w:val="left"/>
        <w:rPr>
          <w:rFonts w:hint="eastAsia" w:ascii="Times New Roman" w:hAnsi="宋体"/>
          <w:color w:val="auto"/>
          <w:sz w:val="28"/>
        </w:rPr>
      </w:pPr>
      <w:r>
        <w:rPr>
          <w:rFonts w:hint="eastAsia" w:ascii="Times New Roman" w:eastAsia="方正仿宋_GBK"/>
          <w:color w:val="auto"/>
          <w:sz w:val="28"/>
        </w:rPr>
        <w:t>根据《石家庄市鹿泉区医疗保障局职能配置、内设机构和人员编制规定》， 石家庄市鹿泉区医疗保障局的主要职责是：</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根据《中共石家庄市委办公厅、石家庄市人民政府办公厅关于印发〈石家庄市鹿泉区机构改革方案〉的通知》（石办字【2018】86号），制定本规定。</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石家庄市鹿泉区医疗保障局贯彻落实党中央和省、市、区委关于医疗保障工作的方针政策和决策部署，坚持和加强党对医疗保障工作的集中统一领导。</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贯彻落实国家、省、市关于城镇职工和城乡居民医疗保险、生育保险、长期护理保险、医疗救助等医疗保障法规、规章以及政策、制度、规划和标准。按照政策规定拟定本辖区具体医疗保障政策，并组织实施。</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贯彻落实国家、省、市医疗保障基金监督管理规定，建立健全医疗保障基金安全防控机制，建设维护网络信息系统和智能监控平台，按上级部署推进医疗保障基金支付方式改革，并组织实施。</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贯彻落实石家庄市城镇职工、城乡居民参保筹资和保障等相关待遇政策。贯彻落实长期护理保险制度及政策并组织实施。</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贯彻落实城乡统一的药品、医用耗材、医疗服务项目、医疗服务设施等医保支付标准。</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按照政策规定制定和调整公立基层医疗机构医疗服务价格。贯彻落实上级医保支付医药服务价格政策。依法管理药品、医用耗材、医疗服务价格政策执行情况。组织实施药品、医用耗材和医疗服务价格监测信息发布工作。</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贯彻落实石家庄市定点医疗机构协议和支付管理办法。建立健全医疗保障信用评价体系和信息披露制度，监督管理定点医药机构的医疗服务行为、医药费用和医药价格，依法查处医疗保障领域违法违规行为。</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负责医疗保障经办管理、公共服务体系和信息化建设。贯彻落实异地就医管理和费用结算政策、医疗保障关系转移接续制度。</w:t>
      </w:r>
    </w:p>
    <w:p>
      <w:pPr>
        <w:spacing w:line="500" w:lineRule="exact"/>
        <w:ind w:firstLine="560" w:firstLineChars="200"/>
        <w:jc w:val="left"/>
        <w:rPr>
          <w:rFonts w:ascii="Times New Roman" w:eastAsia="方正仿宋_GBK"/>
          <w:color w:val="auto"/>
          <w:sz w:val="28"/>
        </w:rPr>
      </w:pPr>
      <w:r>
        <w:rPr>
          <w:rFonts w:ascii="Times New Roman" w:eastAsia="方正仿宋_GBK"/>
          <w:color w:val="auto"/>
          <w:sz w:val="28"/>
        </w:rPr>
        <w:t>完成区委、区政府交办的其他任务。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color w:val="auto"/>
          <w:sz w:val="32"/>
          <w:szCs w:val="32"/>
        </w:rPr>
      </w:pPr>
    </w:p>
    <w:p>
      <w:pPr>
        <w:rPr>
          <w:rFonts w:ascii="仿宋" w:hAnsi="仿宋" w:eastAsia="仿宋" w:cs="Times New Roman"/>
          <w:color w:val="auto"/>
          <w:sz w:val="32"/>
          <w:szCs w:val="32"/>
        </w:rPr>
      </w:pPr>
    </w:p>
    <w:p>
      <w:pPr>
        <w:ind w:firstLine="643" w:firstLineChars="200"/>
        <w:rPr>
          <w:rFonts w:ascii="仿宋" w:hAnsi="仿宋" w:eastAsia="仿宋" w:cs="Times New Roman"/>
          <w:b/>
          <w:color w:val="auto"/>
          <w:sz w:val="32"/>
          <w:szCs w:val="32"/>
        </w:rPr>
      </w:pPr>
      <w:r>
        <w:rPr>
          <w:rFonts w:hint="eastAsia" w:ascii="仿宋" w:hAnsi="仿宋" w:eastAsia="仿宋" w:cs="Times New Roman"/>
          <w:b/>
          <w:color w:val="auto"/>
          <w:sz w:val="32"/>
          <w:szCs w:val="32"/>
        </w:rPr>
        <w:t>机构设置：</w:t>
      </w:r>
    </w:p>
    <w:p>
      <w:pPr>
        <w:jc w:val="center"/>
        <w:outlineLvl w:val="0"/>
        <w:rPr>
          <w:rFonts w:ascii="Times New Roman" w:hAnsi="Times New Roman" w:eastAsia="方正小标宋_GBK" w:cs="Times New Roman"/>
          <w:color w:val="auto"/>
          <w:sz w:val="32"/>
          <w:szCs w:val="24"/>
        </w:rPr>
      </w:pPr>
      <w:r>
        <w:rPr>
          <w:rFonts w:ascii="Times New Roman" w:hAnsi="Times New Roman" w:eastAsia="方正小标宋_GBK" w:cs="Times New Roman"/>
          <w:color w:val="auto"/>
          <w:sz w:val="32"/>
          <w:szCs w:val="24"/>
        </w:rPr>
        <w:t>部门</w:t>
      </w:r>
      <w:r>
        <w:rPr>
          <w:rFonts w:hint="eastAsia" w:ascii="Times New Roman" w:hAnsi="Times New Roman" w:eastAsia="方正小标宋_GBK" w:cs="Times New Roman"/>
          <w:color w:val="auto"/>
          <w:sz w:val="32"/>
          <w:szCs w:val="24"/>
        </w:rPr>
        <w:t>机构设置情况</w:t>
      </w:r>
    </w:p>
    <w:tbl>
      <w:tblPr>
        <w:tblStyle w:val="11"/>
        <w:tblW w:w="978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27"/>
        <w:gridCol w:w="966"/>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527"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单位名称</w:t>
            </w:r>
          </w:p>
        </w:tc>
        <w:tc>
          <w:tcPr>
            <w:tcW w:w="966"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单位性质</w:t>
            </w:r>
          </w:p>
        </w:tc>
        <w:tc>
          <w:tcPr>
            <w:tcW w:w="1276"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单位规格</w:t>
            </w:r>
          </w:p>
        </w:tc>
        <w:tc>
          <w:tcPr>
            <w:tcW w:w="3013"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527" w:type="dxa"/>
            <w:vMerge w:val="continue"/>
            <w:vAlign w:val="center"/>
          </w:tcPr>
          <w:p>
            <w:pPr>
              <w:spacing w:line="300" w:lineRule="exact"/>
              <w:jc w:val="left"/>
              <w:outlineLvl w:val="0"/>
              <w:rPr>
                <w:color w:val="auto"/>
              </w:rPr>
            </w:pPr>
          </w:p>
        </w:tc>
        <w:tc>
          <w:tcPr>
            <w:tcW w:w="966" w:type="dxa"/>
            <w:vMerge w:val="continue"/>
            <w:vAlign w:val="center"/>
          </w:tcPr>
          <w:p>
            <w:pPr>
              <w:spacing w:line="300" w:lineRule="exact"/>
              <w:jc w:val="left"/>
              <w:outlineLvl w:val="0"/>
              <w:rPr>
                <w:color w:val="auto"/>
              </w:rPr>
            </w:pPr>
          </w:p>
        </w:tc>
        <w:tc>
          <w:tcPr>
            <w:tcW w:w="1276" w:type="dxa"/>
            <w:vMerge w:val="continue"/>
            <w:vAlign w:val="center"/>
          </w:tcPr>
          <w:p>
            <w:pPr>
              <w:spacing w:line="300" w:lineRule="exact"/>
              <w:jc w:val="left"/>
              <w:outlineLvl w:val="0"/>
              <w:rPr>
                <w:color w:val="auto"/>
              </w:rPr>
            </w:pPr>
          </w:p>
        </w:tc>
        <w:tc>
          <w:tcPr>
            <w:tcW w:w="3013" w:type="dxa"/>
            <w:vMerge w:val="continue"/>
            <w:vAlign w:val="center"/>
          </w:tcPr>
          <w:p>
            <w:pPr>
              <w:spacing w:line="300" w:lineRule="exact"/>
              <w:jc w:val="left"/>
              <w:outlineLvl w:val="0"/>
              <w:rPr>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合</w:t>
            </w:r>
            <w:r>
              <w:rPr>
                <w:rFonts w:ascii="方正书宋_GBK" w:eastAsia="方正书宋_GBK"/>
                <w:b/>
                <w:color w:val="auto"/>
              </w:rPr>
              <w:t xml:space="preserve">    </w:t>
            </w:r>
            <w:r>
              <w:rPr>
                <w:rFonts w:hint="eastAsia" w:ascii="方正书宋_GBK" w:eastAsia="方正书宋_GBK"/>
                <w:b/>
                <w:color w:val="auto"/>
              </w:rPr>
              <w:t>计</w:t>
            </w:r>
          </w:p>
        </w:tc>
        <w:tc>
          <w:tcPr>
            <w:tcW w:w="966" w:type="dxa"/>
            <w:vAlign w:val="center"/>
          </w:tcPr>
          <w:p>
            <w:pPr>
              <w:spacing w:line="300" w:lineRule="exact"/>
              <w:jc w:val="center"/>
              <w:rPr>
                <w:rFonts w:ascii="方正书宋_GBK" w:eastAsia="方正书宋_GBK"/>
                <w:b/>
                <w:color w:val="auto"/>
              </w:rPr>
            </w:pPr>
          </w:p>
        </w:tc>
        <w:tc>
          <w:tcPr>
            <w:tcW w:w="1276" w:type="dxa"/>
            <w:vAlign w:val="center"/>
          </w:tcPr>
          <w:p>
            <w:pPr>
              <w:spacing w:line="300" w:lineRule="exact"/>
              <w:jc w:val="center"/>
              <w:rPr>
                <w:rFonts w:ascii="方正书宋_GBK" w:eastAsia="方正书宋_GBK"/>
                <w:b/>
                <w:color w:val="auto"/>
              </w:rPr>
            </w:pPr>
          </w:p>
        </w:tc>
        <w:tc>
          <w:tcPr>
            <w:tcW w:w="3013" w:type="dxa"/>
            <w:vAlign w:val="center"/>
          </w:tcPr>
          <w:p>
            <w:pPr>
              <w:spacing w:line="300" w:lineRule="exact"/>
              <w:jc w:val="center"/>
              <w:rPr>
                <w:rFonts w:ascii="方正书宋_GBK" w:eastAsia="方正书宋_GBK"/>
                <w:b/>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ascii="方正书宋_GBK" w:eastAsia="方正书宋_GBK"/>
                <w:color w:val="auto"/>
              </w:rPr>
            </w:pPr>
            <w:r>
              <w:rPr>
                <w:rFonts w:hint="eastAsia" w:ascii="方正书宋_GBK" w:eastAsia="方正书宋_GBK"/>
                <w:color w:val="auto"/>
              </w:rPr>
              <w:t>石家庄</w:t>
            </w:r>
            <w:r>
              <w:rPr>
                <w:rFonts w:hint="eastAsia" w:ascii="宋体" w:hAnsi="宋体" w:cs="宋体"/>
                <w:color w:val="auto"/>
              </w:rPr>
              <w:t>市鹿泉区</w:t>
            </w:r>
            <w:r>
              <w:rPr>
                <w:rFonts w:hint="eastAsia" w:ascii="宋体" w:hAnsi="宋体" w:cs="宋体"/>
                <w:color w:val="auto"/>
                <w:lang w:eastAsia="zh-CN"/>
              </w:rPr>
              <w:t>医疗</w:t>
            </w:r>
            <w:r>
              <w:rPr>
                <w:rFonts w:hint="eastAsia" w:ascii="宋体" w:hAnsi="宋体" w:cs="宋体"/>
                <w:color w:val="auto"/>
              </w:rPr>
              <w:t>保障局</w:t>
            </w:r>
            <w:r>
              <w:rPr>
                <w:rFonts w:hint="eastAsia" w:ascii="方正书宋_GBK" w:eastAsia="方正书宋_GBK"/>
                <w:color w:val="auto"/>
              </w:rPr>
              <w:t>（机关）</w:t>
            </w:r>
          </w:p>
        </w:tc>
        <w:tc>
          <w:tcPr>
            <w:tcW w:w="966" w:type="dxa"/>
            <w:vAlign w:val="center"/>
          </w:tcPr>
          <w:p>
            <w:pPr>
              <w:spacing w:line="300" w:lineRule="exact"/>
              <w:jc w:val="center"/>
              <w:rPr>
                <w:rFonts w:ascii="方正书宋_GBK" w:eastAsia="方正书宋_GBK"/>
                <w:color w:val="auto"/>
              </w:rPr>
            </w:pPr>
            <w:r>
              <w:rPr>
                <w:rFonts w:hint="eastAsia" w:ascii="方正书宋_GBK" w:eastAsia="方正书宋_GBK"/>
                <w:color w:val="auto"/>
              </w:rPr>
              <w:t>行政</w:t>
            </w:r>
          </w:p>
        </w:tc>
        <w:tc>
          <w:tcPr>
            <w:tcW w:w="1276" w:type="dxa"/>
            <w:vAlign w:val="center"/>
          </w:tcPr>
          <w:p>
            <w:pPr>
              <w:spacing w:line="300" w:lineRule="exact"/>
              <w:jc w:val="center"/>
              <w:rPr>
                <w:rFonts w:ascii="方正书宋_GBK" w:eastAsia="方正书宋_GBK"/>
                <w:color w:val="auto"/>
              </w:rPr>
            </w:pPr>
            <w:r>
              <w:rPr>
                <w:rFonts w:hint="eastAsia" w:ascii="方正书宋_GBK" w:eastAsia="方正书宋_GBK"/>
                <w:color w:val="auto"/>
              </w:rPr>
              <w:t>正</w:t>
            </w:r>
            <w:r>
              <w:rPr>
                <w:rFonts w:hint="eastAsia" w:ascii="宋体" w:hAnsi="宋体" w:cs="宋体"/>
                <w:color w:val="auto"/>
              </w:rPr>
              <w:t>科</w:t>
            </w:r>
            <w:r>
              <w:rPr>
                <w:rFonts w:hint="eastAsia" w:ascii="方正书宋_GBK" w:eastAsia="方正书宋_GBK"/>
                <w:color w:val="auto"/>
              </w:rPr>
              <w:t>级</w:t>
            </w:r>
          </w:p>
        </w:tc>
        <w:tc>
          <w:tcPr>
            <w:tcW w:w="3013" w:type="dxa"/>
            <w:vAlign w:val="center"/>
          </w:tcPr>
          <w:p>
            <w:pPr>
              <w:spacing w:line="300" w:lineRule="exact"/>
              <w:jc w:val="center"/>
              <w:rPr>
                <w:rFonts w:ascii="方正书宋_GBK" w:eastAsia="方正书宋_GBK"/>
                <w:color w:val="auto"/>
              </w:rPr>
            </w:pPr>
            <w:r>
              <w:rPr>
                <w:rFonts w:hint="eastAsia" w:ascii="方正书宋_GBK" w:eastAsia="方正书宋_GBK"/>
                <w:color w:val="auto"/>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527" w:type="dxa"/>
            <w:vAlign w:val="center"/>
          </w:tcPr>
          <w:p>
            <w:pPr>
              <w:spacing w:line="300" w:lineRule="exact"/>
              <w:jc w:val="left"/>
              <w:rPr>
                <w:rFonts w:hint="eastAsia" w:ascii="宋体" w:eastAsia="宋体" w:cs="宋体"/>
                <w:color w:val="auto"/>
                <w:lang w:eastAsia="zh-CN"/>
              </w:rPr>
            </w:pPr>
            <w:r>
              <w:rPr>
                <w:rFonts w:hint="eastAsia" w:ascii="方正书宋_GBK" w:eastAsia="方正书宋_GBK"/>
                <w:color w:val="auto"/>
              </w:rPr>
              <w:t>石家庄</w:t>
            </w:r>
            <w:r>
              <w:rPr>
                <w:rFonts w:hint="eastAsia" w:ascii="宋体" w:hAnsi="宋体" w:cs="宋体"/>
                <w:color w:val="auto"/>
              </w:rPr>
              <w:t>市鹿泉区</w:t>
            </w:r>
            <w:r>
              <w:rPr>
                <w:rFonts w:hint="eastAsia" w:ascii="宋体" w:hAnsi="宋体" w:cs="宋体"/>
                <w:color w:val="auto"/>
                <w:lang w:eastAsia="zh-CN"/>
              </w:rPr>
              <w:t>医疗保险管理中心</w:t>
            </w:r>
          </w:p>
        </w:tc>
        <w:tc>
          <w:tcPr>
            <w:tcW w:w="966" w:type="dxa"/>
            <w:vAlign w:val="center"/>
          </w:tcPr>
          <w:p>
            <w:pPr>
              <w:spacing w:line="300" w:lineRule="exact"/>
              <w:jc w:val="center"/>
              <w:rPr>
                <w:rFonts w:ascii="方正书宋_GBK" w:eastAsia="方正书宋_GBK"/>
                <w:color w:val="auto"/>
              </w:rPr>
            </w:pPr>
            <w:r>
              <w:rPr>
                <w:rFonts w:hint="eastAsia" w:ascii="方正书宋_GBK" w:eastAsia="方正书宋_GBK"/>
                <w:color w:val="auto"/>
              </w:rPr>
              <w:t>事业</w:t>
            </w:r>
          </w:p>
        </w:tc>
        <w:tc>
          <w:tcPr>
            <w:tcW w:w="1276" w:type="dxa"/>
            <w:vAlign w:val="center"/>
          </w:tcPr>
          <w:p>
            <w:pPr>
              <w:spacing w:line="300" w:lineRule="exact"/>
              <w:jc w:val="center"/>
              <w:rPr>
                <w:rFonts w:ascii="方正书宋_GBK" w:eastAsia="方正书宋_GBK"/>
                <w:color w:val="auto"/>
              </w:rPr>
            </w:pPr>
            <w:r>
              <w:rPr>
                <w:rFonts w:hint="eastAsia" w:ascii="宋体" w:hAnsi="宋体" w:eastAsia="方正书宋_GBK" w:cs="宋体"/>
                <w:color w:val="auto"/>
                <w:lang w:eastAsia="zh-CN"/>
              </w:rPr>
              <w:t>副</w:t>
            </w:r>
            <w:r>
              <w:rPr>
                <w:rFonts w:hint="eastAsia" w:ascii="方正书宋_GBK" w:eastAsia="方正书宋_GBK"/>
                <w:color w:val="auto"/>
              </w:rPr>
              <w:t>科级</w:t>
            </w:r>
          </w:p>
        </w:tc>
        <w:tc>
          <w:tcPr>
            <w:tcW w:w="3013" w:type="dxa"/>
            <w:vAlign w:val="center"/>
          </w:tcPr>
          <w:p>
            <w:pPr>
              <w:spacing w:line="300" w:lineRule="exact"/>
              <w:jc w:val="center"/>
              <w:rPr>
                <w:rFonts w:ascii="方正书宋_GBK" w:eastAsia="方正书宋_GBK"/>
                <w:color w:val="auto"/>
              </w:rPr>
            </w:pPr>
            <w:r>
              <w:rPr>
                <w:rFonts w:hint="eastAsia" w:ascii="方正书宋_GBK" w:eastAsia="方正书宋_GBK"/>
                <w:color w:val="auto"/>
              </w:rPr>
              <w:t>财政性资金基本保证</w:t>
            </w:r>
          </w:p>
        </w:tc>
      </w:tr>
    </w:tbl>
    <w:p>
      <w:pPr>
        <w:rPr>
          <w:color w:val="auto"/>
        </w:rPr>
      </w:pPr>
    </w:p>
    <w:p>
      <w:pPr>
        <w:ind w:firstLine="640"/>
        <w:rPr>
          <w:rFonts w:ascii="黑体" w:hAnsi="黑体" w:eastAsia="黑体" w:cs="Times New Roman"/>
          <w:color w:val="auto"/>
          <w:sz w:val="32"/>
          <w:szCs w:val="32"/>
        </w:rPr>
      </w:pPr>
      <w:r>
        <w:rPr>
          <w:rFonts w:hint="eastAsia" w:ascii="黑体" w:hAnsi="黑体" w:eastAsia="黑体" w:cs="Times New Roman"/>
          <w:color w:val="auto"/>
          <w:sz w:val="32"/>
          <w:szCs w:val="32"/>
        </w:rPr>
        <w:t>二、部门预算安排的总体情况</w:t>
      </w:r>
    </w:p>
    <w:p>
      <w:pPr>
        <w:ind w:firstLine="640"/>
        <w:rPr>
          <w:rFonts w:ascii="Times New Roman" w:hAnsi="Times New Roman" w:eastAsia="仿宋" w:cs="Times New Roman"/>
          <w:color w:val="auto"/>
          <w:sz w:val="32"/>
          <w:szCs w:val="32"/>
        </w:rPr>
      </w:pPr>
      <w:r>
        <w:rPr>
          <w:rFonts w:ascii="Times New Roman" w:hAnsi="Times New Roman" w:eastAsia="仿宋" w:cs="Times New Roman"/>
          <w:color w:val="auto"/>
          <w:sz w:val="32"/>
          <w:szCs w:val="32"/>
        </w:rPr>
        <w:t>按照预算管理有关规定，目前我部门预算的编制实行综合预算</w:t>
      </w:r>
      <w:r>
        <w:rPr>
          <w:rFonts w:hint="eastAsia" w:ascii="Times New Roman" w:hAnsi="Times New Roman" w:eastAsia="仿宋" w:cs="Times New Roman"/>
          <w:color w:val="auto"/>
          <w:sz w:val="32"/>
          <w:szCs w:val="32"/>
        </w:rPr>
        <w:t>管理</w:t>
      </w:r>
      <w:r>
        <w:rPr>
          <w:rFonts w:ascii="Times New Roman" w:hAnsi="Times New Roman" w:eastAsia="仿宋" w:cs="Times New Roman"/>
          <w:color w:val="auto"/>
          <w:sz w:val="32"/>
          <w:szCs w:val="32"/>
        </w:rPr>
        <w:t>，即全部收入和支出都反映的预算中。</w:t>
      </w:r>
      <w:r>
        <w:rPr>
          <w:rFonts w:hint="eastAsia" w:ascii="Times New Roman" w:hAnsi="Times New Roman" w:eastAsia="仿宋" w:cs="Times New Roman"/>
          <w:color w:val="auto"/>
          <w:sz w:val="32"/>
          <w:szCs w:val="32"/>
          <w:lang w:eastAsia="zh-CN"/>
        </w:rPr>
        <w:t>石家庄市鹿泉区医疗保障局</w:t>
      </w:r>
      <w:r>
        <w:rPr>
          <w:rFonts w:ascii="Times New Roman" w:hAnsi="Times New Roman" w:eastAsia="仿宋" w:cs="Times New Roman"/>
          <w:color w:val="auto"/>
          <w:sz w:val="32"/>
          <w:szCs w:val="32"/>
        </w:rPr>
        <w:t>及所属事业单位的收支包含在部门预算中。</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w:t>
      </w:r>
      <w:r>
        <w:rPr>
          <w:rFonts w:ascii="Times New Roman" w:hAnsi="Times New Roman" w:eastAsia="仿宋" w:cs="Times New Roman"/>
          <w:color w:val="auto"/>
          <w:sz w:val="32"/>
          <w:szCs w:val="32"/>
        </w:rPr>
        <w:t>收入说明</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反映本部门当年全部收入。2020年预算收入</w:t>
      </w:r>
      <w:r>
        <w:rPr>
          <w:rFonts w:hint="eastAsia" w:ascii="Times New Roman" w:hAnsi="Times New Roman" w:eastAsia="仿宋" w:cs="Times New Roman"/>
          <w:color w:val="auto"/>
          <w:sz w:val="32"/>
          <w:szCs w:val="32"/>
          <w:lang w:val="en-US" w:eastAsia="zh-CN"/>
        </w:rPr>
        <w:t>6105.41</w:t>
      </w:r>
      <w:r>
        <w:rPr>
          <w:rFonts w:hint="eastAsia" w:ascii="Times New Roman" w:hAnsi="Times New Roman" w:eastAsia="仿宋" w:cs="Times New Roman"/>
          <w:color w:val="auto"/>
          <w:sz w:val="32"/>
          <w:szCs w:val="32"/>
        </w:rPr>
        <w:t>万元，其中：一般公共预算收入</w:t>
      </w:r>
      <w:r>
        <w:rPr>
          <w:rFonts w:hint="eastAsia" w:ascii="Times New Roman" w:hAnsi="Times New Roman" w:eastAsia="仿宋" w:cs="Times New Roman"/>
          <w:color w:val="auto"/>
          <w:sz w:val="32"/>
          <w:szCs w:val="32"/>
          <w:lang w:val="en-US" w:eastAsia="zh-CN"/>
        </w:rPr>
        <w:t>6025.41</w:t>
      </w:r>
      <w:r>
        <w:rPr>
          <w:rFonts w:hint="eastAsia" w:ascii="Times New Roman" w:hAnsi="Times New Roman" w:eastAsia="仿宋" w:cs="Times New Roman"/>
          <w:color w:val="auto"/>
          <w:sz w:val="32"/>
          <w:szCs w:val="32"/>
        </w:rPr>
        <w:t>万元，基金预算收入</w:t>
      </w:r>
      <w:r>
        <w:rPr>
          <w:rFonts w:hint="eastAsia" w:ascii="Times New Roman" w:hAnsi="Times New Roman" w:eastAsia="仿宋" w:cs="Times New Roman"/>
          <w:color w:val="auto"/>
          <w:sz w:val="32"/>
          <w:szCs w:val="32"/>
          <w:lang w:val="en-US" w:eastAsia="zh-CN"/>
        </w:rPr>
        <w:t>80</w:t>
      </w:r>
      <w:r>
        <w:rPr>
          <w:rFonts w:hint="eastAsia" w:ascii="Times New Roman" w:hAnsi="Times New Roman" w:eastAsia="仿宋" w:cs="Times New Roman"/>
          <w:color w:val="auto"/>
          <w:sz w:val="32"/>
          <w:szCs w:val="32"/>
        </w:rPr>
        <w:t>万元，财政专户核拨收入0万元，其他来源收入0万元。</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w:t>
      </w:r>
      <w:r>
        <w:rPr>
          <w:rFonts w:ascii="Times New Roman" w:hAnsi="Times New Roman" w:eastAsia="仿宋" w:cs="Times New Roman"/>
          <w:color w:val="auto"/>
          <w:sz w:val="32"/>
          <w:szCs w:val="32"/>
        </w:rPr>
        <w:t>支出说明</w:t>
      </w:r>
    </w:p>
    <w:p>
      <w:pPr>
        <w:ind w:firstLine="640"/>
        <w:rPr>
          <w:rFonts w:hint="eastAsia" w:asciiTheme="minorEastAsia" w:hAnsiTheme="minorEastAsia" w:eastAsiaTheme="minorEastAsia" w:cstheme="minorEastAsia"/>
          <w:color w:val="auto"/>
          <w:sz w:val="32"/>
          <w:szCs w:val="32"/>
          <w:lang w:val="en-US" w:eastAsia="zh-CN"/>
        </w:rPr>
      </w:pPr>
      <w:r>
        <w:rPr>
          <w:rFonts w:hint="eastAsia" w:ascii="Times New Roman" w:hAnsi="Times New Roman" w:eastAsia="仿宋" w:cs="Times New Roman"/>
          <w:color w:val="auto"/>
          <w:sz w:val="32"/>
          <w:szCs w:val="32"/>
        </w:rPr>
        <w:t>收支预算总表支出栏、基本支出表、项目支出表按经济分类和支出功能分类科目编制，反映</w:t>
      </w:r>
      <w:r>
        <w:rPr>
          <w:rFonts w:hint="eastAsia" w:ascii="Times New Roman" w:hAnsi="Times New Roman" w:eastAsia="仿宋" w:cs="Times New Roman"/>
          <w:color w:val="auto"/>
          <w:sz w:val="32"/>
          <w:szCs w:val="32"/>
          <w:lang w:eastAsia="zh-CN"/>
        </w:rPr>
        <w:t>石家庄市鹿泉区人力资源和社会保障局</w:t>
      </w:r>
      <w:r>
        <w:rPr>
          <w:rFonts w:hint="eastAsia" w:ascii="Times New Roman" w:hAnsi="Times New Roman" w:eastAsia="仿宋" w:cs="Times New Roman"/>
          <w:color w:val="auto"/>
          <w:sz w:val="32"/>
          <w:szCs w:val="32"/>
        </w:rPr>
        <w:t>年度部门预算中支出预算的总体情况。2020年部门支出预算为</w:t>
      </w:r>
      <w:r>
        <w:rPr>
          <w:rFonts w:hint="eastAsia" w:ascii="Times New Roman" w:hAnsi="Times New Roman" w:eastAsia="仿宋" w:cs="Times New Roman"/>
          <w:color w:val="auto"/>
          <w:sz w:val="32"/>
          <w:szCs w:val="32"/>
          <w:lang w:val="en-US" w:eastAsia="zh-CN"/>
        </w:rPr>
        <w:t>6105.41</w:t>
      </w:r>
      <w:r>
        <w:rPr>
          <w:rFonts w:hint="eastAsia" w:ascii="Times New Roman" w:hAnsi="Times New Roman" w:eastAsia="仿宋" w:cs="Times New Roman"/>
          <w:color w:val="auto"/>
          <w:sz w:val="32"/>
          <w:szCs w:val="32"/>
        </w:rPr>
        <w:t>万元，其中基本支出</w:t>
      </w:r>
      <w:r>
        <w:rPr>
          <w:rFonts w:hint="eastAsia" w:ascii="Times New Roman" w:hAnsi="Times New Roman" w:eastAsia="仿宋" w:cs="Times New Roman"/>
          <w:color w:val="auto"/>
          <w:sz w:val="32"/>
          <w:szCs w:val="32"/>
          <w:lang w:val="en-US" w:eastAsia="zh-CN"/>
        </w:rPr>
        <w:t>553.58</w:t>
      </w:r>
      <w:r>
        <w:rPr>
          <w:rFonts w:hint="eastAsia" w:ascii="Times New Roman" w:hAnsi="Times New Roman" w:eastAsia="仿宋" w:cs="Times New Roman"/>
          <w:color w:val="auto"/>
          <w:sz w:val="32"/>
          <w:szCs w:val="32"/>
        </w:rPr>
        <w:t>万元，包括人员经费</w:t>
      </w:r>
      <w:r>
        <w:rPr>
          <w:rFonts w:hint="eastAsia" w:ascii="Times New Roman" w:hAnsi="Times New Roman" w:eastAsia="仿宋" w:cs="Times New Roman"/>
          <w:color w:val="auto"/>
          <w:sz w:val="32"/>
          <w:szCs w:val="32"/>
          <w:lang w:val="en-US" w:eastAsia="zh-CN"/>
        </w:rPr>
        <w:t>396.49</w:t>
      </w:r>
      <w:r>
        <w:rPr>
          <w:rFonts w:hint="eastAsia" w:ascii="Times New Roman" w:hAnsi="Times New Roman" w:eastAsia="仿宋" w:cs="Times New Roman"/>
          <w:color w:val="auto"/>
          <w:sz w:val="32"/>
          <w:szCs w:val="32"/>
        </w:rPr>
        <w:t>万元和日常公用经费</w:t>
      </w:r>
      <w:r>
        <w:rPr>
          <w:rFonts w:hint="eastAsia" w:ascii="Times New Roman" w:hAnsi="Times New Roman" w:eastAsia="仿宋" w:cs="Times New Roman"/>
          <w:color w:val="auto"/>
          <w:sz w:val="32"/>
          <w:szCs w:val="32"/>
          <w:lang w:val="en-US" w:eastAsia="zh-CN"/>
        </w:rPr>
        <w:t>157.09</w:t>
      </w:r>
      <w:r>
        <w:rPr>
          <w:rFonts w:hint="eastAsia" w:ascii="Times New Roman" w:hAnsi="Times New Roman" w:eastAsia="仿宋" w:cs="Times New Roman"/>
          <w:color w:val="auto"/>
          <w:sz w:val="32"/>
          <w:szCs w:val="32"/>
        </w:rPr>
        <w:t>万元；项目支出</w:t>
      </w:r>
      <w:r>
        <w:rPr>
          <w:rFonts w:hint="eastAsia" w:ascii="Times New Roman" w:hAnsi="Times New Roman" w:eastAsia="仿宋" w:cs="Times New Roman"/>
          <w:color w:val="auto"/>
          <w:sz w:val="32"/>
          <w:szCs w:val="32"/>
          <w:lang w:val="en-US" w:eastAsia="zh-CN"/>
        </w:rPr>
        <w:t>5551.83</w:t>
      </w:r>
      <w:r>
        <w:rPr>
          <w:rFonts w:hint="eastAsia" w:ascii="Times New Roman" w:hAnsi="Times New Roman" w:eastAsia="仿宋" w:cs="Times New Roman"/>
          <w:color w:val="auto"/>
          <w:sz w:val="32"/>
          <w:szCs w:val="32"/>
        </w:rPr>
        <w:t>万元，主要为</w:t>
      </w:r>
      <w:r>
        <w:rPr>
          <w:rFonts w:hint="eastAsia" w:ascii="Times New Roman" w:hAnsi="Times New Roman" w:eastAsia="仿宋" w:cs="Times New Roman"/>
          <w:color w:val="auto"/>
          <w:sz w:val="32"/>
          <w:szCs w:val="32"/>
          <w:lang w:eastAsia="zh-CN"/>
        </w:rPr>
        <w:t>城乡居民医疗补助</w:t>
      </w:r>
      <w:r>
        <w:rPr>
          <w:rFonts w:hint="eastAsia" w:ascii="Times New Roman" w:hAnsi="Times New Roman" w:eastAsia="仿宋" w:cs="Times New Roman"/>
          <w:color w:val="auto"/>
          <w:sz w:val="32"/>
          <w:szCs w:val="32"/>
          <w:lang w:val="en-US" w:eastAsia="zh-CN"/>
        </w:rPr>
        <w:t>3800</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长期护理保险财政补助</w:t>
      </w:r>
      <w:r>
        <w:rPr>
          <w:rFonts w:hint="eastAsia" w:ascii="Times New Roman" w:hAnsi="Times New Roman" w:eastAsia="仿宋" w:cs="Times New Roman"/>
          <w:color w:val="auto"/>
          <w:sz w:val="32"/>
          <w:szCs w:val="32"/>
          <w:lang w:val="en-US" w:eastAsia="zh-CN"/>
        </w:rPr>
        <w:t>688</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离休及伤残军人医药费</w:t>
      </w:r>
      <w:r>
        <w:rPr>
          <w:rFonts w:hint="eastAsia" w:ascii="Times New Roman" w:hAnsi="Times New Roman" w:eastAsia="仿宋" w:cs="Times New Roman"/>
          <w:color w:val="auto"/>
          <w:sz w:val="32"/>
          <w:szCs w:val="32"/>
          <w:lang w:val="en-US" w:eastAsia="zh-CN"/>
        </w:rPr>
        <w:t>800</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医疗救助</w:t>
      </w:r>
      <w:r>
        <w:rPr>
          <w:rFonts w:hint="eastAsia" w:ascii="Times New Roman" w:hAnsi="Times New Roman" w:eastAsia="仿宋" w:cs="Times New Roman"/>
          <w:color w:val="auto"/>
          <w:sz w:val="32"/>
          <w:szCs w:val="32"/>
          <w:lang w:val="en-US" w:eastAsia="zh-CN"/>
        </w:rPr>
        <w:t>246</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w:t>
      </w:r>
      <w:r>
        <w:rPr>
          <w:rFonts w:hint="eastAsia" w:asciiTheme="minorEastAsia" w:hAnsiTheme="minorEastAsia" w:eastAsiaTheme="minorEastAsia" w:cstheme="minorEastAsia"/>
          <w:color w:val="auto"/>
          <w:sz w:val="32"/>
          <w:szCs w:val="32"/>
        </w:rPr>
        <w:t>省级财政城乡居民医保村级代办员补助</w:t>
      </w:r>
      <w:r>
        <w:rPr>
          <w:rFonts w:hint="eastAsia" w:asciiTheme="minorEastAsia" w:hAnsiTheme="minorEastAsia" w:eastAsiaTheme="minorEastAsia" w:cstheme="minorEastAsia"/>
          <w:color w:val="auto"/>
          <w:sz w:val="32"/>
          <w:szCs w:val="32"/>
          <w:lang w:val="en-US" w:eastAsia="zh-CN"/>
        </w:rPr>
        <w:t>8万元，</w:t>
      </w:r>
      <w:r>
        <w:rPr>
          <w:rFonts w:hint="eastAsia" w:asciiTheme="minorEastAsia" w:hAnsiTheme="minorEastAsia" w:eastAsiaTheme="minorEastAsia" w:cstheme="minorEastAsia"/>
          <w:color w:val="auto"/>
          <w:sz w:val="32"/>
          <w:szCs w:val="32"/>
        </w:rPr>
        <w:t>中央财政医疗服务和保障能力提升补助资金</w:t>
      </w:r>
      <w:r>
        <w:rPr>
          <w:rFonts w:hint="eastAsia" w:asciiTheme="minorEastAsia" w:hAnsiTheme="minorEastAsia" w:eastAsiaTheme="minorEastAsia" w:cstheme="minorEastAsia"/>
          <w:color w:val="auto"/>
          <w:sz w:val="32"/>
          <w:szCs w:val="32"/>
          <w:lang w:val="en-US" w:eastAsia="zh-CN"/>
        </w:rPr>
        <w:t>2万元，</w:t>
      </w:r>
      <w:r>
        <w:rPr>
          <w:rFonts w:hint="eastAsia" w:asciiTheme="minorEastAsia" w:hAnsiTheme="minorEastAsia" w:eastAsiaTheme="minorEastAsia" w:cstheme="minorEastAsia"/>
          <w:color w:val="auto"/>
          <w:sz w:val="32"/>
          <w:szCs w:val="32"/>
        </w:rPr>
        <w:t>退役军人公益岗位工资补贴</w:t>
      </w:r>
      <w:r>
        <w:rPr>
          <w:rFonts w:hint="eastAsia" w:asciiTheme="minorEastAsia" w:hAnsiTheme="minorEastAsia" w:eastAsiaTheme="minorEastAsia" w:cstheme="minorEastAsia"/>
          <w:color w:val="auto"/>
          <w:sz w:val="32"/>
          <w:szCs w:val="32"/>
          <w:lang w:val="en-US" w:eastAsia="zh-CN"/>
        </w:rPr>
        <w:t>7.83万元。</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3、</w:t>
      </w:r>
      <w:r>
        <w:rPr>
          <w:rFonts w:ascii="Times New Roman" w:hAnsi="Times New Roman" w:eastAsia="仿宋" w:cs="Times New Roman"/>
          <w:color w:val="auto"/>
          <w:sz w:val="32"/>
          <w:szCs w:val="32"/>
        </w:rPr>
        <w:t>比上年增减情况</w:t>
      </w:r>
    </w:p>
    <w:p>
      <w:pPr>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2020年部门预算收支安排</w:t>
      </w:r>
      <w:r>
        <w:rPr>
          <w:rFonts w:hint="eastAsia" w:ascii="Times New Roman" w:hAnsi="Times New Roman" w:eastAsia="仿宋" w:cs="Times New Roman"/>
          <w:color w:val="auto"/>
          <w:sz w:val="32"/>
          <w:szCs w:val="32"/>
          <w:lang w:val="en-US" w:eastAsia="zh-CN"/>
        </w:rPr>
        <w:t>6105.41</w:t>
      </w:r>
      <w:r>
        <w:rPr>
          <w:rFonts w:hint="eastAsia" w:ascii="Times New Roman" w:hAnsi="Times New Roman" w:eastAsia="仿宋" w:cs="Times New Roman"/>
          <w:color w:val="auto"/>
          <w:sz w:val="32"/>
          <w:szCs w:val="32"/>
        </w:rPr>
        <w:t>万元，较2019年</w:t>
      </w:r>
      <w:r>
        <w:rPr>
          <w:rFonts w:hint="eastAsia" w:ascii="Times New Roman" w:hAnsi="Times New Roman" w:eastAsia="仿宋" w:cs="Times New Roman"/>
          <w:color w:val="auto"/>
          <w:sz w:val="32"/>
          <w:szCs w:val="32"/>
          <w:lang w:eastAsia="zh-CN"/>
        </w:rPr>
        <w:t>减少</w:t>
      </w:r>
      <w:r>
        <w:rPr>
          <w:rFonts w:hint="eastAsia" w:ascii="Times New Roman" w:hAnsi="Times New Roman" w:eastAsia="仿宋" w:cs="Times New Roman"/>
          <w:color w:val="auto"/>
          <w:sz w:val="32"/>
          <w:szCs w:val="32"/>
          <w:lang w:val="en-US" w:eastAsia="zh-CN"/>
        </w:rPr>
        <w:t>861.31</w:t>
      </w:r>
      <w:r>
        <w:rPr>
          <w:rFonts w:hint="eastAsia" w:ascii="Times New Roman" w:hAnsi="Times New Roman" w:eastAsia="仿宋" w:cs="Times New Roman"/>
          <w:color w:val="auto"/>
          <w:sz w:val="32"/>
          <w:szCs w:val="32"/>
        </w:rPr>
        <w:t>万元，其中</w:t>
      </w:r>
      <w:r>
        <w:rPr>
          <w:rFonts w:hint="eastAsia" w:ascii="Times New Roman" w:hAnsi="Times New Roman" w:eastAsia="仿宋" w:cs="Times New Roman"/>
          <w:color w:val="auto"/>
          <w:sz w:val="32"/>
          <w:szCs w:val="32"/>
          <w:lang w:eastAsia="zh-CN"/>
        </w:rPr>
        <w:t>主要</w:t>
      </w:r>
      <w:r>
        <w:rPr>
          <w:rFonts w:hint="eastAsia" w:ascii="Times New Roman" w:hAnsi="Times New Roman" w:eastAsia="仿宋" w:cs="Times New Roman"/>
          <w:color w:val="auto"/>
          <w:sz w:val="32"/>
          <w:szCs w:val="32"/>
        </w:rPr>
        <w:t>：</w:t>
      </w:r>
      <w:r>
        <w:rPr>
          <w:rFonts w:hint="eastAsia" w:ascii="Times New Roman" w:hAnsi="Times New Roman" w:eastAsia="仿宋" w:cs="Times New Roman"/>
          <w:color w:val="auto"/>
          <w:sz w:val="32"/>
          <w:szCs w:val="32"/>
          <w:lang w:eastAsia="zh-CN"/>
        </w:rPr>
        <w:t>乡居民医疗补助减少</w:t>
      </w:r>
      <w:r>
        <w:rPr>
          <w:rFonts w:hint="eastAsia" w:ascii="Times New Roman" w:hAnsi="Times New Roman" w:eastAsia="仿宋" w:cs="Times New Roman"/>
          <w:color w:val="auto"/>
          <w:sz w:val="32"/>
          <w:szCs w:val="32"/>
          <w:lang w:val="en-US" w:eastAsia="zh-CN"/>
        </w:rPr>
        <w:t>1020万元，基本支出增加127.19万元。</w:t>
      </w:r>
    </w:p>
    <w:p>
      <w:pPr>
        <w:autoSpaceDE w:val="0"/>
        <w:autoSpaceDN w:val="0"/>
        <w:adjustRightInd w:val="0"/>
        <w:ind w:firstLine="960" w:firstLineChars="3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2020年，我部门机关运行经费共计安排</w:t>
      </w:r>
      <w:r>
        <w:rPr>
          <w:rFonts w:hint="eastAsia" w:ascii="Times New Roman" w:hAnsi="Times New Roman" w:eastAsia="仿宋" w:cs="Times New Roman"/>
          <w:color w:val="auto"/>
          <w:sz w:val="32"/>
          <w:szCs w:val="32"/>
          <w:lang w:val="en-US" w:eastAsia="zh-CN"/>
        </w:rPr>
        <w:t>157.09</w:t>
      </w:r>
      <w:r>
        <w:rPr>
          <w:rFonts w:hint="eastAsia" w:ascii="Times New Roman" w:hAnsi="Times New Roman" w:eastAsia="仿宋" w:cs="Times New Roman"/>
          <w:color w:val="auto"/>
          <w:sz w:val="32"/>
          <w:szCs w:val="32"/>
        </w:rPr>
        <w:t>万元，主要用于保证机关正常运转的办公</w:t>
      </w:r>
      <w:r>
        <w:rPr>
          <w:rFonts w:hint="eastAsia" w:ascii="Times New Roman" w:hAnsi="Times New Roman" w:eastAsia="仿宋" w:cs="Times New Roman"/>
          <w:color w:val="auto"/>
          <w:sz w:val="32"/>
          <w:szCs w:val="32"/>
          <w:lang w:eastAsia="zh-CN"/>
        </w:rPr>
        <w:t>费、</w:t>
      </w:r>
      <w:r>
        <w:rPr>
          <w:rFonts w:hint="eastAsia" w:ascii="Times New Roman" w:hAnsi="Times New Roman" w:eastAsia="仿宋" w:cs="Times New Roman"/>
          <w:color w:val="auto"/>
          <w:sz w:val="32"/>
          <w:szCs w:val="32"/>
        </w:rPr>
        <w:t>印刷费、邮电费、差旅费、会议费、</w:t>
      </w:r>
      <w:r>
        <w:rPr>
          <w:rFonts w:hint="eastAsia" w:ascii="Times New Roman" w:hAnsi="Times New Roman" w:eastAsia="仿宋" w:cs="Times New Roman"/>
          <w:color w:val="auto"/>
          <w:sz w:val="32"/>
          <w:szCs w:val="32"/>
          <w:lang w:eastAsia="zh-CN"/>
        </w:rPr>
        <w:t>培训</w:t>
      </w:r>
      <w:r>
        <w:rPr>
          <w:rFonts w:hint="eastAsia" w:ascii="Times New Roman" w:hAnsi="Times New Roman" w:eastAsia="仿宋" w:cs="Times New Roman"/>
          <w:color w:val="auto"/>
          <w:sz w:val="32"/>
          <w:szCs w:val="32"/>
        </w:rPr>
        <w:t>费、</w:t>
      </w:r>
      <w:r>
        <w:rPr>
          <w:rFonts w:hint="eastAsia" w:ascii="Times New Roman" w:hAnsi="Times New Roman" w:eastAsia="仿宋" w:cs="Times New Roman"/>
          <w:color w:val="auto"/>
          <w:sz w:val="32"/>
          <w:szCs w:val="32"/>
          <w:lang w:eastAsia="zh-CN"/>
        </w:rPr>
        <w:t>公务接待费、福利费、委托业务</w:t>
      </w:r>
      <w:r>
        <w:rPr>
          <w:rFonts w:hint="eastAsia" w:ascii="Times New Roman" w:hAnsi="Times New Roman" w:eastAsia="仿宋" w:cs="Times New Roman"/>
          <w:color w:val="auto"/>
          <w:sz w:val="32"/>
          <w:szCs w:val="32"/>
        </w:rPr>
        <w:t>费、办公用房水电费、办公用房取暖费、日常维修费、公务车运行维护费等支出。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四、财政拨款</w:t>
      </w:r>
      <w:r>
        <w:rPr>
          <w:rFonts w:ascii="黑体" w:hAnsi="黑体" w:eastAsia="黑体" w:cs="Times New Roman"/>
          <w:color w:val="auto"/>
          <w:sz w:val="32"/>
          <w:szCs w:val="32"/>
        </w:rPr>
        <w:t>“</w:t>
      </w:r>
      <w:r>
        <w:rPr>
          <w:rFonts w:hint="eastAsia" w:ascii="黑体" w:hAnsi="黑体" w:eastAsia="黑体" w:cs="Times New Roman"/>
          <w:color w:val="auto"/>
          <w:sz w:val="32"/>
          <w:szCs w:val="32"/>
        </w:rPr>
        <w:t>三公</w:t>
      </w:r>
      <w:r>
        <w:rPr>
          <w:rFonts w:ascii="黑体" w:hAnsi="黑体" w:eastAsia="黑体" w:cs="Times New Roman"/>
          <w:color w:val="auto"/>
          <w:sz w:val="32"/>
          <w:szCs w:val="32"/>
        </w:rPr>
        <w:t>”</w:t>
      </w:r>
      <w:r>
        <w:rPr>
          <w:rFonts w:hint="eastAsia" w:ascii="黑体" w:hAnsi="黑体" w:eastAsia="黑体" w:cs="Times New Roman"/>
          <w:color w:val="auto"/>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2020年，我部门财政拨款“三公”经费预算安排</w:t>
      </w:r>
      <w:r>
        <w:rPr>
          <w:rFonts w:hint="eastAsia" w:ascii="Times New Roman" w:hAnsi="Times New Roman" w:eastAsia="仿宋" w:cs="Times New Roman"/>
          <w:color w:val="auto"/>
          <w:sz w:val="32"/>
          <w:szCs w:val="32"/>
          <w:lang w:val="en-US" w:eastAsia="zh-CN"/>
        </w:rPr>
        <w:t>2.7</w:t>
      </w:r>
      <w:r>
        <w:rPr>
          <w:rFonts w:hint="eastAsia" w:ascii="Times New Roman" w:hAnsi="Times New Roman" w:eastAsia="仿宋" w:cs="Times New Roman"/>
          <w:color w:val="auto"/>
          <w:sz w:val="32"/>
          <w:szCs w:val="32"/>
        </w:rPr>
        <w:t>万元，其中：因公出国（境）费</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万元；公务用车购置及运维费</w:t>
      </w:r>
      <w:r>
        <w:rPr>
          <w:rFonts w:hint="eastAsia" w:ascii="Times New Roman" w:hAnsi="Times New Roman" w:eastAsia="仿宋" w:cs="Times New Roman"/>
          <w:color w:val="auto"/>
          <w:sz w:val="32"/>
          <w:szCs w:val="32"/>
          <w:lang w:val="en-US" w:eastAsia="zh-CN"/>
        </w:rPr>
        <w:t>2.7</w:t>
      </w:r>
      <w:r>
        <w:rPr>
          <w:rFonts w:hint="eastAsia" w:ascii="Times New Roman" w:hAnsi="Times New Roman" w:eastAsia="仿宋" w:cs="Times New Roman"/>
          <w:color w:val="auto"/>
          <w:sz w:val="32"/>
          <w:szCs w:val="32"/>
        </w:rPr>
        <w:t>万元（其中：公务用车购置费0万元，公务用车运行维护费</w:t>
      </w:r>
      <w:r>
        <w:rPr>
          <w:rFonts w:hint="eastAsia" w:ascii="Times New Roman" w:hAnsi="Times New Roman" w:eastAsia="仿宋" w:cs="Times New Roman"/>
          <w:color w:val="auto"/>
          <w:sz w:val="32"/>
          <w:szCs w:val="32"/>
          <w:lang w:val="en-US" w:eastAsia="zh-CN"/>
        </w:rPr>
        <w:t>2.7</w:t>
      </w:r>
      <w:r>
        <w:rPr>
          <w:rFonts w:hint="eastAsia" w:ascii="Times New Roman" w:hAnsi="Times New Roman" w:eastAsia="仿宋" w:cs="Times New Roman"/>
          <w:color w:val="auto"/>
          <w:sz w:val="32"/>
          <w:szCs w:val="32"/>
        </w:rPr>
        <w:t>万元)；公务接待费</w:t>
      </w:r>
      <w:r>
        <w:rPr>
          <w:rFonts w:hint="eastAsia" w:ascii="Times New Roman" w:hAnsi="Times New Roman" w:eastAsia="仿宋" w:cs="Times New Roman"/>
          <w:color w:val="auto"/>
          <w:sz w:val="32"/>
          <w:szCs w:val="32"/>
          <w:lang w:val="en-US" w:eastAsia="zh-CN"/>
        </w:rPr>
        <w:t>0</w:t>
      </w:r>
      <w:r>
        <w:rPr>
          <w:rFonts w:hint="eastAsia" w:ascii="Times New Roman" w:hAnsi="Times New Roman" w:eastAsia="仿宋" w:cs="Times New Roman"/>
          <w:color w:val="auto"/>
          <w:sz w:val="32"/>
          <w:szCs w:val="32"/>
        </w:rPr>
        <w:t>万元。“三公”经费</w:t>
      </w:r>
      <w:r>
        <w:rPr>
          <w:rFonts w:hint="eastAsia" w:ascii="Times New Roman" w:hAnsi="Times New Roman" w:eastAsia="仿宋" w:cs="Times New Roman"/>
          <w:color w:val="auto"/>
          <w:sz w:val="32"/>
          <w:szCs w:val="32"/>
          <w:lang w:eastAsia="zh-CN"/>
        </w:rPr>
        <w:t>比</w:t>
      </w:r>
      <w:r>
        <w:rPr>
          <w:rFonts w:hint="eastAsia" w:ascii="Times New Roman" w:hAnsi="Times New Roman" w:eastAsia="仿宋" w:cs="Times New Roman"/>
          <w:color w:val="auto"/>
          <w:sz w:val="32"/>
          <w:szCs w:val="32"/>
        </w:rPr>
        <w:t>上年</w:t>
      </w:r>
      <w:r>
        <w:rPr>
          <w:rFonts w:hint="eastAsia" w:ascii="Times New Roman" w:hAnsi="Times New Roman" w:eastAsia="仿宋" w:cs="Times New Roman"/>
          <w:color w:val="auto"/>
          <w:sz w:val="32"/>
          <w:szCs w:val="32"/>
          <w:lang w:eastAsia="zh-CN"/>
        </w:rPr>
        <w:t>减少</w:t>
      </w:r>
      <w:r>
        <w:rPr>
          <w:rFonts w:hint="eastAsia" w:ascii="Times New Roman" w:hAnsi="Times New Roman" w:eastAsia="仿宋" w:cs="Times New Roman"/>
          <w:color w:val="auto"/>
          <w:sz w:val="32"/>
          <w:szCs w:val="32"/>
          <w:lang w:val="en-US" w:eastAsia="zh-CN"/>
        </w:rPr>
        <w:t>0万元</w:t>
      </w:r>
      <w:r>
        <w:rPr>
          <w:rFonts w:hint="eastAsia" w:ascii="Times New Roman" w:hAnsi="Times New Roman" w:eastAsia="仿宋" w:cs="Times New Roman"/>
          <w:color w:val="auto"/>
          <w:sz w:val="32"/>
          <w:szCs w:val="32"/>
        </w:rPr>
        <w:t>。</w:t>
      </w:r>
    </w:p>
    <w:p>
      <w:pPr>
        <w:autoSpaceDE w:val="0"/>
        <w:autoSpaceDN w:val="0"/>
        <w:adjustRightInd w:val="0"/>
        <w:ind w:left="198"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五、预算绩效信息</w:t>
      </w:r>
    </w:p>
    <w:p>
      <w:pPr>
        <w:ind w:firstLine="643" w:firstLineChars="200"/>
        <w:jc w:val="left"/>
        <w:rPr>
          <w:rFonts w:ascii="Times New Roman" w:hAnsi="Times New Roman" w:eastAsia="仿宋" w:cs="Times New Roman"/>
          <w:color w:val="auto"/>
          <w:sz w:val="32"/>
          <w:szCs w:val="32"/>
        </w:rPr>
      </w:pPr>
      <w:bookmarkStart w:id="0" w:name="_Toc471398463"/>
      <w:r>
        <w:rPr>
          <w:rFonts w:hint="eastAsia" w:ascii="Times New Roman" w:hAnsi="Times New Roman" w:eastAsia="方正仿宋_GBK" w:cs="Times New Roman"/>
          <w:b/>
          <w:color w:val="auto"/>
          <w:sz w:val="32"/>
          <w:szCs w:val="32"/>
        </w:rPr>
        <w:t>第一部分  部门整体绩效目标</w:t>
      </w:r>
    </w:p>
    <w:p>
      <w:pPr>
        <w:ind w:firstLine="640" w:firstLineChars="200"/>
        <w:jc w:val="left"/>
        <w:outlineLvl w:val="1"/>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一、总体绩效目标</w:t>
      </w:r>
      <w:r>
        <w:rPr>
          <w:rFonts w:hint="eastAsia" w:asciiTheme="minorEastAsia" w:hAnsiTheme="minorEastAsia" w:eastAsiaTheme="minorEastAsia" w:cstheme="minorEastAsia"/>
          <w:color w:val="auto"/>
          <w:sz w:val="32"/>
          <w:szCs w:val="32"/>
        </w:rPr>
        <w:fldChar w:fldCharType="begin"/>
      </w:r>
      <w:r>
        <w:rPr>
          <w:rFonts w:hint="eastAsia" w:asciiTheme="minorEastAsia" w:hAnsiTheme="minorEastAsia" w:eastAsiaTheme="minorEastAsia" w:cstheme="minorEastAsia"/>
          <w:color w:val="auto"/>
          <w:sz w:val="32"/>
          <w:szCs w:val="32"/>
        </w:rPr>
        <w:instrText xml:space="preserve"> TC </w:instrText>
      </w:r>
      <w:bookmarkStart w:id="1" w:name="_Toc33187168"/>
      <w:r>
        <w:rPr>
          <w:rFonts w:hint="eastAsia" w:asciiTheme="minorEastAsia" w:hAnsiTheme="minorEastAsia" w:eastAsiaTheme="minorEastAsia" w:cstheme="minorEastAsia"/>
          <w:color w:val="auto"/>
          <w:sz w:val="32"/>
          <w:szCs w:val="32"/>
        </w:rPr>
        <w:instrText xml:space="preserve">总体绩效目标</w:instrText>
      </w:r>
      <w:bookmarkEnd w:id="1"/>
      <w:r>
        <w:rPr>
          <w:rFonts w:hint="eastAsia" w:asciiTheme="minorEastAsia" w:hAnsiTheme="minorEastAsia" w:eastAsiaTheme="minorEastAsia" w:cstheme="minorEastAsia"/>
          <w:color w:val="auto"/>
          <w:sz w:val="32"/>
          <w:szCs w:val="32"/>
        </w:rPr>
        <w:instrText xml:space="preserve"> \f A \l 1 </w:instrText>
      </w:r>
      <w:r>
        <w:rPr>
          <w:rFonts w:hint="eastAsia" w:asciiTheme="minorEastAsia" w:hAnsiTheme="minorEastAsia" w:eastAsiaTheme="minorEastAsia" w:cstheme="minorEastAsia"/>
          <w:color w:val="auto"/>
          <w:sz w:val="32"/>
          <w:szCs w:val="32"/>
        </w:rPr>
        <w:fldChar w:fldCharType="end"/>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石家庄市鹿泉区区医疗保障局将认真学习贯彻党的十九大精神,坚持以习近平新时代中国特色社会主义思想为指导,深入贯彻落实区委、区政府和省市医保部门的决策部署，坚持保基本、惠民生的工作要求,突出抓好城镇职工、城乡居民医疗保险、生育保险、长期护理保险、医疗救助政策落实与实施、医保基金风险防控、贯彻落实统一医保支付标准、按照政策规定制定和调整公立基层医疗机构医疗服务价格、贯彻落实石家庄市定点医药机构协议和支付管理办法等多项工作，深入推进全面从严治党，全力做好医疗保险参保扩面,合理加强医保基金风险防控、着力完善医疗保障制度,圆满完成各项工作目标任务。</w:t>
      </w:r>
    </w:p>
    <w:p>
      <w:pPr>
        <w:spacing w:line="500" w:lineRule="exact"/>
        <w:ind w:firstLine="640" w:firstLineChars="200"/>
        <w:jc w:val="left"/>
        <w:rPr>
          <w:rFonts w:hint="eastAsia" w:asciiTheme="minorEastAsia" w:hAnsiTheme="minorEastAsia" w:eastAsiaTheme="minorEastAsia" w:cstheme="minorEastAsia"/>
          <w:color w:val="auto"/>
          <w:sz w:val="32"/>
          <w:szCs w:val="32"/>
        </w:rPr>
      </w:pPr>
    </w:p>
    <w:p>
      <w:pPr>
        <w:spacing w:line="500" w:lineRule="exact"/>
        <w:ind w:firstLine="640" w:firstLineChars="200"/>
        <w:jc w:val="left"/>
        <w:outlineLvl w:val="1"/>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二、分项绩效目标</w:t>
      </w:r>
      <w:r>
        <w:rPr>
          <w:rFonts w:hint="eastAsia" w:asciiTheme="minorEastAsia" w:hAnsiTheme="minorEastAsia" w:eastAsiaTheme="minorEastAsia" w:cstheme="minorEastAsia"/>
          <w:color w:val="auto"/>
          <w:sz w:val="32"/>
          <w:szCs w:val="32"/>
        </w:rPr>
        <w:fldChar w:fldCharType="begin"/>
      </w:r>
      <w:r>
        <w:rPr>
          <w:rFonts w:hint="eastAsia" w:asciiTheme="minorEastAsia" w:hAnsiTheme="minorEastAsia" w:eastAsiaTheme="minorEastAsia" w:cstheme="minorEastAsia"/>
          <w:color w:val="auto"/>
          <w:sz w:val="32"/>
          <w:szCs w:val="32"/>
        </w:rPr>
        <w:instrText xml:space="preserve"> TC </w:instrText>
      </w:r>
      <w:bookmarkStart w:id="2" w:name="_Toc33187169"/>
      <w:r>
        <w:rPr>
          <w:rFonts w:hint="eastAsia" w:asciiTheme="minorEastAsia" w:hAnsiTheme="minorEastAsia" w:eastAsiaTheme="minorEastAsia" w:cstheme="minorEastAsia"/>
          <w:color w:val="auto"/>
          <w:sz w:val="32"/>
          <w:szCs w:val="32"/>
        </w:rPr>
        <w:instrText xml:space="preserve">分项绩效目标</w:instrText>
      </w:r>
      <w:bookmarkEnd w:id="2"/>
      <w:r>
        <w:rPr>
          <w:rFonts w:hint="eastAsia" w:asciiTheme="minorEastAsia" w:hAnsiTheme="minorEastAsia" w:eastAsiaTheme="minorEastAsia" w:cstheme="minorEastAsia"/>
          <w:color w:val="auto"/>
          <w:sz w:val="32"/>
          <w:szCs w:val="32"/>
        </w:rPr>
        <w:instrText xml:space="preserve"> \f A \l 1 </w:instrText>
      </w:r>
      <w:r>
        <w:rPr>
          <w:rFonts w:hint="eastAsia" w:asciiTheme="minorEastAsia" w:hAnsiTheme="minorEastAsia" w:eastAsiaTheme="minorEastAsia" w:cstheme="minorEastAsia"/>
          <w:color w:val="auto"/>
          <w:sz w:val="32"/>
          <w:szCs w:val="32"/>
        </w:rPr>
        <w:fldChar w:fldCharType="end"/>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（一）全面落实城镇职工、城乡居民医疗保险、生育保险政策，保障城乡医保参保扩面稳定增长</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绩效目标：深入实施全民参保计划，提升医疗保险扩面质量</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指标：切实加强城乡居民医疗保险扩面征缴工作，城乡居民医疗保险参保人数预计达到351000人次，进一步提高城镇职工医疗、生育保险扩面征缴工作，参保人数已达到55076人次。建立社保税务信息共享和业务协同机制。</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（二）大力发展社会化护理服务，做好长期护理险试点工作</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绩效目标:按照石家庄市医保局统一安排部署，稳步推进长期护理险试点工作</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绩效指标：积极</w:t>
      </w:r>
      <w:r>
        <w:rPr>
          <w:rFonts w:hint="eastAsia" w:asciiTheme="minorEastAsia" w:hAnsiTheme="minorEastAsia" w:eastAsiaTheme="minorEastAsia" w:cstheme="minorEastAsia"/>
          <w:color w:val="auto"/>
          <w:sz w:val="32"/>
          <w:szCs w:val="32"/>
          <w:lang w:eastAsia="zh-CN"/>
        </w:rPr>
        <w:t>按照</w:t>
      </w:r>
      <w:r>
        <w:rPr>
          <w:rFonts w:hint="eastAsia" w:asciiTheme="minorEastAsia" w:hAnsiTheme="minorEastAsia" w:eastAsiaTheme="minorEastAsia" w:cstheme="minorEastAsia"/>
          <w:color w:val="auto"/>
          <w:sz w:val="32"/>
          <w:szCs w:val="32"/>
        </w:rPr>
        <w:t>石家庄市医保局统一安排部署，参与修订《长期护理险试点启动工作方案》、《石家庄市长期护理保险实施细则》、《石家庄市长期护理保险失能评估人员管理办法》、《石家庄市长期护理保险定点护理服务机构协议管理办法》、《石家庄市长期护理保险居家护理管理办法》等一系列政策文件，探索推进市场化养老，加快居家养老服务中心建设，完善城乡居民医保政策和医疗卫生体系。</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（三）加强基金管理，持续开展打击欺诈骗保专项行动</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绩效目标：依托智能监控系统，提升监管实效。积极开展打击欺诈骗保专项行动。守住人民群众的救命钱，致力推进形成不敢骗、不能骗、不想骗的良好氛围。</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指标：按照石市医保局要求，各协议医疗机构启用网络动态库接口，2020年鹿泉区民营医疗机构全面启用动态库。提升智能审核系统审核住院违规数据效率。积极开展打击欺诈骗保专项行动，预计对域内21家定点医疗机构，39家门诊，93家定点药店进行全面检查，检查覆盖率100%。</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（四）顺利开展医疗救助工作。</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绩效目标：全面开展了对低保人员、特困供养人员及因病致贫家庭重病患者的门诊及住院费用医疗救助工作。</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绩效指标：继续开展恶性肿瘤、白血病、慢性肾功能衰竭、抗排异治疗的器官移植、血友病、再生障碍性贫血、重症精神病7种门诊特殊病“零门槛”报销，减轻就医负担。</w:t>
      </w:r>
    </w:p>
    <w:p>
      <w:pPr>
        <w:spacing w:line="500" w:lineRule="exact"/>
        <w:ind w:firstLine="640" w:firstLineChars="200"/>
        <w:jc w:val="left"/>
        <w:rPr>
          <w:rFonts w:hint="eastAsia" w:asciiTheme="minorEastAsia" w:hAnsiTheme="minorEastAsia" w:eastAsiaTheme="minorEastAsia" w:cstheme="minorEastAsia"/>
          <w:color w:val="auto"/>
          <w:sz w:val="32"/>
          <w:szCs w:val="32"/>
        </w:rPr>
      </w:pPr>
    </w:p>
    <w:p>
      <w:pPr>
        <w:spacing w:line="500" w:lineRule="exact"/>
        <w:ind w:firstLine="640" w:firstLineChars="200"/>
        <w:jc w:val="left"/>
        <w:outlineLvl w:val="1"/>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三、工作保障措施</w:t>
      </w:r>
      <w:r>
        <w:rPr>
          <w:rFonts w:hint="eastAsia" w:asciiTheme="minorEastAsia" w:hAnsiTheme="minorEastAsia" w:eastAsiaTheme="minorEastAsia" w:cstheme="minorEastAsia"/>
          <w:color w:val="auto"/>
          <w:sz w:val="32"/>
          <w:szCs w:val="32"/>
        </w:rPr>
        <w:fldChar w:fldCharType="begin"/>
      </w:r>
      <w:r>
        <w:rPr>
          <w:rFonts w:hint="eastAsia" w:asciiTheme="minorEastAsia" w:hAnsiTheme="minorEastAsia" w:eastAsiaTheme="minorEastAsia" w:cstheme="minorEastAsia"/>
          <w:color w:val="auto"/>
          <w:sz w:val="32"/>
          <w:szCs w:val="32"/>
        </w:rPr>
        <w:instrText xml:space="preserve"> TC </w:instrText>
      </w:r>
      <w:bookmarkStart w:id="3" w:name="_Toc33187170"/>
      <w:r>
        <w:rPr>
          <w:rFonts w:hint="eastAsia" w:asciiTheme="minorEastAsia" w:hAnsiTheme="minorEastAsia" w:eastAsiaTheme="minorEastAsia" w:cstheme="minorEastAsia"/>
          <w:color w:val="auto"/>
          <w:sz w:val="32"/>
          <w:szCs w:val="32"/>
        </w:rPr>
        <w:instrText xml:space="preserve">工作保障措施</w:instrText>
      </w:r>
      <w:bookmarkEnd w:id="3"/>
      <w:r>
        <w:rPr>
          <w:rFonts w:hint="eastAsia" w:asciiTheme="minorEastAsia" w:hAnsiTheme="minorEastAsia" w:eastAsiaTheme="minorEastAsia" w:cstheme="minorEastAsia"/>
          <w:color w:val="auto"/>
          <w:sz w:val="32"/>
          <w:szCs w:val="32"/>
        </w:rPr>
        <w:instrText xml:space="preserve"> \f A \l 1 </w:instrText>
      </w:r>
      <w:r>
        <w:rPr>
          <w:rFonts w:hint="eastAsia" w:asciiTheme="minorEastAsia" w:hAnsiTheme="minorEastAsia" w:eastAsiaTheme="minorEastAsia" w:cstheme="minorEastAsia"/>
          <w:color w:val="auto"/>
          <w:sz w:val="32"/>
          <w:szCs w:val="32"/>
        </w:rPr>
        <w:fldChar w:fldCharType="end"/>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1、始终把政治建设摆在首位。持续加强理论武装。坚持把学习贯彻习近平新时代中国特色社会主义思想作为重大政治任务，继续深入开展“不忘初心、牢记使命”主题教育及为民服务解难题活动。引领医保局广大党员干部积极参与主题教育，达到理论学习有收获、思想政治受洗礼、干事创业敢担当、为民服务解难题、清正廉洁作表率的目标。</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2、是优化服务，保障医保扩面惠民生。大力实施更加积极的医保政策，深入推进落实城镇职工、城乡居民医疗保险、生育保险政策，保障城乡医保参保扩面稳定增长。窗口科室率先按照上级有关部门要求，施行“5+1”窗口服务延时错时的办公制度，力求最大限度方便群众，真正做到想群众之所想，急群众之所急，切实为群众解难题，服好务，为医疗保障事业发展奠定了良好基础。</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3、完善制度建设。制定完善预算绩效管理制度、资金管理办法、工作保障制度等，为全年预算绩效目标的实现奠定制度基础。</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4、加强支出管理。优化支出结构、编细编实预算、加快履行政府采购手续、尽快启动项目、及时支付资金，确保支出进度达标。</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5、加强绩效运行监控。按要求开展绩效运行监控，发现问题及时采取措施，确保绩效目标如期保质实现。</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6、做好绩效自评。按要求开展上年度部门预算绩效自评和重点评价工作，对评价中发现的问题及时整改，调整优化支出结构，提高财政资金使用效益。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7、规范财务资产管理。完善财务管理制度，严格审批程序，加强固定资产登记、使用和报废处置管理，做到支出合理，物尽其用。</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8、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9、加强宣传培训调研等。加强人员培训，提高本部门职工业务素质；加强调研，提出优化财政资金配置、提高资金使用效益的意见；加大宣传力度，强化预算绩效管理意识，促进预算绩效管理水平进一步提升。</w:t>
      </w:r>
    </w:p>
    <w:p>
      <w:pPr>
        <w:spacing w:line="500" w:lineRule="exact"/>
        <w:ind w:firstLine="640" w:firstLineChars="200"/>
        <w:jc w:val="left"/>
        <w:rPr>
          <w:rFonts w:hint="eastAsia" w:asciiTheme="minorEastAsia" w:hAnsiTheme="minorEastAsia" w:eastAsiaTheme="minorEastAsia" w:cstheme="minorEastAsia"/>
          <w:color w:val="auto"/>
          <w:sz w:val="32"/>
          <w:szCs w:val="32"/>
        </w:rPr>
      </w:pPr>
      <w:r>
        <w:rPr>
          <w:rFonts w:hint="eastAsia" w:asciiTheme="minorEastAsia" w:hAnsiTheme="minorEastAsia" w:eastAsiaTheme="minorEastAsia" w:cstheme="minorEastAsia"/>
          <w:color w:val="auto"/>
          <w:sz w:val="32"/>
          <w:szCs w:val="32"/>
        </w:rPr>
        <w:t>10、落实责任，确保年度全面完成。针对年度目标任务，对未按时序进度完成的目标任务实行分线分层负责，完成时限均要求在11月底前，落实责任领导、责任单位、责任人员专抓落实，确保目标任务实现。</w:t>
      </w:r>
    </w:p>
    <w:p>
      <w:pPr>
        <w:autoSpaceDE w:val="0"/>
        <w:autoSpaceDN w:val="0"/>
        <w:adjustRightInd w:val="0"/>
        <w:ind w:left="198" w:firstLine="643" w:firstLineChars="200"/>
        <w:jc w:val="left"/>
        <w:rPr>
          <w:rFonts w:hint="eastAsia" w:ascii="Times New Roman" w:hAnsi="Times New Roman" w:eastAsia="方正仿宋_GBK" w:cs="Times New Roman"/>
          <w:b/>
          <w:color w:val="auto"/>
          <w:sz w:val="32"/>
          <w:szCs w:val="32"/>
        </w:rPr>
      </w:pPr>
    </w:p>
    <w:p>
      <w:pPr>
        <w:jc w:val="center"/>
        <w:rPr>
          <w:rFonts w:hint="eastAsia" w:ascii="Times New Roman" w:hAnsi="宋体"/>
          <w:color w:val="auto"/>
          <w:sz w:val="44"/>
        </w:rPr>
      </w:pPr>
      <w:r>
        <w:rPr>
          <w:rFonts w:hint="eastAsia" w:ascii="方正小标宋_GBK" w:eastAsia="方正小标宋_GBK"/>
          <w:color w:val="auto"/>
          <w:sz w:val="44"/>
        </w:rPr>
        <w:t>第二部分</w:t>
      </w:r>
    </w:p>
    <w:p>
      <w:pPr>
        <w:jc w:val="center"/>
        <w:rPr>
          <w:rFonts w:ascii="Times New Roman" w:hAnsi="宋体"/>
          <w:color w:val="auto"/>
          <w:sz w:val="44"/>
        </w:rPr>
      </w:pPr>
      <w:r>
        <w:rPr>
          <w:rFonts w:ascii="方正小标宋_GBK" w:eastAsia="方正小标宋_GBK"/>
          <w:color w:val="auto"/>
          <w:sz w:val="44"/>
        </w:rPr>
        <w:t xml:space="preserve"> </w:t>
      </w:r>
    </w:p>
    <w:p>
      <w:pPr>
        <w:jc w:val="center"/>
        <w:outlineLvl w:val="0"/>
        <w:rPr>
          <w:rFonts w:hint="eastAsia" w:ascii="Times New Roman" w:hAnsi="宋体"/>
          <w:color w:val="auto"/>
          <w:sz w:val="44"/>
        </w:rPr>
      </w:pPr>
      <w:r>
        <w:rPr>
          <w:rFonts w:hint="eastAsia" w:ascii="方正小标宋_GBK" w:eastAsia="方正小标宋_GBK"/>
          <w:color w:val="auto"/>
          <w:sz w:val="44"/>
        </w:rPr>
        <w:t>专项资金绩效目标</w:t>
      </w:r>
    </w:p>
    <w:p>
      <w:pPr>
        <w:jc w:val="center"/>
        <w:rPr>
          <w:rFonts w:ascii="Times New Roman" w:hAnsi="宋体"/>
          <w:color w:val="auto"/>
        </w:rPr>
      </w:pPr>
      <w:r>
        <w:rPr>
          <w:rFonts w:ascii="方正书宋_GBK" w:eastAsia="方正书宋_GBK"/>
          <w:color w:val="auto"/>
        </w:rPr>
        <w:t xml:space="preserve"> </w:t>
      </w:r>
    </w:p>
    <w:p>
      <w:pPr>
        <w:jc w:val="center"/>
        <w:rPr>
          <w:color w:val="auto"/>
        </w:rPr>
        <w:sectPr>
          <w:pgSz w:w="11907" w:h="16839"/>
          <w:pgMar w:top="1984" w:right="1304" w:bottom="1134" w:left="1304" w:header="851" w:footer="992" w:gutter="0"/>
          <w:cols w:space="425" w:num="1"/>
          <w:docGrid w:type="lines" w:linePitch="312" w:charSpace="0"/>
        </w:sectPr>
      </w:pPr>
    </w:p>
    <w:p>
      <w:pPr>
        <w:jc w:val="center"/>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1、医保局城乡医疗救助绩效目标表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4" w:name="_Toc33187171"/>
      <w:r>
        <w:rPr>
          <w:rFonts w:hint="eastAsia" w:ascii="方正仿宋_GBK" w:eastAsia="方正仿宋_GBK"/>
          <w:b/>
          <w:color w:val="auto"/>
          <w:sz w:val="28"/>
        </w:rPr>
        <w:instrText xml:space="preserve">1、医保局城乡医疗救助绩效目标表</w:instrText>
      </w:r>
      <w:bookmarkEnd w:id="4"/>
      <w:r>
        <w:rPr>
          <w:rFonts w:hint="eastAsia" w:ascii="方正仿宋_GBK" w:eastAsia="方正仿宋_GBK"/>
          <w:b/>
          <w:color w:val="auto"/>
          <w:sz w:val="28"/>
        </w:rPr>
        <w:instrText xml:space="preserve">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000-9999-JSN-F020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医保局城乡医疗救助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40.00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40.00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为更好的做好医疗救助的工作，根据《石家庄市鹿泉区人民政府办公室转发区民政局等部门关于进一步完善医疗救助制度全面开展重特大疾病医疗救助工作实施意见的通知》（鹿政办函【</w:t>
            </w:r>
            <w:r>
              <w:rPr>
                <w:rFonts w:ascii="方正书宋_GBK" w:eastAsia="方正书宋_GBK"/>
                <w:color w:val="auto"/>
              </w:rPr>
              <w:t>2016</w:t>
            </w:r>
            <w:r>
              <w:rPr>
                <w:rFonts w:hint="eastAsia" w:ascii="方正书宋_GBK" w:eastAsia="方正书宋_GBK"/>
                <w:color w:val="auto"/>
              </w:rPr>
              <w:t>】</w:t>
            </w:r>
            <w:r>
              <w:rPr>
                <w:rFonts w:ascii="方正书宋_GBK" w:eastAsia="方正书宋_GBK"/>
                <w:color w:val="auto"/>
              </w:rPr>
              <w:t>51</w:t>
            </w:r>
            <w:r>
              <w:rPr>
                <w:rFonts w:hint="eastAsia" w:ascii="方正书宋_GBK" w:eastAsia="方正书宋_GBK"/>
                <w:color w:val="auto"/>
              </w:rPr>
              <w:t>号文）精神，救助对象为特困供养人员、城乡最低生活保障家庭成员、低收入家庭的老年人、未成年人、重度残疾人和重病患者、因病致贫家庭重病患者。根据石政发【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号文要求县按辖区人口不少于</w:t>
            </w:r>
            <w:r>
              <w:rPr>
                <w:rFonts w:ascii="方正书宋_GBK" w:eastAsia="方正书宋_GBK"/>
                <w:color w:val="auto"/>
              </w:rPr>
              <w:t>0.8</w:t>
            </w:r>
            <w:r>
              <w:rPr>
                <w:rFonts w:hint="eastAsia" w:ascii="方正书宋_GBK" w:eastAsia="方正书宋_GBK"/>
                <w:color w:val="auto"/>
              </w:rPr>
              <w:t>元安排，预计需要资金</w:t>
            </w:r>
            <w:r>
              <w:rPr>
                <w:rFonts w:ascii="方正书宋_GBK" w:eastAsia="方正书宋_GBK"/>
                <w:color w:val="auto"/>
              </w:rPr>
              <w:t>40</w:t>
            </w:r>
            <w:r>
              <w:rPr>
                <w:rFonts w:hint="eastAsia" w:ascii="方正书宋_GBK" w:eastAsia="方正书宋_GBK"/>
                <w:color w:val="auto"/>
              </w:rPr>
              <w:t>万元，</w:t>
            </w:r>
            <w:r>
              <w:rPr>
                <w:rFonts w:ascii="方正书宋_GBK" w:eastAsia="方正书宋_GBK"/>
                <w:color w:val="auto"/>
              </w:rPr>
              <w:t>2020</w:t>
            </w:r>
            <w:r>
              <w:rPr>
                <w:rFonts w:hint="eastAsia" w:ascii="方正书宋_GBK" w:eastAsia="方正书宋_GBK"/>
                <w:color w:val="auto"/>
              </w:rPr>
              <w:t>年支出</w:t>
            </w:r>
            <w:r>
              <w:rPr>
                <w:rFonts w:ascii="方正书宋_GBK" w:eastAsia="方正书宋_GBK"/>
                <w:color w:val="auto"/>
              </w:rPr>
              <w:t>40</w:t>
            </w:r>
            <w:r>
              <w:rPr>
                <w:rFonts w:hint="eastAsia" w:ascii="方正书宋_GBK" w:eastAsia="方正书宋_GBK"/>
                <w:color w:val="auto"/>
              </w:rPr>
              <w:t>万元。低保人员报销</w:t>
            </w:r>
            <w:r>
              <w:rPr>
                <w:rFonts w:ascii="方正书宋_GBK" w:eastAsia="方正书宋_GBK"/>
                <w:color w:val="auto"/>
              </w:rPr>
              <w:t>70%</w:t>
            </w:r>
            <w:r>
              <w:rPr>
                <w:rFonts w:hint="eastAsia" w:ascii="方正书宋_GBK" w:eastAsia="方正书宋_GBK"/>
                <w:color w:val="auto"/>
              </w:rPr>
              <w:t>，五保人员报销</w:t>
            </w:r>
            <w:r>
              <w:rPr>
                <w:rFonts w:ascii="方正书宋_GBK" w:eastAsia="方正书宋_GBK"/>
                <w:color w:val="auto"/>
              </w:rPr>
              <w:t>90%</w:t>
            </w:r>
            <w:r>
              <w:rPr>
                <w:rFonts w:hint="eastAsia" w:ascii="方正书宋_GBK" w:eastAsia="方正书宋_GBK"/>
                <w:color w:val="auto"/>
              </w:rPr>
              <w:t>，因病致贫人员报销</w:t>
            </w:r>
            <w:r>
              <w:rPr>
                <w:rFonts w:ascii="方正书宋_GBK" w:eastAsia="方正书宋_GBK"/>
                <w:color w:val="auto"/>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、救助对象为特困供养人员、城乡最低生活保障家庭成员、低收入家庭的老年人、未成年人、重度残疾人和重病患者、因病致贫家庭重病患者。</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医疗救助待遇发放人数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2300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低保医疗救助发放标准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70%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五保户人员医疗救助标准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因病致贫医疗救助标准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本年度医疗救助完成率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被救助对象占应救助对象的比例</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资金发放按时完成率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被救助对象人数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救助对象为特困供养人员、城乡最低生活保障家庭成员、低收入家庭的老年人、未成年人、重度残疾人和重病患者、因病致贫家庭重病患者住院后自付部分报销医药费待遇的人数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2300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受益群众满意度</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根据石政发【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hint="eastAsia" w:ascii="方正仿宋_GBK" w:eastAsia="方正仿宋_GBK"/>
          <w:b/>
          <w:color w:val="auto"/>
          <w:sz w:val="28"/>
        </w:rPr>
      </w:pPr>
      <w:r>
        <w:rPr>
          <w:rFonts w:hint="eastAsia" w:ascii="方正仿宋_GBK" w:eastAsia="方正仿宋_GBK"/>
          <w:b/>
          <w:color w:val="auto"/>
          <w:sz w:val="28"/>
        </w:rPr>
        <w:t>2、医保局退役军人公益岗位工资补贴</w:t>
      </w: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5" w:name="_Toc33187172"/>
      <w:r>
        <w:rPr>
          <w:rFonts w:hint="eastAsia" w:ascii="方正仿宋_GBK" w:eastAsia="方正仿宋_GBK"/>
          <w:b/>
          <w:color w:val="auto"/>
          <w:sz w:val="28"/>
        </w:rPr>
        <w:instrText xml:space="preserve">2、医保局退役军人公益岗位工资补贴</w:instrText>
      </w:r>
      <w:bookmarkEnd w:id="5"/>
      <w:r>
        <w:rPr>
          <w:rFonts w:hint="eastAsia" w:ascii="方正仿宋_GBK" w:eastAsia="方正仿宋_GBK"/>
          <w:b/>
          <w:color w:val="auto"/>
          <w:sz w:val="28"/>
        </w:rPr>
        <w:instrText xml:space="preserve">
绩效目标表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000-9999-JSN-RLDB</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医保局退役军人公益岗位工资补贴</w:t>
            </w:r>
          </w:p>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2.43</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2.43</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根据《鹿泉区关于进一步做好部分军队退役人员帮扶救助的若干措施》鹿文办【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号文件第二条第一款</w:t>
            </w:r>
            <w:r>
              <w:rPr>
                <w:rFonts w:hint="cs" w:ascii="方正书宋_GBK" w:eastAsia="方正书宋_GBK"/>
                <w:color w:val="auto"/>
              </w:rPr>
              <w:t>“</w:t>
            </w:r>
            <w:r>
              <w:rPr>
                <w:rFonts w:hint="eastAsia" w:ascii="方正书宋_GBK" w:eastAsia="方正书宋_GBK"/>
                <w:color w:val="auto"/>
              </w:rPr>
              <w:t>实行公益岗托底安置</w:t>
            </w:r>
            <w:r>
              <w:rPr>
                <w:rFonts w:hint="cs" w:ascii="方正书宋_GBK" w:eastAsia="方正书宋_GBK"/>
                <w:color w:val="auto"/>
              </w:rPr>
              <w:t>”</w:t>
            </w:r>
            <w:r>
              <w:rPr>
                <w:rFonts w:hint="eastAsia" w:ascii="方正书宋_GBK" w:eastAsia="方正书宋_GBK"/>
                <w:color w:val="auto"/>
              </w:rPr>
              <w:t>对符合政府安排工作条件的退役士兵，帮扶救助，加大就业援助，通过公益岗位予以托管。我单位共有</w:t>
            </w:r>
            <w:r>
              <w:rPr>
                <w:rFonts w:ascii="方正书宋_GBK" w:eastAsia="方正书宋_GBK"/>
                <w:color w:val="auto"/>
              </w:rPr>
              <w:t>1</w:t>
            </w:r>
            <w:r>
              <w:rPr>
                <w:rFonts w:hint="eastAsia" w:ascii="方正书宋_GBK" w:eastAsia="方正书宋_GBK"/>
                <w:color w:val="auto"/>
              </w:rPr>
              <w:t>名退役军人，每月需财政负担</w:t>
            </w:r>
            <w:r>
              <w:rPr>
                <w:rFonts w:ascii="方正书宋_GBK" w:eastAsia="方正书宋_GBK"/>
                <w:color w:val="auto"/>
              </w:rPr>
              <w:t>1960</w:t>
            </w:r>
            <w:r>
              <w:rPr>
                <w:rFonts w:hint="eastAsia" w:ascii="方正书宋_GBK" w:eastAsia="方正书宋_GBK"/>
                <w:color w:val="auto"/>
              </w:rPr>
              <w:t>元，另每年每人取暖补贴</w:t>
            </w:r>
            <w:r>
              <w:rPr>
                <w:rFonts w:ascii="方正书宋_GBK" w:eastAsia="方正书宋_GBK"/>
                <w:color w:val="auto"/>
              </w:rPr>
              <w:t>1900</w:t>
            </w:r>
            <w:r>
              <w:rPr>
                <w:rFonts w:hint="eastAsia" w:ascii="方正书宋_GBK" w:eastAsia="方正书宋_GBK"/>
                <w:color w:val="auto"/>
              </w:rPr>
              <w:t>元，</w:t>
            </w:r>
            <w:r>
              <w:rPr>
                <w:rFonts w:ascii="方正书宋_GBK" w:eastAsia="方正书宋_GBK"/>
                <w:color w:val="auto"/>
              </w:rPr>
              <w:t>2020</w:t>
            </w:r>
            <w:r>
              <w:rPr>
                <w:rFonts w:hint="eastAsia" w:ascii="方正书宋_GBK" w:eastAsia="方正书宋_GBK"/>
                <w:color w:val="auto"/>
              </w:rPr>
              <w:t>年需财政补助</w:t>
            </w:r>
            <w:r>
              <w:rPr>
                <w:rFonts w:ascii="方正书宋_GBK" w:eastAsia="方正书宋_GBK"/>
                <w:color w:val="auto"/>
              </w:rPr>
              <w:t>24300</w:t>
            </w:r>
            <w:r>
              <w:rPr>
                <w:rFonts w:hint="eastAsia" w:ascii="方正书宋_GBK" w:eastAsia="方正书宋_GBK"/>
                <w:color w:val="auto"/>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、对符合政府安排工作条件的退役士兵</w:t>
            </w:r>
            <w:r>
              <w:rPr>
                <w:rFonts w:ascii="方正书宋_GBK" w:eastAsia="方正书宋_GBK"/>
                <w:color w:val="auto"/>
              </w:rPr>
              <w:t>1</w:t>
            </w:r>
            <w:r>
              <w:rPr>
                <w:rFonts w:hint="eastAsia" w:ascii="方正书宋_GBK" w:eastAsia="方正书宋_GBK"/>
                <w:color w:val="auto"/>
              </w:rPr>
              <w:t>名，帮扶救助，加大就业援助，实现公益岗位托管安置。</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退役士兵人数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帮扶救助退役士兵数量</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工资发放标准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按月工资每月发放标准</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3100</w:t>
            </w:r>
            <w:r>
              <w:rPr>
                <w:rFonts w:hint="eastAsia" w:ascii="方正书宋_GBK" w:eastAsia="方正书宋_GBK"/>
                <w:color w:val="auto"/>
              </w:rPr>
              <w:t>元</w:t>
            </w:r>
            <w:r>
              <w:rPr>
                <w:rFonts w:ascii="方正书宋_GBK" w:eastAsia="方正书宋_GBK"/>
                <w:color w:val="auto"/>
              </w:rPr>
              <w:t>/</w:t>
            </w:r>
            <w:r>
              <w:rPr>
                <w:rFonts w:hint="eastAsia" w:ascii="方正书宋_GBK" w:eastAsia="方正书宋_GBK"/>
                <w:color w:val="auto"/>
              </w:rPr>
              <w:t>月</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工资发放完成率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按时发放次数占应发放次数的比例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托管安置人数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退役士兵实行公益岗托管安置人数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群众满意数量占总数的比例。</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96%</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3、医保中心长期护理保险财政补助绩效目标表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6" w:name="_Toc33187173"/>
      <w:r>
        <w:rPr>
          <w:rFonts w:hint="eastAsia" w:ascii="方正仿宋_GBK" w:eastAsia="方正仿宋_GBK"/>
          <w:b/>
          <w:color w:val="auto"/>
          <w:sz w:val="28"/>
        </w:rPr>
        <w:instrText xml:space="preserve">3、医保中心长期护理保险财政补助绩效目标表</w:instrText>
      </w:r>
      <w:bookmarkEnd w:id="6"/>
      <w:r>
        <w:rPr>
          <w:rFonts w:hint="eastAsia" w:ascii="方正仿宋_GBK" w:eastAsia="方正仿宋_GBK"/>
          <w:b/>
          <w:color w:val="auto"/>
          <w:sz w:val="28"/>
        </w:rPr>
        <w:instrText xml:space="preserve">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000-9999-JSN-H0J8</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医保中心长期护理保险财政补助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688.00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688.00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全面贯彻实施长期护理保险制度，长期护理保险以长期处于失能状态的参保人员为保障对象，重点解决重度失能人员基本生活照料和与基本生活密切相关的医疗护理等费用。因年老、疾病、伤残等原因导致失能，经过统一需求评估标准，生活不能自理、需要长期护理的参保人员可享受长期护理保险待遇。根据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号文件规定，长期护理险的筹资方式按照责任共担原则，通过个人缴费、医保统筹基金划转、财政补助等多渠道筹集资金。其中本级财政补助为每人每年</w:t>
            </w:r>
            <w:r>
              <w:rPr>
                <w:rFonts w:ascii="方正书宋_GBK" w:eastAsia="方正书宋_GBK"/>
                <w:color w:val="auto"/>
              </w:rPr>
              <w:t>20</w:t>
            </w:r>
            <w:r>
              <w:rPr>
                <w:rFonts w:hint="eastAsia" w:ascii="方正书宋_GBK" w:eastAsia="方正书宋_GBK"/>
                <w:color w:val="auto"/>
              </w:rPr>
              <w:t>元，人数预计</w:t>
            </w:r>
            <w:r>
              <w:rPr>
                <w:rFonts w:ascii="方正书宋_GBK" w:eastAsia="方正书宋_GBK"/>
                <w:color w:val="auto"/>
              </w:rPr>
              <w:t>35</w:t>
            </w:r>
            <w:r>
              <w:rPr>
                <w:rFonts w:hint="eastAsia" w:ascii="方正书宋_GBK" w:eastAsia="方正书宋_GBK"/>
                <w:color w:val="auto"/>
              </w:rPr>
              <w:t>万人，共需资金</w:t>
            </w:r>
            <w:r>
              <w:rPr>
                <w:rFonts w:ascii="方正书宋_GBK" w:eastAsia="方正书宋_GBK"/>
                <w:color w:val="auto"/>
              </w:rPr>
              <w:t>688</w:t>
            </w:r>
            <w:r>
              <w:rPr>
                <w:rFonts w:hint="eastAsia" w:ascii="方正书宋_GBK" w:eastAsia="方正书宋_GBK"/>
                <w:color w:val="auto"/>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、对长期失能人员提供护理服务</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资助人口参加基本医疗保险人数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失能人员人数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3000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长期护理人次数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当年护理服务人次数量</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30000</w:t>
            </w:r>
            <w:r>
              <w:rPr>
                <w:rFonts w:hint="eastAsia" w:ascii="方正书宋_GBK" w:eastAsia="方正书宋_GBK"/>
                <w:color w:val="auto"/>
              </w:rPr>
              <w:t>人次</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资助标准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本级财政补助标准</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20</w:t>
            </w:r>
            <w:r>
              <w:rPr>
                <w:rFonts w:hint="eastAsia" w:ascii="方正书宋_GBK" w:eastAsia="方正书宋_GBK"/>
                <w:color w:val="auto"/>
              </w:rPr>
              <w:t>元</w:t>
            </w:r>
            <w:r>
              <w:rPr>
                <w:rFonts w:ascii="方正书宋_GBK" w:eastAsia="方正书宋_GBK"/>
                <w:color w:val="auto"/>
              </w:rPr>
              <w:t>/</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医疗救助政策知晓率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医疗救助政策知晓率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社会影响力</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在全区产生的重要影响，得到广大受众的充分认可。</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充分认可</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本区受益人数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35</w:t>
            </w:r>
            <w:r>
              <w:rPr>
                <w:rFonts w:hint="eastAsia" w:ascii="方正书宋_GBK" w:eastAsia="方正书宋_GBK"/>
                <w:color w:val="auto"/>
              </w:rPr>
              <w:t>万人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长期护理收益群众满意度</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石政办函【</w:t>
            </w:r>
            <w:r>
              <w:rPr>
                <w:rFonts w:ascii="方正书宋_GBK" w:eastAsia="方正书宋_GBK"/>
                <w:color w:val="auto"/>
              </w:rPr>
              <w:t>2018</w:t>
            </w:r>
            <w:r>
              <w:rPr>
                <w:rFonts w:hint="eastAsia" w:ascii="方正书宋_GBK" w:eastAsia="方正书宋_GBK"/>
                <w:color w:val="auto"/>
              </w:rPr>
              <w:t>】</w:t>
            </w:r>
            <w:r>
              <w:rPr>
                <w:rFonts w:ascii="方正书宋_GBK" w:eastAsia="方正书宋_GBK"/>
                <w:color w:val="auto"/>
              </w:rPr>
              <w:t>211</w:t>
            </w:r>
            <w:r>
              <w:rPr>
                <w:rFonts w:hint="eastAsia" w:ascii="方正书宋_GBK" w:eastAsia="方正书宋_GBK"/>
                <w:color w:val="auto"/>
              </w:rPr>
              <w:t>号文件</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4、医保中心城乡居民医疗补助绩效目标表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7" w:name="_Toc33187174"/>
      <w:r>
        <w:rPr>
          <w:rFonts w:hint="eastAsia" w:ascii="方正仿宋_GBK" w:eastAsia="方正仿宋_GBK"/>
          <w:b/>
          <w:color w:val="auto"/>
          <w:sz w:val="28"/>
        </w:rPr>
        <w:instrText xml:space="preserve">4、医保中心城乡居民医疗补助绩效目标表</w:instrText>
      </w:r>
      <w:bookmarkEnd w:id="7"/>
      <w:r>
        <w:rPr>
          <w:rFonts w:hint="eastAsia" w:ascii="方正仿宋_GBK" w:eastAsia="方正仿宋_GBK"/>
          <w:b/>
          <w:color w:val="auto"/>
          <w:sz w:val="28"/>
        </w:rPr>
        <w:instrText xml:space="preserve">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000-9999-JSN-N686</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医保中心城乡居民医疗补助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3800.00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3800.00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为保障城乡居民医保基金更好的运行，为广大群众服务，因</w:t>
            </w:r>
            <w:r>
              <w:rPr>
                <w:rFonts w:ascii="方正书宋_GBK" w:eastAsia="方正书宋_GBK"/>
                <w:color w:val="auto"/>
              </w:rPr>
              <w:t>19</w:t>
            </w:r>
            <w:r>
              <w:rPr>
                <w:rFonts w:hint="eastAsia" w:ascii="方正书宋_GBK" w:eastAsia="方正书宋_GBK"/>
                <w:color w:val="auto"/>
              </w:rPr>
              <w:t>年本级补助标准未定，参照</w:t>
            </w:r>
            <w:r>
              <w:rPr>
                <w:rFonts w:ascii="方正书宋_GBK" w:eastAsia="方正书宋_GBK"/>
                <w:color w:val="auto"/>
              </w:rPr>
              <w:t>18</w:t>
            </w:r>
            <w:r>
              <w:rPr>
                <w:rFonts w:hint="eastAsia" w:ascii="方正书宋_GBK" w:eastAsia="方正书宋_GBK"/>
                <w:color w:val="auto"/>
              </w:rPr>
              <w:t>年补助标准</w:t>
            </w:r>
            <w:r>
              <w:rPr>
                <w:rFonts w:ascii="方正书宋_GBK" w:eastAsia="方正书宋_GBK"/>
                <w:color w:val="auto"/>
              </w:rPr>
              <w:t>132</w:t>
            </w:r>
            <w:r>
              <w:rPr>
                <w:rFonts w:hint="eastAsia" w:ascii="方正书宋_GBK" w:eastAsia="方正书宋_GBK"/>
                <w:color w:val="auto"/>
              </w:rPr>
              <w:t>元每人，在</w:t>
            </w:r>
            <w:r>
              <w:rPr>
                <w:rFonts w:ascii="方正书宋_GBK" w:eastAsia="方正书宋_GBK"/>
                <w:color w:val="auto"/>
              </w:rPr>
              <w:t>2020</w:t>
            </w:r>
            <w:r>
              <w:rPr>
                <w:rFonts w:hint="eastAsia" w:ascii="方正书宋_GBK" w:eastAsia="方正书宋_GBK"/>
                <w:color w:val="auto"/>
              </w:rPr>
              <w:t>年缴费期结束，补助标准核定后，向财政局申请拨付城乡居民医保本级补助资金上缴市财政。</w:t>
            </w:r>
            <w:r>
              <w:rPr>
                <w:rFonts w:ascii="方正书宋_GBK" w:eastAsia="方正书宋_GBK"/>
                <w:color w:val="auto"/>
              </w:rPr>
              <w:t>2019</w:t>
            </w:r>
            <w:r>
              <w:rPr>
                <w:rFonts w:hint="eastAsia" w:ascii="方正书宋_GBK" w:eastAsia="方正书宋_GBK"/>
                <w:color w:val="auto"/>
              </w:rPr>
              <w:t>年城乡居民医保本级补助资金用于城乡医保基金统筹使用，用于参保人员医疗报销；其中，有五保、重残、贫困人口等无需缴费人员，也由财政补助资金支付，保障贫困人口也能享受更好的医疗服务，保障基金平稳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、根据相关政策为本辖区城乡居民提供本级医疗补助，从而防止不安定因素出现，适当补偿以保障居民基本生活水平。</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本级补贴城乡居民参保人数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本级补贴参加城乡居民医保人数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330000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居民医疗补助完成率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全年实际补助人数占当年参加城乡居民医保人数的比例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100</w:t>
            </w:r>
            <w:r>
              <w:rPr>
                <w:rFonts w:hint="eastAsia" w:ascii="方正书宋_GBK" w:eastAsia="方正书宋_GBK"/>
                <w:color w:val="auto"/>
              </w:rPr>
              <w:t>百分比</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石政办发</w:t>
            </w:r>
            <w:r>
              <w:rPr>
                <w:rFonts w:ascii="方正书宋_GBK" w:eastAsia="方正书宋_GBK"/>
                <w:color w:val="auto"/>
              </w:rPr>
              <w:t>[2016]2</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每人补贴标准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参加城乡居民医保每人补贴标准</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132</w:t>
            </w:r>
            <w:r>
              <w:rPr>
                <w:rFonts w:hint="eastAsia" w:ascii="方正书宋_GBK" w:eastAsia="方正书宋_GBK"/>
                <w:color w:val="auto"/>
              </w:rPr>
              <w:t>元</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石政办发</w:t>
            </w:r>
            <w:r>
              <w:rPr>
                <w:rFonts w:ascii="方正书宋_GBK" w:eastAsia="方正书宋_GBK"/>
                <w:color w:val="auto"/>
              </w:rPr>
              <w:t>[2016]2</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五保、重残、贫困人口补贴标准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五保、重残、贫困人口平均每人补贴标准</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260</w:t>
            </w:r>
            <w:r>
              <w:rPr>
                <w:rFonts w:hint="eastAsia" w:ascii="方正书宋_GBK" w:eastAsia="方正书宋_GBK"/>
                <w:color w:val="auto"/>
              </w:rPr>
              <w:t>元</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石政办发</w:t>
            </w:r>
            <w:r>
              <w:rPr>
                <w:rFonts w:ascii="方正书宋_GBK" w:eastAsia="方正书宋_GBK"/>
                <w:color w:val="auto"/>
              </w:rPr>
              <w:t>[2016]2</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参加居民医保受益人数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参加城乡居民医保受益人数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330000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城乡居民参保完成率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全年参加城乡居民医保人数占全区常住人口比例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石政办发</w:t>
            </w:r>
            <w:r>
              <w:rPr>
                <w:rFonts w:ascii="方正书宋_GBK" w:eastAsia="方正书宋_GBK"/>
                <w:color w:val="auto"/>
              </w:rPr>
              <w:t>[2016]2</w:t>
            </w:r>
            <w:r>
              <w:rPr>
                <w:rFonts w:hint="eastAsia" w:ascii="方正书宋_GBK" w:eastAsia="方正书宋_GBK"/>
                <w:color w:val="auto"/>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参保群众满意度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参保群众对当年就医后报销的整体满意度</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石政办发</w:t>
            </w:r>
            <w:r>
              <w:rPr>
                <w:rFonts w:ascii="方正书宋_GBK" w:eastAsia="方正书宋_GBK"/>
                <w:color w:val="auto"/>
              </w:rPr>
              <w:t>[2016]2</w:t>
            </w:r>
            <w:r>
              <w:rPr>
                <w:rFonts w:hint="eastAsia" w:ascii="方正书宋_GBK" w:eastAsia="方正书宋_GBK"/>
                <w:color w:val="auto"/>
              </w:rPr>
              <w:t>号文件</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5、医保中心离休及伤残军人医药费绩效目标表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8" w:name="_Toc33187175"/>
      <w:r>
        <w:rPr>
          <w:rFonts w:hint="eastAsia" w:ascii="方正仿宋_GBK" w:eastAsia="方正仿宋_GBK"/>
          <w:b/>
          <w:color w:val="auto"/>
          <w:sz w:val="28"/>
        </w:rPr>
        <w:instrText xml:space="preserve">5、医保中心离休及伤残军人医药费绩效目标表</w:instrText>
      </w:r>
      <w:bookmarkEnd w:id="8"/>
      <w:r>
        <w:rPr>
          <w:rFonts w:hint="eastAsia" w:ascii="方正仿宋_GBK" w:eastAsia="方正仿宋_GBK"/>
          <w:b/>
          <w:color w:val="auto"/>
          <w:sz w:val="28"/>
        </w:rPr>
        <w:instrText xml:space="preserve">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000-9999-JSN-0J6N</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医保中心离休及伤残军人医药费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号文有关规定，所需资金列入财政预算，以保障离残人员医药费的及时报销。随着离休人员年龄增长，身体健康状况逐年下降，医疗价格的增高导致医疗费用日趋增长，，全年药费预计在</w:t>
            </w:r>
            <w:r>
              <w:rPr>
                <w:rFonts w:ascii="方正书宋_GBK" w:eastAsia="方正书宋_GBK"/>
                <w:color w:val="auto"/>
              </w:rPr>
              <w:t>800</w:t>
            </w:r>
            <w:r>
              <w:rPr>
                <w:rFonts w:hint="eastAsia" w:ascii="方正书宋_GBK" w:eastAsia="方正书宋_GBK"/>
                <w:color w:val="auto"/>
              </w:rPr>
              <w:t>万左右。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、保障我区约</w:t>
            </w:r>
            <w:r>
              <w:rPr>
                <w:rFonts w:ascii="方正书宋_GBK" w:eastAsia="方正书宋_GBK"/>
                <w:color w:val="auto"/>
              </w:rPr>
              <w:t>130</w:t>
            </w:r>
            <w:r>
              <w:rPr>
                <w:rFonts w:hint="eastAsia" w:ascii="方正书宋_GBK" w:eastAsia="方正书宋_GBK"/>
                <w:color w:val="auto"/>
              </w:rPr>
              <w:t>名离残人员医药费的及时报销，确保离休干部的医药费能够按规定实报实销。体现党和政府对离休干部政治上关心和生活上照顾。</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服务离残人员数量</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服务离残人员数量</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130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符合条件申报对象覆盖率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享受扶助政策人数占符合条件申报对象总数的比例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医药费报销率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实际报销药费金额占报销范围内药费申报金额的比例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发放补贴受益人数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全年发放离残生活补贴受益人数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130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满意和较满意人数占被调查人数的比例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石办字【</w:t>
            </w:r>
            <w:r>
              <w:rPr>
                <w:rFonts w:ascii="方正书宋_GBK" w:eastAsia="方正书宋_GBK"/>
                <w:color w:val="auto"/>
              </w:rPr>
              <w:t>2004</w:t>
            </w:r>
            <w:r>
              <w:rPr>
                <w:rFonts w:hint="eastAsia" w:ascii="方正书宋_GBK" w:eastAsia="方正书宋_GBK"/>
                <w:color w:val="auto"/>
              </w:rPr>
              <w:t>】</w:t>
            </w:r>
            <w:r>
              <w:rPr>
                <w:rFonts w:ascii="方正书宋_GBK" w:eastAsia="方正书宋_GBK"/>
                <w:color w:val="auto"/>
              </w:rPr>
              <w:t>60</w:t>
            </w:r>
            <w:r>
              <w:rPr>
                <w:rFonts w:hint="eastAsia" w:ascii="方正书宋_GBK" w:eastAsia="方正书宋_GBK"/>
                <w:color w:val="auto"/>
              </w:rPr>
              <w:t>号文</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6、医保中心退役军人公益岗位工资补贴绩效目标表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9" w:name="_Toc33187176"/>
      <w:r>
        <w:rPr>
          <w:rFonts w:hint="eastAsia" w:ascii="方正仿宋_GBK" w:eastAsia="方正仿宋_GBK"/>
          <w:b/>
          <w:color w:val="auto"/>
          <w:sz w:val="28"/>
        </w:rPr>
        <w:instrText xml:space="preserve">6、医保中心退役军人公益岗位工资补贴绩效目标表</w:instrText>
      </w:r>
      <w:bookmarkEnd w:id="9"/>
      <w:r>
        <w:rPr>
          <w:rFonts w:hint="eastAsia" w:ascii="方正仿宋_GBK" w:eastAsia="方正仿宋_GBK"/>
          <w:b/>
          <w:color w:val="auto"/>
          <w:sz w:val="28"/>
        </w:rPr>
        <w:instrText xml:space="preserve"> \f B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000-9999-JSN-604D</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专项资金名称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医保中心退役军人公益岗位工资补贴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5.40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5.40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依据《鹿泉区关于进一步做好部分军队退役人员帮扶求助的若干措施》（鹿办文【</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号）文件第二条第一款</w:t>
            </w:r>
            <w:r>
              <w:rPr>
                <w:rFonts w:hint="cs" w:ascii="方正书宋_GBK" w:eastAsia="方正书宋_GBK"/>
                <w:color w:val="auto"/>
              </w:rPr>
              <w:t>“</w:t>
            </w:r>
            <w:r>
              <w:rPr>
                <w:rFonts w:hint="eastAsia" w:ascii="方正书宋_GBK" w:eastAsia="方正书宋_GBK"/>
                <w:color w:val="auto"/>
              </w:rPr>
              <w:t>实行公益岗位托底安置</w:t>
            </w:r>
            <w:r>
              <w:rPr>
                <w:rFonts w:hint="cs" w:ascii="方正书宋_GBK" w:eastAsia="方正书宋_GBK"/>
                <w:color w:val="auto"/>
              </w:rPr>
              <w:t>”</w:t>
            </w:r>
            <w:r>
              <w:rPr>
                <w:rFonts w:hint="eastAsia" w:ascii="方正书宋_GBK" w:eastAsia="方正书宋_GBK"/>
                <w:color w:val="auto"/>
              </w:rPr>
              <w:t>我单位共有两名退役军人，每月工资补贴为</w:t>
            </w:r>
            <w:r>
              <w:rPr>
                <w:rFonts w:ascii="方正书宋_GBK" w:eastAsia="方正书宋_GBK"/>
                <w:color w:val="auto"/>
              </w:rPr>
              <w:t>4370</w:t>
            </w:r>
            <w:r>
              <w:rPr>
                <w:rFonts w:hint="eastAsia" w:ascii="方正书宋_GBK" w:eastAsia="方正书宋_GBK"/>
                <w:color w:val="auto"/>
              </w:rPr>
              <w:t>元，</w:t>
            </w:r>
            <w:r>
              <w:rPr>
                <w:rFonts w:ascii="方正书宋_GBK" w:eastAsia="方正书宋_GBK"/>
                <w:color w:val="auto"/>
              </w:rPr>
              <w:t>2020</w:t>
            </w:r>
            <w:r>
              <w:rPr>
                <w:rFonts w:hint="eastAsia" w:ascii="方正书宋_GBK" w:eastAsia="方正书宋_GBK"/>
                <w:color w:val="auto"/>
              </w:rPr>
              <w:t>年需要</w:t>
            </w:r>
            <w:r>
              <w:rPr>
                <w:rFonts w:ascii="方正书宋_GBK" w:eastAsia="方正书宋_GBK"/>
                <w:color w:val="auto"/>
              </w:rPr>
              <w:t>52440</w:t>
            </w:r>
            <w:r>
              <w:rPr>
                <w:rFonts w:hint="eastAsia" w:ascii="方正书宋_GBK" w:eastAsia="方正书宋_GBK"/>
                <w:color w:val="auto"/>
              </w:rPr>
              <w:t>元。取暖费每人</w:t>
            </w:r>
            <w:r>
              <w:rPr>
                <w:rFonts w:ascii="方正书宋_GBK" w:eastAsia="方正书宋_GBK"/>
                <w:color w:val="auto"/>
              </w:rPr>
              <w:t>1900</w:t>
            </w:r>
            <w:r>
              <w:rPr>
                <w:rFonts w:hint="eastAsia" w:ascii="方正书宋_GBK" w:eastAsia="方正书宋_GBK"/>
                <w:color w:val="auto"/>
              </w:rPr>
              <w:t>元，</w:t>
            </w:r>
            <w:r>
              <w:rPr>
                <w:rFonts w:ascii="方正书宋_GBK" w:eastAsia="方正书宋_GBK"/>
                <w:color w:val="auto"/>
              </w:rPr>
              <w:t>2020</w:t>
            </w:r>
            <w:r>
              <w:rPr>
                <w:rFonts w:hint="eastAsia" w:ascii="方正书宋_GBK" w:eastAsia="方正书宋_GBK"/>
                <w:color w:val="auto"/>
              </w:rPr>
              <w:t>年共需要</w:t>
            </w:r>
            <w:r>
              <w:rPr>
                <w:rFonts w:ascii="方正书宋_GBK" w:eastAsia="方正书宋_GBK"/>
                <w:color w:val="auto"/>
              </w:rPr>
              <w:t>54000</w:t>
            </w:r>
            <w:r>
              <w:rPr>
                <w:rFonts w:hint="eastAsia" w:ascii="方正书宋_GBK" w:eastAsia="方正书宋_GBK"/>
                <w:color w:val="auto"/>
              </w:rPr>
              <w:t>元。发放标准按月工资标准发放。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、做好部分</w:t>
            </w:r>
            <w:r>
              <w:rPr>
                <w:rFonts w:ascii="方正书宋_GBK" w:eastAsia="方正书宋_GBK"/>
                <w:color w:val="auto"/>
              </w:rPr>
              <w:t>2</w:t>
            </w:r>
            <w:r>
              <w:rPr>
                <w:rFonts w:hint="eastAsia" w:ascii="方正书宋_GBK" w:eastAsia="方正书宋_GBK"/>
                <w:color w:val="auto"/>
              </w:rPr>
              <w:t>名军队退役人员帮扶求助，实行公益岗位托底安置</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退役军人安置人数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退役军人安置人数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2</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每月工资标准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每月工资标准</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6650</w:t>
            </w:r>
            <w:r>
              <w:rPr>
                <w:rFonts w:hint="eastAsia" w:ascii="方正书宋_GBK" w:eastAsia="方正书宋_GBK"/>
                <w:color w:val="auto"/>
              </w:rPr>
              <w:t>元</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工资发放完成率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按时发放次数占应发放次数的比例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托底安置人数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退役军人公益岗托底安置人数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被解决就业人员的满意程度</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鹿文办【</w:t>
            </w:r>
            <w:r>
              <w:rPr>
                <w:rFonts w:ascii="方正书宋_GBK" w:eastAsia="方正书宋_GBK"/>
                <w:color w:val="auto"/>
              </w:rPr>
              <w:t>2017</w:t>
            </w:r>
            <w:r>
              <w:rPr>
                <w:rFonts w:hint="eastAsia" w:ascii="方正书宋_GBK" w:eastAsia="方正书宋_GBK"/>
                <w:color w:val="auto"/>
              </w:rPr>
              <w:t>】</w:t>
            </w:r>
            <w:r>
              <w:rPr>
                <w:rFonts w:ascii="方正书宋_GBK" w:eastAsia="方正书宋_GBK"/>
                <w:color w:val="auto"/>
              </w:rPr>
              <w:t>31</w:t>
            </w:r>
            <w:r>
              <w:rPr>
                <w:rFonts w:hint="eastAsia" w:ascii="方正书宋_GBK" w:eastAsia="方正书宋_GBK"/>
                <w:color w:val="auto"/>
              </w:rPr>
              <w:t>号</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rPr>
          <w:rFonts w:ascii="Times New Roman" w:hAnsi="宋体"/>
          <w:color w:val="auto"/>
          <w:sz w:val="52"/>
        </w:rPr>
      </w:pPr>
      <w:r>
        <w:rPr>
          <w:rFonts w:ascii="方正小标宋_GBK" w:eastAsia="方正小标宋_GBK"/>
          <w:color w:val="auto"/>
          <w:sz w:val="52"/>
        </w:rPr>
        <w:t xml:space="preserve"> </w:t>
      </w:r>
    </w:p>
    <w:p>
      <w:pPr>
        <w:rPr>
          <w:rFonts w:ascii="Times New Roman" w:hAnsi="宋体"/>
          <w:color w:val="auto"/>
          <w:sz w:val="52"/>
        </w:rPr>
      </w:pPr>
      <w:r>
        <w:rPr>
          <w:rFonts w:ascii="方正小标宋_GBK" w:eastAsia="方正小标宋_GBK"/>
          <w:color w:val="auto"/>
          <w:sz w:val="52"/>
        </w:rPr>
        <w:t xml:space="preserve"> </w:t>
      </w:r>
    </w:p>
    <w:p>
      <w:pPr>
        <w:rPr>
          <w:rFonts w:ascii="Times New Roman" w:hAnsi="宋体"/>
          <w:color w:val="auto"/>
          <w:sz w:val="52"/>
        </w:rPr>
      </w:pPr>
      <w:r>
        <w:rPr>
          <w:rFonts w:ascii="方正小标宋_GBK" w:eastAsia="方正小标宋_GBK"/>
          <w:color w:val="auto"/>
          <w:sz w:val="52"/>
        </w:rPr>
        <w:t xml:space="preserve"> </w:t>
      </w:r>
    </w:p>
    <w:p>
      <w:pPr>
        <w:jc w:val="center"/>
        <w:rPr>
          <w:rFonts w:hint="eastAsia" w:ascii="Times New Roman" w:hAnsi="宋体"/>
          <w:color w:val="auto"/>
          <w:sz w:val="44"/>
        </w:rPr>
      </w:pPr>
      <w:r>
        <w:rPr>
          <w:rFonts w:hint="eastAsia" w:ascii="方正小标宋_GBK" w:eastAsia="方正小标宋_GBK"/>
          <w:color w:val="auto"/>
          <w:sz w:val="44"/>
        </w:rPr>
        <w:t>第三部分</w:t>
      </w:r>
    </w:p>
    <w:p>
      <w:pPr>
        <w:jc w:val="center"/>
        <w:rPr>
          <w:rFonts w:ascii="Times New Roman" w:hAnsi="宋体"/>
          <w:color w:val="auto"/>
          <w:sz w:val="44"/>
        </w:rPr>
      </w:pPr>
      <w:r>
        <w:rPr>
          <w:rFonts w:ascii="方正小标宋_GBK" w:eastAsia="方正小标宋_GBK"/>
          <w:color w:val="auto"/>
          <w:sz w:val="44"/>
        </w:rPr>
        <w:t xml:space="preserve"> </w:t>
      </w:r>
    </w:p>
    <w:p>
      <w:pPr>
        <w:jc w:val="center"/>
        <w:outlineLvl w:val="0"/>
        <w:rPr>
          <w:rFonts w:hint="eastAsia" w:ascii="Times New Roman" w:hAnsi="宋体"/>
          <w:color w:val="auto"/>
          <w:sz w:val="44"/>
        </w:rPr>
      </w:pPr>
      <w:r>
        <w:rPr>
          <w:rFonts w:hint="eastAsia" w:ascii="方正小标宋_GBK" w:eastAsia="方正小标宋_GBK"/>
          <w:color w:val="auto"/>
          <w:sz w:val="44"/>
        </w:rPr>
        <w:t>预算项目绩效目标</w:t>
      </w:r>
    </w:p>
    <w:p>
      <w:pPr>
        <w:jc w:val="center"/>
        <w:rPr>
          <w:rFonts w:ascii="Times New Roman" w:hAnsi="宋体"/>
          <w:color w:val="auto"/>
        </w:rPr>
      </w:pPr>
      <w:r>
        <w:rPr>
          <w:rFonts w:ascii="方正书宋_GBK" w:eastAsia="方正书宋_GBK"/>
          <w:color w:val="auto"/>
        </w:rPr>
        <w:t xml:space="preserve"> </w:t>
      </w:r>
    </w:p>
    <w:p>
      <w:pPr>
        <w:jc w:val="center"/>
        <w:rPr>
          <w:color w:val="auto"/>
        </w:rPr>
        <w:sectPr>
          <w:pgSz w:w="11907" w:h="16839"/>
          <w:pgMar w:top="1984" w:right="1304" w:bottom="1134" w:left="1304" w:header="851" w:footer="992" w:gutter="0"/>
          <w:cols w:space="425" w:num="1"/>
          <w:docGrid w:type="lines" w:linePitch="312" w:charSpace="0"/>
        </w:sectPr>
      </w:pPr>
    </w:p>
    <w:p>
      <w:pPr>
        <w:jc w:val="center"/>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1、关于提前下达2020年省级财政城乡居民医保村级代办员补助资金的通知绩效目标表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10" w:name="_Toc33187177"/>
      <w:r>
        <w:rPr>
          <w:rFonts w:hint="eastAsia" w:ascii="方正仿宋_GBK" w:eastAsia="方正仿宋_GBK"/>
          <w:b/>
          <w:color w:val="auto"/>
          <w:sz w:val="28"/>
        </w:rPr>
        <w:instrText xml:space="preserve">1、关于提前下达2020年省级财政城乡居民医保村级代办员补助资金的通知绩效目标表</w:instrText>
      </w:r>
      <w:bookmarkEnd w:id="10"/>
      <w:r>
        <w:rPr>
          <w:rFonts w:hint="eastAsia" w:ascii="方正仿宋_GBK" w:eastAsia="方正仿宋_GBK"/>
          <w:b/>
          <w:color w:val="auto"/>
          <w:sz w:val="28"/>
        </w:rPr>
        <w:instrText xml:space="preserve"> \f C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r>
              <w:rPr>
                <w:rFonts w:ascii="方正书宋_GBK" w:eastAsia="方正书宋_GBK"/>
                <w:b/>
                <w:color w:val="auto"/>
              </w:rPr>
              <w:t>365002</w:t>
            </w:r>
            <w:r>
              <w:rPr>
                <w:rFonts w:hint="eastAsia" w:ascii="方正书宋_GBK" w:eastAsia="方正书宋_GBK"/>
                <w:b/>
                <w:color w:val="auto"/>
              </w:rPr>
              <w:t>石家庄市鹿泉区医疗保障局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365-0401-YBN-O306</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关于提前下达</w:t>
            </w:r>
            <w:r>
              <w:rPr>
                <w:rFonts w:ascii="方正书宋_GBK" w:eastAsia="方正书宋_GBK"/>
                <w:color w:val="auto"/>
              </w:rPr>
              <w:t>2020</w:t>
            </w:r>
            <w:r>
              <w:rPr>
                <w:rFonts w:hint="eastAsia" w:ascii="方正书宋_GBK" w:eastAsia="方正书宋_GBK"/>
                <w:color w:val="auto"/>
              </w:rPr>
              <w:t>年省级财政城乡居民医保村级代办员补助资金的通知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为更好地推进城乡居民医疗保险工作，各村委会安排城乡居民医保村级代办员负责在每年</w:t>
            </w:r>
            <w:r>
              <w:rPr>
                <w:rFonts w:ascii="方正书宋_GBK" w:eastAsia="方正书宋_GBK"/>
                <w:color w:val="auto"/>
              </w:rPr>
              <w:t>7-12</w:t>
            </w:r>
            <w:r>
              <w:rPr>
                <w:rFonts w:hint="eastAsia" w:ascii="方正书宋_GBK" w:eastAsia="方正书宋_GBK"/>
                <w:color w:val="auto"/>
              </w:rPr>
              <w:t>月份全区</w:t>
            </w:r>
            <w:r>
              <w:rPr>
                <w:rFonts w:ascii="方正书宋_GBK" w:eastAsia="方正书宋_GBK"/>
                <w:color w:val="auto"/>
              </w:rPr>
              <w:t>208</w:t>
            </w:r>
            <w:r>
              <w:rPr>
                <w:rFonts w:hint="eastAsia" w:ascii="方正书宋_GBK" w:eastAsia="方正书宋_GBK"/>
                <w:color w:val="auto"/>
              </w:rPr>
              <w:t>各村城乡居民医保参保缴费工作，包括资金收存和发票的开据。代办员要加大城乡居民医保政策宣传力度，在参保缴费前召开本村参保缴费动员会，制作城乡居民医疗保险宣传海报、宣传栏、发放城乡居民医疗保险政策宣传单。全区</w:t>
            </w:r>
            <w:r>
              <w:rPr>
                <w:rFonts w:ascii="方正书宋_GBK" w:eastAsia="方正书宋_GBK"/>
                <w:color w:val="auto"/>
              </w:rPr>
              <w:t>208</w:t>
            </w:r>
            <w:r>
              <w:rPr>
                <w:rFonts w:hint="eastAsia" w:ascii="方正书宋_GBK" w:eastAsia="方正书宋_GBK"/>
                <w:color w:val="auto"/>
              </w:rPr>
              <w:t>个村每村一名代办员，资金用于居民医保村级代办员补助，发放标准约</w:t>
            </w:r>
            <w:r>
              <w:rPr>
                <w:rFonts w:ascii="方正书宋_GBK" w:eastAsia="方正书宋_GBK"/>
                <w:color w:val="auto"/>
              </w:rPr>
              <w:t>400</w:t>
            </w:r>
            <w:r>
              <w:rPr>
                <w:rFonts w:hint="eastAsia" w:ascii="方正书宋_GBK" w:eastAsia="方正书宋_GBK"/>
                <w:color w:val="auto"/>
              </w:rPr>
              <w:t>元</w:t>
            </w:r>
            <w:r>
              <w:rPr>
                <w:rFonts w:ascii="方正书宋_GBK" w:eastAsia="方正书宋_GBK"/>
                <w:color w:val="auto"/>
              </w:rPr>
              <w:t>/</w:t>
            </w:r>
            <w:r>
              <w:rPr>
                <w:rFonts w:hint="eastAsia" w:ascii="方正书宋_GBK" w:eastAsia="方正书宋_GBK"/>
                <w:color w:val="auto"/>
              </w:rPr>
              <w:t>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、补助代办员</w:t>
            </w:r>
            <w:r>
              <w:rPr>
                <w:rFonts w:ascii="方正书宋_GBK" w:eastAsia="方正书宋_GBK"/>
                <w:color w:val="auto"/>
              </w:rPr>
              <w:t>208</w:t>
            </w:r>
            <w:r>
              <w:rPr>
                <w:rFonts w:hint="eastAsia" w:ascii="方正书宋_GBK" w:eastAsia="方正书宋_GBK"/>
                <w:color w:val="auto"/>
              </w:rPr>
              <w:t>名，到</w:t>
            </w:r>
            <w:r>
              <w:rPr>
                <w:rFonts w:ascii="方正书宋_GBK" w:eastAsia="方正书宋_GBK"/>
                <w:color w:val="auto"/>
              </w:rPr>
              <w:t>2020</w:t>
            </w:r>
            <w:r>
              <w:rPr>
                <w:rFonts w:hint="eastAsia" w:ascii="方正书宋_GBK" w:eastAsia="方正书宋_GBK"/>
                <w:color w:val="auto"/>
              </w:rPr>
              <w:t>年</w:t>
            </w:r>
            <w:r>
              <w:rPr>
                <w:rFonts w:ascii="方正书宋_GBK" w:eastAsia="方正书宋_GBK"/>
                <w:color w:val="auto"/>
              </w:rPr>
              <w:t>12</w:t>
            </w:r>
            <w:r>
              <w:rPr>
                <w:rFonts w:hint="eastAsia" w:ascii="方正书宋_GBK" w:eastAsia="方正书宋_GBK"/>
                <w:color w:val="auto"/>
              </w:rPr>
              <w:t>月</w:t>
            </w:r>
            <w:r>
              <w:rPr>
                <w:rFonts w:ascii="方正书宋_GBK" w:eastAsia="方正书宋_GBK"/>
                <w:color w:val="auto"/>
              </w:rPr>
              <w:t>25</w:t>
            </w:r>
            <w:r>
              <w:rPr>
                <w:rFonts w:hint="eastAsia" w:ascii="方正书宋_GBK" w:eastAsia="方正书宋_GBK"/>
                <w:color w:val="auto"/>
              </w:rPr>
              <w:t>日，完成全区</w:t>
            </w:r>
            <w:r>
              <w:rPr>
                <w:rFonts w:ascii="方正书宋_GBK" w:eastAsia="方正书宋_GBK"/>
                <w:color w:val="auto"/>
              </w:rPr>
              <w:t>208</w:t>
            </w:r>
            <w:r>
              <w:rPr>
                <w:rFonts w:hint="eastAsia" w:ascii="方正书宋_GBK" w:eastAsia="方正书宋_GBK"/>
                <w:color w:val="auto"/>
              </w:rPr>
              <w:t>各村约</w:t>
            </w:r>
            <w:r>
              <w:rPr>
                <w:rFonts w:ascii="方正书宋_GBK" w:eastAsia="方正书宋_GBK"/>
                <w:color w:val="auto"/>
              </w:rPr>
              <w:t>35</w:t>
            </w:r>
            <w:r>
              <w:rPr>
                <w:rFonts w:hint="eastAsia" w:ascii="方正书宋_GBK" w:eastAsia="方正书宋_GBK"/>
                <w:color w:val="auto"/>
              </w:rPr>
              <w:t>万人城乡居民医保缴费工作，实现居民医保全面覆盖，居民参保稳定在较高水平，进一步规范医疗保险支付政策，强化医疗服务管理，进一步完善城乡医疗救助制度，完善医疗保障体系。</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发放村级代办员补助资金人数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村级代办员补助实际领取人数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208</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158</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年度发放标准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村级代办员发放标准</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400</w:t>
            </w:r>
            <w:r>
              <w:rPr>
                <w:rFonts w:hint="eastAsia" w:ascii="方正书宋_GBK" w:eastAsia="方正书宋_GBK"/>
                <w:color w:val="auto"/>
              </w:rPr>
              <w:t>元</w:t>
            </w:r>
            <w:r>
              <w:rPr>
                <w:rFonts w:ascii="方正书宋_GBK" w:eastAsia="方正书宋_GBK"/>
                <w:color w:val="auto"/>
              </w:rPr>
              <w:t>/</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158</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按时发放率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完成居民医保征缴工作后按时发放人数占应发放总人数的比例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158</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完成居民医保缴费比例</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实际完成缴费人数占全部城乡居民人数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158</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参保人员满意度的</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满意和较满意人数占被调查参加城乡居民医疗人数的比例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158</w:t>
            </w:r>
            <w:r>
              <w:rPr>
                <w:rFonts w:hint="eastAsia" w:ascii="方正书宋_GBK" w:eastAsia="方正书宋_GBK"/>
                <w:color w:val="auto"/>
              </w:rPr>
              <w:t>号文</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2、关于提前下达2020年市级医疗救助补助资金的通知绩效目标表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11" w:name="_Toc33187178"/>
      <w:r>
        <w:rPr>
          <w:rFonts w:hint="eastAsia" w:ascii="方正仿宋_GBK" w:eastAsia="方正仿宋_GBK"/>
          <w:b/>
          <w:color w:val="auto"/>
          <w:sz w:val="28"/>
        </w:rPr>
        <w:instrText xml:space="preserve">2、关于提前下达2020年市级医疗救助补助资金的通知绩效目标表</w:instrText>
      </w:r>
      <w:bookmarkEnd w:id="11"/>
      <w:r>
        <w:rPr>
          <w:rFonts w:hint="eastAsia" w:ascii="方正仿宋_GBK" w:eastAsia="方正仿宋_GBK"/>
          <w:b/>
          <w:color w:val="auto"/>
          <w:sz w:val="28"/>
        </w:rPr>
        <w:instrText xml:space="preserve"> \f C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r>
              <w:rPr>
                <w:rFonts w:ascii="方正书宋_GBK" w:eastAsia="方正书宋_GBK"/>
                <w:b/>
                <w:color w:val="auto"/>
              </w:rPr>
              <w:t>365002</w:t>
            </w:r>
            <w:r>
              <w:rPr>
                <w:rFonts w:hint="eastAsia" w:ascii="方正书宋_GBK" w:eastAsia="方正书宋_GBK"/>
                <w:b/>
                <w:color w:val="auto"/>
              </w:rPr>
              <w:t>石家庄市鹿泉区医疗保障局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365-0104-JBN-1ZBR</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关于提前下达</w:t>
            </w:r>
            <w:r>
              <w:rPr>
                <w:rFonts w:ascii="方正书宋_GBK" w:eastAsia="方正书宋_GBK"/>
                <w:color w:val="auto"/>
              </w:rPr>
              <w:t>2020</w:t>
            </w:r>
            <w:r>
              <w:rPr>
                <w:rFonts w:hint="eastAsia" w:ascii="方正书宋_GBK" w:eastAsia="方正书宋_GBK"/>
                <w:color w:val="auto"/>
              </w:rPr>
              <w:t>年市级医疗救助补助资金的通知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126.00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126.00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为更好的做好医疗救助的工作，根据《石家庄市鹿泉区人民政府办公室转发区民政局等部门关于进一步完善医疗救助制度全面开展重特大疾病医疗救助工作实施意见的通知》（鹿政办函【</w:t>
            </w:r>
            <w:r>
              <w:rPr>
                <w:rFonts w:ascii="方正书宋_GBK" w:eastAsia="方正书宋_GBK"/>
                <w:color w:val="auto"/>
              </w:rPr>
              <w:t>2016</w:t>
            </w:r>
            <w:r>
              <w:rPr>
                <w:rFonts w:hint="eastAsia" w:ascii="方正书宋_GBK" w:eastAsia="方正书宋_GBK"/>
                <w:color w:val="auto"/>
              </w:rPr>
              <w:t>】</w:t>
            </w:r>
            <w:r>
              <w:rPr>
                <w:rFonts w:ascii="方正书宋_GBK" w:eastAsia="方正书宋_GBK"/>
                <w:color w:val="auto"/>
              </w:rPr>
              <w:t>51</w:t>
            </w:r>
            <w:r>
              <w:rPr>
                <w:rFonts w:hint="eastAsia" w:ascii="方正书宋_GBK" w:eastAsia="方正书宋_GBK"/>
                <w:color w:val="auto"/>
              </w:rPr>
              <w:t>号文）精神，救助对象为特困供养人员、城乡最低生活保障家庭成员、低收入家庭的老年人、未成年人、重度残疾人和重病患者、因病致贫家庭重病患者。根据鹿财预【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135</w:t>
            </w:r>
            <w:r>
              <w:rPr>
                <w:rFonts w:hint="eastAsia" w:ascii="方正书宋_GBK" w:eastAsia="方正书宋_GBK"/>
                <w:color w:val="auto"/>
              </w:rPr>
              <w:t>号文，</w:t>
            </w:r>
            <w:r>
              <w:rPr>
                <w:rFonts w:ascii="方正书宋_GBK" w:eastAsia="方正书宋_GBK"/>
                <w:color w:val="auto"/>
              </w:rPr>
              <w:t>2020</w:t>
            </w:r>
            <w:r>
              <w:rPr>
                <w:rFonts w:hint="eastAsia" w:ascii="方正书宋_GBK" w:eastAsia="方正书宋_GBK"/>
                <w:color w:val="auto"/>
              </w:rPr>
              <w:t>年市级医疗补助资金为</w:t>
            </w:r>
            <w:r>
              <w:rPr>
                <w:rFonts w:ascii="方正书宋_GBK" w:eastAsia="方正书宋_GBK"/>
                <w:color w:val="auto"/>
              </w:rPr>
              <w:t>126</w:t>
            </w:r>
            <w:r>
              <w:rPr>
                <w:rFonts w:hint="eastAsia" w:ascii="方正书宋_GBK" w:eastAsia="方正书宋_GBK"/>
                <w:color w:val="auto"/>
              </w:rPr>
              <w:t>万元。低保人员报销</w:t>
            </w:r>
            <w:r>
              <w:rPr>
                <w:rFonts w:ascii="方正书宋_GBK" w:eastAsia="方正书宋_GBK"/>
                <w:color w:val="auto"/>
              </w:rPr>
              <w:t>70%</w:t>
            </w:r>
            <w:r>
              <w:rPr>
                <w:rFonts w:hint="eastAsia" w:ascii="方正书宋_GBK" w:eastAsia="方正书宋_GBK"/>
                <w:color w:val="auto"/>
              </w:rPr>
              <w:t>，五保人员报销</w:t>
            </w:r>
            <w:r>
              <w:rPr>
                <w:rFonts w:ascii="方正书宋_GBK" w:eastAsia="方正书宋_GBK"/>
                <w:color w:val="auto"/>
              </w:rPr>
              <w:t>90%</w:t>
            </w:r>
            <w:r>
              <w:rPr>
                <w:rFonts w:hint="eastAsia" w:ascii="方正书宋_GBK" w:eastAsia="方正书宋_GBK"/>
                <w:color w:val="auto"/>
              </w:rPr>
              <w:t>，因病致贫人员报销</w:t>
            </w:r>
            <w:r>
              <w:rPr>
                <w:rFonts w:ascii="方正书宋_GBK" w:eastAsia="方正书宋_GBK"/>
                <w:color w:val="auto"/>
              </w:rPr>
              <w:t>30%</w:t>
            </w:r>
            <w:r>
              <w:rPr>
                <w:rFonts w:hint="eastAsia" w:ascii="方正书宋_GBK" w:eastAsia="方正书宋_GBK"/>
                <w:color w:val="auto"/>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、救助对象为特困供养人员、城乡最低生活保障家庭成员、低收入家庭的老年人、未成年人、重度残疾人和重病患者、因病致贫家庭重病患者，防止救助对象因病致贫、因病返贫。</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医疗救助待遇发放人数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低保医疗救助发放标准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医疗救助重点救助对象自负费用年度限额内住院救助比例</w:t>
            </w:r>
            <w:r>
              <w:rPr>
                <w:rFonts w:ascii="方正书宋_GBK" w:eastAsia="方正书宋_GBK"/>
                <w:color w:val="auto"/>
              </w:rPr>
              <w:t>70%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五保户人员医疗救助标准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医疗救助重点救助对象自负费用年度限额内住院救助比例</w:t>
            </w: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因病致贫医疗救助标准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医疗救助重点救助对象自负费用年度限额内住院救助比例</w:t>
            </w:r>
            <w:r>
              <w:rPr>
                <w:rFonts w:ascii="方正书宋_GBK" w:eastAsia="方正书宋_GBK"/>
                <w:color w:val="auto"/>
              </w:rPr>
              <w:t>30%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本年度医疗救助完成率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被救助对象占应救助对象的比例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救助金发放时间</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每季度发放一次，当季申请对象的补助金发放时间</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被救助对象人数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救助对象为特困供养人员、城乡最低生活保障家庭成员、低收入家庭的老年人、未成年人、重度残疾人和重病患者、因病致贫家庭重病患者住院后自付部分报销医药费待遇的人数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受益对象满意度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受益对象满意度</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石财发【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3、关于提前下达2020年中央财政医疗救助补助资金预算（第一批）的通知绩效目标表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12" w:name="_Toc33187179"/>
      <w:r>
        <w:rPr>
          <w:rFonts w:hint="eastAsia" w:ascii="方正仿宋_GBK" w:eastAsia="方正仿宋_GBK"/>
          <w:b/>
          <w:color w:val="auto"/>
          <w:sz w:val="28"/>
        </w:rPr>
        <w:instrText xml:space="preserve">3、关于提前下达2020年中央财政医疗救助补助资金预算（第一批）的通知绩效目标表</w:instrText>
      </w:r>
      <w:bookmarkEnd w:id="12"/>
      <w:r>
        <w:rPr>
          <w:rFonts w:hint="eastAsia" w:ascii="方正仿宋_GBK" w:eastAsia="方正仿宋_GBK"/>
          <w:b/>
          <w:color w:val="auto"/>
          <w:sz w:val="28"/>
        </w:rPr>
        <w:instrText xml:space="preserve"> \f C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r>
              <w:rPr>
                <w:rFonts w:ascii="方正书宋_GBK" w:eastAsia="方正书宋_GBK"/>
                <w:b/>
                <w:color w:val="auto"/>
              </w:rPr>
              <w:t>365002</w:t>
            </w:r>
            <w:r>
              <w:rPr>
                <w:rFonts w:hint="eastAsia" w:ascii="方正书宋_GBK" w:eastAsia="方正书宋_GBK"/>
                <w:b/>
                <w:color w:val="auto"/>
              </w:rPr>
              <w:t>石家庄市鹿泉区医疗保障局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365-0104-JBN-IS0C</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关于提前下达</w:t>
            </w:r>
            <w:r>
              <w:rPr>
                <w:rFonts w:ascii="方正书宋_GBK" w:eastAsia="方正书宋_GBK"/>
                <w:color w:val="auto"/>
              </w:rPr>
              <w:t>2020</w:t>
            </w:r>
            <w:r>
              <w:rPr>
                <w:rFonts w:hint="eastAsia" w:ascii="方正书宋_GBK" w:eastAsia="方正书宋_GBK"/>
                <w:color w:val="auto"/>
              </w:rPr>
              <w:t>年中央财政医疗救助补助资金预算（第一批）的通知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80.00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为更好的做好医疗救助的工作，根据《石家庄市鹿泉区人民政府办公室转发区民政局等部门关于进一步完善医疗救助制度全面开展重特大疾病医疗救助工作实施意见的通知》（鹿政办函【</w:t>
            </w:r>
            <w:r>
              <w:rPr>
                <w:rFonts w:ascii="方正书宋_GBK" w:eastAsia="方正书宋_GBK"/>
                <w:color w:val="auto"/>
              </w:rPr>
              <w:t>2016</w:t>
            </w:r>
            <w:r>
              <w:rPr>
                <w:rFonts w:hint="eastAsia" w:ascii="方正书宋_GBK" w:eastAsia="方正书宋_GBK"/>
                <w:color w:val="auto"/>
              </w:rPr>
              <w:t>】</w:t>
            </w:r>
            <w:r>
              <w:rPr>
                <w:rFonts w:ascii="方正书宋_GBK" w:eastAsia="方正书宋_GBK"/>
                <w:color w:val="auto"/>
              </w:rPr>
              <w:t>51</w:t>
            </w:r>
            <w:r>
              <w:rPr>
                <w:rFonts w:hint="eastAsia" w:ascii="方正书宋_GBK" w:eastAsia="方正书宋_GBK"/>
                <w:color w:val="auto"/>
              </w:rPr>
              <w:t>号文）精神，救助对象为特困供养人员、城乡最低生活保障家庭成员、低收入家庭的老年人、未成年人、重度残疾人和重病患者、因病致贫家庭重病患者。根据鹿财预【</w:t>
            </w:r>
            <w:r>
              <w:rPr>
                <w:rFonts w:ascii="方正书宋_GBK" w:eastAsia="方正书宋_GBK"/>
                <w:color w:val="auto"/>
              </w:rPr>
              <w:t>2019</w:t>
            </w:r>
            <w:r>
              <w:rPr>
                <w:rFonts w:hint="eastAsia" w:ascii="方正书宋_GBK" w:eastAsia="方正书宋_GBK"/>
                <w:color w:val="auto"/>
              </w:rPr>
              <w:t>】</w:t>
            </w:r>
            <w:r>
              <w:rPr>
                <w:rFonts w:ascii="方正书宋_GBK" w:eastAsia="方正书宋_GBK"/>
                <w:color w:val="auto"/>
              </w:rPr>
              <w:t>157</w:t>
            </w:r>
            <w:r>
              <w:rPr>
                <w:rFonts w:hint="eastAsia" w:ascii="方正书宋_GBK" w:eastAsia="方正书宋_GBK"/>
                <w:color w:val="auto"/>
              </w:rPr>
              <w:t>号文，</w:t>
            </w:r>
            <w:r>
              <w:rPr>
                <w:rFonts w:ascii="方正书宋_GBK" w:eastAsia="方正书宋_GBK"/>
                <w:color w:val="auto"/>
              </w:rPr>
              <w:t>2020</w:t>
            </w:r>
            <w:r>
              <w:rPr>
                <w:rFonts w:hint="eastAsia" w:ascii="方正书宋_GBK" w:eastAsia="方正书宋_GBK"/>
                <w:color w:val="auto"/>
              </w:rPr>
              <w:t>年中央财政医疗救助补助资金预算</w:t>
            </w:r>
            <w:r>
              <w:rPr>
                <w:rFonts w:ascii="方正书宋_GBK" w:eastAsia="方正书宋_GBK"/>
                <w:color w:val="auto"/>
              </w:rPr>
              <w:t>80</w:t>
            </w:r>
            <w:r>
              <w:rPr>
                <w:rFonts w:hint="eastAsia" w:ascii="方正书宋_GBK" w:eastAsia="方正书宋_GBK"/>
                <w:color w:val="auto"/>
              </w:rPr>
              <w:t>万元。低保人员报销</w:t>
            </w:r>
            <w:r>
              <w:rPr>
                <w:rFonts w:ascii="方正书宋_GBK" w:eastAsia="方正书宋_GBK"/>
                <w:color w:val="auto"/>
              </w:rPr>
              <w:t>70%</w:t>
            </w:r>
            <w:r>
              <w:rPr>
                <w:rFonts w:hint="eastAsia" w:ascii="方正书宋_GBK" w:eastAsia="方正书宋_GBK"/>
                <w:color w:val="auto"/>
              </w:rPr>
              <w:t>，五保人员报销</w:t>
            </w:r>
            <w:r>
              <w:rPr>
                <w:rFonts w:ascii="方正书宋_GBK" w:eastAsia="方正书宋_GBK"/>
                <w:color w:val="auto"/>
              </w:rPr>
              <w:t>90%</w:t>
            </w:r>
            <w:r>
              <w:rPr>
                <w:rFonts w:hint="eastAsia" w:ascii="方正书宋_GBK" w:eastAsia="方正书宋_GBK"/>
                <w:color w:val="auto"/>
              </w:rPr>
              <w:t>，因病致贫人员报销</w:t>
            </w:r>
            <w:r>
              <w:rPr>
                <w:rFonts w:ascii="方正书宋_GBK" w:eastAsia="方正书宋_GBK"/>
                <w:color w:val="auto"/>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、救助对象为特困供养人员、城乡最低生活保障家庭成员、低收入家庭的老年人、未成年人、重度残疾人和重病患者、因病致贫家庭重病患者，防止救助对象因病致贫、因病返贫机率。</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医疗救助待遇发放人数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救助对象为特困供养人员、城乡最低生活保障家庭成员、低收入家庭的老年人、未成年人、重度残疾人和重病患者、因病致贫家庭重病患者人数</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1000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低保医疗救助发放标准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ascii="方正书宋_GBK" w:eastAsia="方正书宋_GBK"/>
                <w:color w:val="auto"/>
              </w:rPr>
              <w:t>70%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五保户人员医疗救助标准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90%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成本指标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因病致贫医疗救助标准</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医疗救助重点救助对象自负费用年度限额内住院救助比例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质量指标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本年度医疗救助完成率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被救助对象占应救助对象的比例</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100%</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color w:val="auto"/>
              </w:rPr>
            </w:pP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时效指标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资金发放时间</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每季度发放一次，当季申请对象的补助金发放时间</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季度末</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经济效益指标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被救助对象人数</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救助对象为特困供养人员、城乡最低生活保障家庭成员、低收入家庭的老年人、未成年人、重度残疾人和重病患者、因病致贫家庭重病患者人数</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1000</w:t>
            </w:r>
            <w:r>
              <w:rPr>
                <w:rFonts w:hint="eastAsia" w:ascii="方正书宋_GBK" w:eastAsia="方正书宋_GBK"/>
                <w:color w:val="auto"/>
              </w:rPr>
              <w:t>人</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受益群众满意度</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石政发【</w:t>
            </w:r>
            <w:r>
              <w:rPr>
                <w:rFonts w:ascii="方正书宋_GBK" w:eastAsia="方正书宋_GBK"/>
                <w:color w:val="auto"/>
              </w:rPr>
              <w:t>2007</w:t>
            </w:r>
            <w:r>
              <w:rPr>
                <w:rFonts w:hint="eastAsia" w:ascii="方正书宋_GBK" w:eastAsia="方正书宋_GBK"/>
                <w:color w:val="auto"/>
              </w:rPr>
              <w:t>】</w:t>
            </w:r>
            <w:r>
              <w:rPr>
                <w:rFonts w:ascii="方正书宋_GBK" w:eastAsia="方正书宋_GBK"/>
                <w:color w:val="auto"/>
              </w:rPr>
              <w:t>7</w:t>
            </w:r>
            <w:r>
              <w:rPr>
                <w:rFonts w:hint="eastAsia" w:ascii="方正书宋_GBK" w:eastAsia="方正书宋_GBK"/>
                <w:color w:val="auto"/>
              </w:rPr>
              <w:t>号文</w:t>
            </w:r>
          </w:p>
        </w:tc>
      </w:tr>
    </w:tbl>
    <w:p>
      <w:pPr>
        <w:spacing w:line="300" w:lineRule="exact"/>
        <w:ind w:firstLine="420" w:firstLineChars="200"/>
        <w:jc w:val="left"/>
        <w:rPr>
          <w:color w:val="auto"/>
        </w:rPr>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color w:val="auto"/>
        </w:rPr>
      </w:pPr>
    </w:p>
    <w:p>
      <w:pPr>
        <w:ind w:firstLine="562" w:firstLineChars="200"/>
        <w:jc w:val="left"/>
        <w:outlineLvl w:val="1"/>
        <w:rPr>
          <w:rFonts w:ascii="Times New Roman" w:hAnsi="宋体"/>
          <w:b/>
          <w:color w:val="auto"/>
          <w:sz w:val="28"/>
        </w:rPr>
      </w:pPr>
      <w:r>
        <w:rPr>
          <w:rFonts w:hint="eastAsia" w:ascii="方正仿宋_GBK" w:eastAsia="方正仿宋_GBK"/>
          <w:b/>
          <w:color w:val="auto"/>
          <w:sz w:val="28"/>
        </w:rPr>
        <w:t>4、关于下达2020年中央财政医疗服务和保障能力提升补助资金的通知绩效目标表</w:t>
      </w: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13" w:name="_Toc33187180"/>
      <w:r>
        <w:rPr>
          <w:rFonts w:hint="eastAsia" w:ascii="方正仿宋_GBK" w:eastAsia="方正仿宋_GBK"/>
          <w:b/>
          <w:color w:val="auto"/>
          <w:sz w:val="28"/>
        </w:rPr>
        <w:instrText xml:space="preserve">4、关于下达2020年中央财政医疗服务和保障能力提升补助资金的通知绩效目标表</w:instrText>
      </w:r>
      <w:bookmarkEnd w:id="13"/>
      <w:r>
        <w:rPr>
          <w:rFonts w:hint="eastAsia" w:ascii="方正仿宋_GBK" w:eastAsia="方正仿宋_GBK"/>
          <w:b/>
          <w:color w:val="auto"/>
          <w:sz w:val="28"/>
        </w:rPr>
        <w:instrText xml:space="preserve"> \f C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color w:val="auto"/>
              </w:rPr>
            </w:pPr>
            <w:r>
              <w:rPr>
                <w:rFonts w:ascii="方正书宋_GBK" w:eastAsia="方正书宋_GBK"/>
                <w:b/>
                <w:color w:val="auto"/>
              </w:rPr>
              <w:t>365002</w:t>
            </w:r>
            <w:r>
              <w:rPr>
                <w:rFonts w:hint="eastAsia" w:ascii="方正书宋_GBK" w:eastAsia="方正书宋_GBK"/>
                <w:b/>
                <w:color w:val="auto"/>
              </w:rPr>
              <w:t>石家庄市鹿泉区医疗保障局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color w:val="auto"/>
              </w:rPr>
            </w:pPr>
            <w:r>
              <w:rPr>
                <w:rFonts w:hint="eastAsia" w:ascii="方正书宋_GBK" w:eastAsia="方正书宋_GBK"/>
                <w:color w:val="auto"/>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项目编码</w:t>
            </w:r>
          </w:p>
        </w:tc>
        <w:tc>
          <w:tcPr>
            <w:tcW w:w="2410" w:type="dxa"/>
            <w:gridSpan w:val="2"/>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365-0201-YBN-7WNA</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项目名称</w:t>
            </w:r>
          </w:p>
        </w:tc>
        <w:tc>
          <w:tcPr>
            <w:tcW w:w="4281" w:type="dxa"/>
            <w:gridSpan w:val="3"/>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关于下达</w:t>
            </w:r>
            <w:r>
              <w:rPr>
                <w:rFonts w:ascii="方正书宋_GBK" w:eastAsia="方正书宋_GBK"/>
                <w:color w:val="auto"/>
              </w:rPr>
              <w:t>2020</w:t>
            </w:r>
            <w:r>
              <w:rPr>
                <w:rFonts w:hint="eastAsia" w:ascii="方正书宋_GBK" w:eastAsia="方正书宋_GBK"/>
                <w:color w:val="auto"/>
              </w:rPr>
              <w:t>年中央财政医疗服务和保障能力提升补助资金的通知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预算规模及资金用途</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预算数</w:t>
            </w:r>
          </w:p>
        </w:tc>
        <w:tc>
          <w:tcPr>
            <w:tcW w:w="1276"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2.00</w:t>
            </w:r>
          </w:p>
        </w:tc>
        <w:tc>
          <w:tcPr>
            <w:tcW w:w="1587"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其中：财政资金</w:t>
            </w:r>
          </w:p>
        </w:tc>
        <w:tc>
          <w:tcPr>
            <w:tcW w:w="1304" w:type="dxa"/>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2.00</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其他资金</w:t>
            </w:r>
          </w:p>
        </w:tc>
        <w:tc>
          <w:tcPr>
            <w:tcW w:w="1701" w:type="dxa"/>
            <w:shd w:val="clear" w:color="auto" w:fill="auto"/>
            <w:vAlign w:val="center"/>
          </w:tcPr>
          <w:p>
            <w:pPr>
              <w:spacing w:line="300" w:lineRule="exact"/>
              <w:jc w:val="lef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rPr>
                <w:color w:val="auto"/>
              </w:rPr>
            </w:pPr>
          </w:p>
        </w:tc>
        <w:tc>
          <w:tcPr>
            <w:tcW w:w="8278" w:type="dxa"/>
            <w:gridSpan w:val="6"/>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按照石财社【</w:t>
            </w:r>
            <w:r>
              <w:rPr>
                <w:rFonts w:ascii="方正书宋_GBK" w:eastAsia="方正书宋_GBK"/>
                <w:color w:val="auto"/>
              </w:rPr>
              <w:t>2020</w:t>
            </w:r>
            <w:r>
              <w:rPr>
                <w:rFonts w:hint="eastAsia" w:ascii="方正书宋_GBK" w:eastAsia="方正书宋_GBK"/>
                <w:color w:val="auto"/>
              </w:rPr>
              <w:t>】</w:t>
            </w:r>
            <w:r>
              <w:rPr>
                <w:rFonts w:ascii="方正书宋_GBK" w:eastAsia="方正书宋_GBK"/>
                <w:color w:val="auto"/>
              </w:rPr>
              <w:t>2</w:t>
            </w:r>
            <w:r>
              <w:rPr>
                <w:rFonts w:hint="eastAsia" w:ascii="方正书宋_GBK" w:eastAsia="方正书宋_GBK"/>
                <w:color w:val="auto"/>
              </w:rPr>
              <w:t>号文件规定，用于提高医疗服务与保障能力，专款专用，加强我单位对定点医疗机构的监督检查。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资金支出计划（</w:t>
            </w:r>
            <w:r>
              <w:rPr>
                <w:rFonts w:ascii="方正书宋_GBK" w:eastAsia="方正书宋_GBK"/>
                <w:b/>
                <w:color w:val="auto"/>
              </w:rPr>
              <w:t>%</w:t>
            </w:r>
            <w:r>
              <w:rPr>
                <w:rFonts w:hint="eastAsia" w:ascii="方正书宋_GBK" w:eastAsia="方正书宋_GBK"/>
                <w:b/>
                <w:color w:val="auto"/>
              </w:rPr>
              <w:t>）</w:t>
            </w:r>
          </w:p>
        </w:tc>
        <w:tc>
          <w:tcPr>
            <w:tcW w:w="2410"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3</w:t>
            </w:r>
            <w:r>
              <w:rPr>
                <w:rFonts w:hint="eastAsia" w:ascii="方正书宋_GBK" w:eastAsia="方正书宋_GBK"/>
                <w:b/>
                <w:color w:val="auto"/>
              </w:rPr>
              <w:t>月底</w:t>
            </w:r>
          </w:p>
        </w:tc>
        <w:tc>
          <w:tcPr>
            <w:tcW w:w="1587"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6</w:t>
            </w:r>
            <w:r>
              <w:rPr>
                <w:rFonts w:hint="eastAsia" w:ascii="方正书宋_GBK" w:eastAsia="方正书宋_GBK"/>
                <w:b/>
                <w:color w:val="auto"/>
              </w:rPr>
              <w:t>月底</w:t>
            </w:r>
          </w:p>
        </w:tc>
        <w:tc>
          <w:tcPr>
            <w:tcW w:w="1304" w:type="dxa"/>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10</w:t>
            </w:r>
            <w:r>
              <w:rPr>
                <w:rFonts w:hint="eastAsia" w:ascii="方正书宋_GBK" w:eastAsia="方正书宋_GBK"/>
                <w:b/>
                <w:color w:val="auto"/>
              </w:rPr>
              <w:t>月底</w:t>
            </w:r>
          </w:p>
        </w:tc>
        <w:tc>
          <w:tcPr>
            <w:tcW w:w="2977" w:type="dxa"/>
            <w:gridSpan w:val="2"/>
            <w:shd w:val="clear" w:color="auto" w:fill="auto"/>
            <w:vAlign w:val="center"/>
          </w:tcPr>
          <w:p>
            <w:pPr>
              <w:spacing w:line="300" w:lineRule="exact"/>
              <w:jc w:val="center"/>
              <w:rPr>
                <w:rFonts w:ascii="方正书宋_GBK" w:eastAsia="方正书宋_GBK"/>
                <w:b/>
                <w:color w:val="auto"/>
              </w:rPr>
            </w:pPr>
            <w:r>
              <w:rPr>
                <w:rFonts w:ascii="方正书宋_GBK" w:eastAsia="方正书宋_GBK"/>
                <w:b/>
                <w:color w:val="auto"/>
              </w:rPr>
              <w:t>12</w:t>
            </w:r>
            <w:r>
              <w:rPr>
                <w:rFonts w:hint="eastAsia" w:ascii="方正书宋_GBK" w:eastAsia="方正书宋_GBK"/>
                <w:b/>
                <w:color w:val="auto"/>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rPr>
                <w:color w:val="auto"/>
              </w:rPr>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color w:val="auto"/>
              </w:rPr>
            </w:pPr>
            <w:r>
              <w:rPr>
                <w:rFonts w:ascii="方正书宋_GBK" w:eastAsia="方正书宋_GBK"/>
                <w:color w:val="auto"/>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color w:val="auto"/>
              </w:rPr>
            </w:pPr>
            <w:r>
              <w:rPr>
                <w:rFonts w:ascii="方正书宋_GBK" w:eastAsia="方正书宋_GBK"/>
                <w:color w:val="auto"/>
              </w:rPr>
              <w:t>1</w:t>
            </w:r>
            <w:r>
              <w:rPr>
                <w:rFonts w:hint="eastAsia" w:ascii="方正书宋_GBK" w:eastAsia="方正书宋_GBK"/>
                <w:color w:val="auto"/>
              </w:rPr>
              <w:t>、通过加强对医疗机构的监督检，确保药价、医保基金的平稳运行。</w:t>
            </w:r>
          </w:p>
        </w:tc>
      </w:tr>
    </w:tbl>
    <w:p>
      <w:pPr>
        <w:spacing w:line="14" w:lineRule="exact"/>
        <w:ind w:firstLine="420" w:firstLineChars="200"/>
        <w:jc w:val="center"/>
        <w:rPr>
          <w:rFonts w:ascii="Times New Roman" w:hAnsi="宋体"/>
          <w:color w:val="auto"/>
        </w:rPr>
      </w:pPr>
      <w:r>
        <w:rPr>
          <w:rFonts w:ascii="方正书宋_GBK" w:eastAsia="方正书宋_GBK"/>
          <w:color w:val="auto"/>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一级指标</w:t>
            </w:r>
          </w:p>
        </w:tc>
        <w:tc>
          <w:tcPr>
            <w:tcW w:w="1134"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二级指标</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三级指标</w:t>
            </w:r>
          </w:p>
        </w:tc>
        <w:tc>
          <w:tcPr>
            <w:tcW w:w="289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绩效指标描述</w:t>
            </w:r>
          </w:p>
        </w:tc>
        <w:tc>
          <w:tcPr>
            <w:tcW w:w="1276"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w:t>
            </w:r>
          </w:p>
        </w:tc>
        <w:tc>
          <w:tcPr>
            <w:tcW w:w="1701" w:type="dxa"/>
            <w:shd w:val="clear" w:color="auto" w:fill="auto"/>
            <w:vAlign w:val="center"/>
          </w:tcPr>
          <w:p>
            <w:pPr>
              <w:spacing w:line="300" w:lineRule="exact"/>
              <w:jc w:val="center"/>
              <w:rPr>
                <w:rFonts w:ascii="方正书宋_GBK" w:eastAsia="方正书宋_GBK"/>
                <w:b/>
                <w:color w:val="auto"/>
              </w:rPr>
            </w:pPr>
            <w:r>
              <w:rPr>
                <w:rFonts w:hint="eastAsia" w:ascii="方正书宋_GBK" w:eastAsia="方正书宋_GBK"/>
                <w:b/>
                <w:color w:val="auto"/>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color w:val="auto"/>
              </w:rPr>
            </w:pPr>
            <w:r>
              <w:rPr>
                <w:rFonts w:hint="eastAsia" w:ascii="方正书宋_GBK" w:eastAsia="方正书宋_GBK"/>
                <w:color w:val="auto"/>
              </w:rPr>
              <w:t>产出指标</w:t>
            </w:r>
          </w:p>
        </w:tc>
        <w:tc>
          <w:tcPr>
            <w:tcW w:w="1134"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数量指标</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排查违规整治的定点医疗机构数量</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有无虚假骗保、违规收费、串换医疗保障项目等问题</w:t>
            </w:r>
          </w:p>
        </w:tc>
        <w:tc>
          <w:tcPr>
            <w:tcW w:w="1276"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w:t>
            </w:r>
            <w:r>
              <w:rPr>
                <w:rFonts w:ascii="方正书宋_GBK" w:eastAsia="方正书宋_GBK"/>
                <w:color w:val="auto"/>
              </w:rPr>
              <w:t>40</w:t>
            </w:r>
            <w:r>
              <w:rPr>
                <w:rFonts w:hint="eastAsia" w:ascii="方正书宋_GBK" w:eastAsia="方正书宋_GBK"/>
                <w:color w:val="auto"/>
              </w:rPr>
              <w:t>个</w:t>
            </w:r>
          </w:p>
        </w:tc>
        <w:tc>
          <w:tcPr>
            <w:tcW w:w="170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检查情况说明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效果指标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社会效益指标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通过检查医疗机构整改率</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通过检查，定点医疗机构整改完成的比例</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检查情况说明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color w:val="auto"/>
              </w:rPr>
            </w:pPr>
            <w:r>
              <w:rPr>
                <w:rFonts w:hint="eastAsia" w:ascii="方正书宋_GBK" w:eastAsia="方正书宋_GBK"/>
                <w:color w:val="auto"/>
              </w:rPr>
              <w:t>满意度指标</w:t>
            </w:r>
          </w:p>
        </w:tc>
        <w:tc>
          <w:tcPr>
            <w:tcW w:w="1134"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服务对象满意度指标</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受益群众满意度</w:t>
            </w:r>
          </w:p>
        </w:tc>
        <w:tc>
          <w:tcPr>
            <w:tcW w:w="2891" w:type="dxa"/>
            <w:shd w:val="clear" w:color="auto" w:fill="auto"/>
            <w:vAlign w:val="center"/>
          </w:tcPr>
          <w:p>
            <w:pPr>
              <w:spacing w:line="300" w:lineRule="exact"/>
              <w:jc w:val="left"/>
              <w:rPr>
                <w:rFonts w:ascii="方正书宋_GBK" w:eastAsia="方正书宋_GBK"/>
                <w:color w:val="auto"/>
              </w:rPr>
            </w:pPr>
            <w:r>
              <w:rPr>
                <w:rFonts w:hint="eastAsia" w:ascii="方正书宋_GBK" w:eastAsia="方正书宋_GBK"/>
                <w:color w:val="auto"/>
              </w:rPr>
              <w:t>通过检查，排除过度检查、用药等情况，便于群众更好就医。</w:t>
            </w:r>
          </w:p>
        </w:tc>
        <w:tc>
          <w:tcPr>
            <w:tcW w:w="1276" w:type="dxa"/>
            <w:shd w:val="clear" w:color="auto" w:fill="auto"/>
            <w:vAlign w:val="center"/>
          </w:tcPr>
          <w:p>
            <w:pPr>
              <w:spacing w:line="300" w:lineRule="exact"/>
              <w:jc w:val="left"/>
              <w:rPr>
                <w:rFonts w:hint="eastAsia" w:ascii="方正书宋_GBK" w:eastAsia="方正书宋_GBK"/>
                <w:color w:val="auto"/>
              </w:rPr>
            </w:pPr>
            <w:r>
              <w:rPr>
                <w:rFonts w:hint="eastAsia" w:ascii="方正书宋_GBK" w:eastAsia="方正书宋_GBK"/>
                <w:color w:val="auto"/>
              </w:rPr>
              <w:t>≥</w:t>
            </w:r>
            <w:r>
              <w:rPr>
                <w:rFonts w:ascii="方正书宋_GBK" w:eastAsia="方正书宋_GBK"/>
                <w:color w:val="auto"/>
              </w:rPr>
              <w:t>95%</w:t>
            </w:r>
          </w:p>
        </w:tc>
        <w:tc>
          <w:tcPr>
            <w:tcW w:w="1701" w:type="dxa"/>
            <w:shd w:val="clear" w:color="auto" w:fill="auto"/>
            <w:vAlign w:val="center"/>
          </w:tcPr>
          <w:p>
            <w:pPr>
              <w:spacing w:line="300" w:lineRule="exact"/>
              <w:jc w:val="left"/>
              <w:rPr>
                <w:rFonts w:hint="eastAsia" w:ascii="方正书宋_GBK" w:eastAsia="方正书宋_GBK"/>
                <w:color w:val="auto"/>
              </w:rPr>
            </w:pPr>
          </w:p>
        </w:tc>
      </w:tr>
    </w:tbl>
    <w:p>
      <w:pPr>
        <w:autoSpaceDE w:val="0"/>
        <w:autoSpaceDN w:val="0"/>
        <w:adjustRightInd w:val="0"/>
        <w:ind w:left="198" w:firstLine="420" w:firstLineChars="200"/>
        <w:jc w:val="left"/>
        <w:rPr>
          <w:color w:val="auto"/>
        </w:rPr>
        <w:sectPr>
          <w:footerReference r:id="rId3" w:type="default"/>
          <w:pgSz w:w="11907" w:h="16839"/>
          <w:pgMar w:top="1984" w:right="1304" w:bottom="1134" w:left="1304" w:header="851" w:footer="992" w:gutter="0"/>
          <w:cols w:space="425" w:num="1"/>
          <w:docGrid w:type="lines" w:linePitch="312" w:charSpace="0"/>
        </w:sectPr>
      </w:pPr>
      <w:r>
        <w:rPr>
          <w:color w:val="auto"/>
        </w:rPr>
        <w:fldChar w:fldCharType="begin"/>
      </w:r>
      <w:r>
        <w:rPr>
          <w:rFonts w:ascii="方正仿宋_GBK" w:eastAsia="方正仿宋_GBK"/>
          <w:b/>
          <w:color w:val="auto"/>
          <w:sz w:val="28"/>
        </w:rPr>
        <w:instrText xml:space="preserve"> </w:instrText>
      </w:r>
      <w:r>
        <w:rPr>
          <w:rFonts w:hint="eastAsia" w:ascii="方正仿宋_GBK" w:eastAsia="方正仿宋_GBK"/>
          <w:b/>
          <w:color w:val="auto"/>
          <w:sz w:val="28"/>
        </w:rPr>
        <w:instrText xml:space="preserve">TC </w:instrText>
      </w:r>
      <w:bookmarkStart w:id="14" w:name="_Toc29484634"/>
      <w:r>
        <w:rPr>
          <w:rFonts w:hint="eastAsia" w:ascii="方正仿宋_GBK" w:eastAsia="方正仿宋_GBK"/>
          <w:b/>
          <w:color w:val="auto"/>
          <w:sz w:val="28"/>
        </w:rPr>
        <w:instrText xml:space="preserve">3、第三方评价工作经费绩效目标表</w:instrText>
      </w:r>
      <w:bookmarkEnd w:id="14"/>
      <w:r>
        <w:rPr>
          <w:rFonts w:hint="eastAsia" w:ascii="方正仿宋_GBK" w:eastAsia="方正仿宋_GBK"/>
          <w:b/>
          <w:color w:val="auto"/>
          <w:sz w:val="28"/>
        </w:rPr>
        <w:instrText xml:space="preserve"> \f C \l 1</w:instrText>
      </w:r>
      <w:r>
        <w:rPr>
          <w:rFonts w:ascii="方正仿宋_GBK" w:eastAsia="方正仿宋_GBK"/>
          <w:b/>
          <w:color w:val="auto"/>
          <w:sz w:val="28"/>
        </w:rPr>
        <w:instrText xml:space="preserve"> </w:instrText>
      </w:r>
      <w:r>
        <w:rPr>
          <w:rFonts w:ascii="方正仿宋_GBK" w:eastAsia="方正仿宋_GBK"/>
          <w:b/>
          <w:color w:val="auto"/>
          <w:sz w:val="28"/>
        </w:rPr>
        <w:fldChar w:fldCharType="end"/>
      </w:r>
    </w:p>
    <w:bookmarkEnd w:id="0"/>
    <w:p>
      <w:pPr>
        <w:autoSpaceDE w:val="0"/>
        <w:autoSpaceDN w:val="0"/>
        <w:adjustRightInd w:val="0"/>
        <w:ind w:firstLine="960" w:firstLineChars="300"/>
        <w:jc w:val="left"/>
        <w:rPr>
          <w:rFonts w:ascii="黑体" w:hAnsi="黑体" w:eastAsia="黑体" w:cs="Times New Roman"/>
          <w:color w:val="auto"/>
          <w:sz w:val="32"/>
          <w:szCs w:val="32"/>
        </w:rPr>
      </w:pPr>
      <w:r>
        <w:rPr>
          <w:rFonts w:hint="eastAsia" w:ascii="黑体" w:hAnsi="黑体" w:eastAsia="黑体" w:cs="Times New Roman"/>
          <w:color w:val="auto"/>
          <w:sz w:val="32"/>
          <w:szCs w:val="32"/>
        </w:rPr>
        <w:t>六、政府采购预算情况</w:t>
      </w:r>
    </w:p>
    <w:p>
      <w:pPr>
        <w:ind w:firstLine="640" w:firstLineChars="200"/>
        <w:outlineLvl w:val="0"/>
        <w:rPr>
          <w:rFonts w:ascii="Times New Roman" w:hAnsi="Times New Roman" w:eastAsia="仿宋" w:cs="Times New Roman"/>
          <w:color w:val="auto"/>
          <w:sz w:val="32"/>
          <w:szCs w:val="24"/>
        </w:rPr>
      </w:pPr>
      <w:bookmarkStart w:id="15" w:name="_Toc471398468"/>
      <w:r>
        <w:rPr>
          <w:rFonts w:ascii="Times New Roman" w:hAnsi="Times New Roman" w:eastAsia="仿宋" w:cs="Times New Roman"/>
          <w:color w:val="auto"/>
          <w:sz w:val="32"/>
          <w:szCs w:val="24"/>
        </w:rPr>
        <w:t xml:space="preserve"> 20</w:t>
      </w:r>
      <w:r>
        <w:rPr>
          <w:rFonts w:hint="eastAsia" w:ascii="Times New Roman" w:hAnsi="Times New Roman" w:eastAsia="仿宋" w:cs="Times New Roman"/>
          <w:color w:val="auto"/>
          <w:sz w:val="32"/>
          <w:szCs w:val="24"/>
        </w:rPr>
        <w:t>20</w:t>
      </w:r>
      <w:r>
        <w:rPr>
          <w:rFonts w:ascii="Times New Roman" w:hAnsi="Times New Roman" w:eastAsia="仿宋" w:cs="Times New Roman"/>
          <w:color w:val="auto"/>
          <w:sz w:val="32"/>
          <w:szCs w:val="24"/>
        </w:rPr>
        <w:t>年，</w:t>
      </w:r>
      <w:r>
        <w:rPr>
          <w:rFonts w:hint="eastAsia" w:ascii="Times New Roman" w:hAnsi="Times New Roman" w:eastAsia="仿宋" w:cs="Times New Roman"/>
          <w:color w:val="auto"/>
          <w:sz w:val="32"/>
          <w:szCs w:val="24"/>
        </w:rPr>
        <w:t>我部门</w:t>
      </w:r>
      <w:r>
        <w:rPr>
          <w:rFonts w:ascii="Times New Roman" w:hAnsi="Times New Roman" w:eastAsia="仿宋" w:cs="Times New Roman"/>
          <w:color w:val="auto"/>
          <w:sz w:val="32"/>
          <w:szCs w:val="24"/>
        </w:rPr>
        <w:t>安排政府采购预算</w:t>
      </w:r>
      <w:r>
        <w:rPr>
          <w:rFonts w:hint="eastAsia" w:ascii="Times New Roman" w:hAnsi="Times New Roman" w:eastAsia="仿宋" w:cs="Times New Roman"/>
          <w:color w:val="auto"/>
          <w:sz w:val="32"/>
          <w:szCs w:val="24"/>
          <w:lang w:val="en-US" w:eastAsia="zh-CN"/>
        </w:rPr>
        <w:t>0</w:t>
      </w:r>
      <w:r>
        <w:rPr>
          <w:rFonts w:ascii="Times New Roman" w:hAnsi="Times New Roman" w:eastAsia="仿宋" w:cs="Times New Roman"/>
          <w:color w:val="auto"/>
          <w:sz w:val="32"/>
          <w:szCs w:val="24"/>
        </w:rPr>
        <w:t>万元。具体内容见下表。</w:t>
      </w:r>
      <w:bookmarkEnd w:id="15"/>
    </w:p>
    <w:p>
      <w:pPr>
        <w:ind w:firstLine="640" w:firstLineChars="200"/>
        <w:jc w:val="center"/>
        <w:outlineLvl w:val="0"/>
        <w:rPr>
          <w:rFonts w:ascii="Times New Roman" w:hAnsi="宋体"/>
          <w:color w:val="auto"/>
          <w:sz w:val="32"/>
        </w:rPr>
      </w:pPr>
      <w:r>
        <w:rPr>
          <w:rFonts w:hint="eastAsia" w:ascii="方正小标宋_GBK" w:eastAsia="方正小标宋_GBK"/>
          <w:color w:val="auto"/>
          <w:sz w:val="32"/>
        </w:rPr>
        <w:t>部门政府采购预算</w:t>
      </w:r>
      <w:r>
        <w:rPr>
          <w:color w:val="auto"/>
        </w:rPr>
        <w:fldChar w:fldCharType="begin"/>
      </w:r>
      <w:r>
        <w:rPr>
          <w:rFonts w:ascii="方正小标宋_GBK" w:eastAsia="方正小标宋_GBK"/>
          <w:color w:val="auto"/>
          <w:sz w:val="32"/>
        </w:rPr>
        <w:instrText xml:space="preserve"> </w:instrText>
      </w:r>
      <w:r>
        <w:rPr>
          <w:rFonts w:hint="eastAsia" w:ascii="方正小标宋_GBK" w:eastAsia="方正小标宋_GBK"/>
          <w:color w:val="auto"/>
          <w:sz w:val="32"/>
        </w:rPr>
        <w:instrText xml:space="preserve">TC </w:instrText>
      </w:r>
      <w:bookmarkStart w:id="16" w:name="_Toc28848395"/>
      <w:r>
        <w:rPr>
          <w:rFonts w:hint="eastAsia" w:ascii="方正小标宋_GBK" w:eastAsia="方正小标宋_GBK"/>
          <w:color w:val="auto"/>
          <w:sz w:val="32"/>
        </w:rPr>
        <w:instrText xml:space="preserve">部门政府采购预算</w:instrText>
      </w:r>
      <w:bookmarkEnd w:id="16"/>
      <w:r>
        <w:rPr>
          <w:rFonts w:hint="eastAsia" w:ascii="方正小标宋_GBK" w:eastAsia="方正小标宋_GBK"/>
          <w:color w:val="auto"/>
          <w:sz w:val="32"/>
        </w:rPr>
        <w:instrText xml:space="preserve"> \f A \l 1</w:instrText>
      </w:r>
      <w:r>
        <w:rPr>
          <w:rFonts w:ascii="方正小标宋_GBK" w:eastAsia="方正小标宋_GBK"/>
          <w:color w:val="auto"/>
          <w:sz w:val="32"/>
        </w:rPr>
        <w:instrText xml:space="preserve"> </w:instrText>
      </w:r>
      <w:r>
        <w:rPr>
          <w:rFonts w:ascii="方正小标宋_GBK" w:eastAsia="方正小标宋_GBK"/>
          <w:color w:val="auto"/>
          <w:sz w:val="32"/>
        </w:rPr>
        <w:fldChar w:fldCharType="end"/>
      </w:r>
    </w:p>
    <w:tbl>
      <w:tblPr>
        <w:tblStyle w:val="11"/>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color w:val="auto"/>
                <w:sz w:val="24"/>
                <w:lang w:val="en-US" w:eastAsia="zh-CN"/>
              </w:rPr>
            </w:pPr>
            <w:r>
              <w:rPr>
                <w:rFonts w:hint="eastAsia" w:ascii="方正小标宋_GBK" w:eastAsia="方正小标宋_GBK"/>
                <w:color w:val="auto"/>
                <w:sz w:val="24"/>
                <w:lang w:val="en-US" w:eastAsia="zh-CN"/>
              </w:rPr>
              <w:t>365 石家庄市鹿泉区医疗保障局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olor w:val="auto"/>
                <w:sz w:val="24"/>
              </w:rPr>
            </w:pPr>
            <w:r>
              <w:rPr>
                <w:rFonts w:hint="eastAsia" w:ascii="方正书宋_GBK" w:eastAsia="方正书宋_GBK"/>
                <w:color w:val="auto"/>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color w:val="auto"/>
              </w:rPr>
            </w:pPr>
            <w:r>
              <w:rPr>
                <w:rFonts w:hint="eastAsia" w:ascii="方正书宋_GBK" w:eastAsia="方正书宋_GBK"/>
                <w:b/>
                <w:color w:val="auto"/>
              </w:rPr>
              <w:t>政府采购项目来源</w:t>
            </w:r>
          </w:p>
        </w:tc>
        <w:tc>
          <w:tcPr>
            <w:tcW w:w="1559"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采购物品名称</w:t>
            </w:r>
          </w:p>
        </w:tc>
        <w:tc>
          <w:tcPr>
            <w:tcW w:w="1417"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政府采购目录序号</w:t>
            </w:r>
          </w:p>
        </w:tc>
        <w:tc>
          <w:tcPr>
            <w:tcW w:w="709"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计量  单位</w:t>
            </w:r>
          </w:p>
        </w:tc>
        <w:tc>
          <w:tcPr>
            <w:tcW w:w="851"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数量</w:t>
            </w:r>
          </w:p>
        </w:tc>
        <w:tc>
          <w:tcPr>
            <w:tcW w:w="992" w:type="dxa"/>
            <w:vMerge w:val="restart"/>
            <w:vAlign w:val="center"/>
          </w:tcPr>
          <w:p>
            <w:pPr>
              <w:spacing w:line="300" w:lineRule="exact"/>
              <w:jc w:val="center"/>
              <w:rPr>
                <w:rFonts w:ascii="方正书宋_GBK" w:eastAsia="方正书宋_GBK"/>
                <w:b/>
                <w:color w:val="auto"/>
              </w:rPr>
            </w:pPr>
            <w:r>
              <w:rPr>
                <w:rFonts w:hint="eastAsia" w:ascii="方正书宋_GBK" w:eastAsia="方正书宋_GBK"/>
                <w:b/>
                <w:color w:val="auto"/>
              </w:rPr>
              <w:t>单价</w:t>
            </w:r>
          </w:p>
        </w:tc>
        <w:tc>
          <w:tcPr>
            <w:tcW w:w="5854" w:type="dxa"/>
            <w:gridSpan w:val="6"/>
            <w:vAlign w:val="center"/>
          </w:tcPr>
          <w:p>
            <w:pPr>
              <w:spacing w:line="300" w:lineRule="exact"/>
              <w:jc w:val="center"/>
              <w:rPr>
                <w:rFonts w:ascii="方正书宋_GBK" w:eastAsia="方正书宋_GBK"/>
                <w:b/>
                <w:color w:val="auto"/>
              </w:rPr>
            </w:pPr>
            <w:r>
              <w:rPr>
                <w:rFonts w:hint="eastAsia" w:ascii="方正书宋_GBK" w:eastAsia="方正书宋_GBK"/>
                <w:b/>
                <w:color w:val="auto"/>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项目名称</w:t>
            </w:r>
          </w:p>
        </w:tc>
        <w:tc>
          <w:tcPr>
            <w:tcW w:w="1134"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预算资金</w:t>
            </w:r>
          </w:p>
        </w:tc>
        <w:tc>
          <w:tcPr>
            <w:tcW w:w="1559" w:type="dxa"/>
            <w:vMerge w:val="continue"/>
            <w:vAlign w:val="center"/>
          </w:tcPr>
          <w:p>
            <w:pPr>
              <w:spacing w:line="300" w:lineRule="exact"/>
              <w:jc w:val="left"/>
              <w:outlineLvl w:val="0"/>
              <w:rPr>
                <w:rFonts w:ascii="Times New Roman" w:eastAsia="方正仿宋_GBK"/>
                <w:color w:val="auto"/>
                <w:sz w:val="28"/>
              </w:rPr>
            </w:pPr>
          </w:p>
        </w:tc>
        <w:tc>
          <w:tcPr>
            <w:tcW w:w="1417" w:type="dxa"/>
            <w:vMerge w:val="continue"/>
            <w:vAlign w:val="center"/>
          </w:tcPr>
          <w:p>
            <w:pPr>
              <w:spacing w:line="300" w:lineRule="exact"/>
              <w:jc w:val="left"/>
              <w:outlineLvl w:val="0"/>
              <w:rPr>
                <w:rFonts w:ascii="Times New Roman" w:eastAsia="方正仿宋_GBK"/>
                <w:color w:val="auto"/>
                <w:sz w:val="28"/>
              </w:rPr>
            </w:pPr>
          </w:p>
        </w:tc>
        <w:tc>
          <w:tcPr>
            <w:tcW w:w="709" w:type="dxa"/>
            <w:vMerge w:val="continue"/>
            <w:vAlign w:val="center"/>
          </w:tcPr>
          <w:p>
            <w:pPr>
              <w:spacing w:line="300" w:lineRule="exact"/>
              <w:jc w:val="left"/>
              <w:outlineLvl w:val="0"/>
              <w:rPr>
                <w:rFonts w:ascii="Times New Roman" w:eastAsia="方正仿宋_GBK"/>
                <w:color w:val="auto"/>
                <w:sz w:val="28"/>
              </w:rPr>
            </w:pPr>
          </w:p>
        </w:tc>
        <w:tc>
          <w:tcPr>
            <w:tcW w:w="851" w:type="dxa"/>
            <w:vMerge w:val="continue"/>
            <w:vAlign w:val="center"/>
          </w:tcPr>
          <w:p>
            <w:pPr>
              <w:spacing w:line="300" w:lineRule="exact"/>
              <w:jc w:val="left"/>
              <w:outlineLvl w:val="0"/>
              <w:rPr>
                <w:rFonts w:ascii="Times New Roman" w:eastAsia="方正仿宋_GBK"/>
                <w:color w:val="auto"/>
                <w:sz w:val="28"/>
              </w:rPr>
            </w:pPr>
          </w:p>
        </w:tc>
        <w:tc>
          <w:tcPr>
            <w:tcW w:w="992" w:type="dxa"/>
            <w:vMerge w:val="continue"/>
            <w:vAlign w:val="center"/>
          </w:tcPr>
          <w:p>
            <w:pPr>
              <w:spacing w:line="300" w:lineRule="exact"/>
              <w:jc w:val="left"/>
              <w:outlineLvl w:val="0"/>
              <w:rPr>
                <w:rFonts w:ascii="Times New Roman" w:eastAsia="方正仿宋_GBK"/>
                <w:color w:val="auto"/>
                <w:sz w:val="28"/>
              </w:rPr>
            </w:pPr>
          </w:p>
        </w:tc>
        <w:tc>
          <w:tcPr>
            <w:tcW w:w="992"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合计</w:t>
            </w:r>
          </w:p>
        </w:tc>
        <w:tc>
          <w:tcPr>
            <w:tcW w:w="992"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一般公共预算拨款</w:t>
            </w:r>
          </w:p>
        </w:tc>
        <w:tc>
          <w:tcPr>
            <w:tcW w:w="993"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基金预算拨款</w:t>
            </w:r>
          </w:p>
        </w:tc>
        <w:tc>
          <w:tcPr>
            <w:tcW w:w="1134"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国有资本经营预算拨款</w:t>
            </w:r>
          </w:p>
        </w:tc>
        <w:tc>
          <w:tcPr>
            <w:tcW w:w="850"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财政专户核拨</w:t>
            </w:r>
          </w:p>
        </w:tc>
        <w:tc>
          <w:tcPr>
            <w:tcW w:w="893"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color w:val="auto"/>
              </w:rPr>
            </w:pPr>
            <w:r>
              <w:rPr>
                <w:rFonts w:hint="eastAsia" w:ascii="方正书宋_GBK" w:eastAsia="方正书宋_GBK"/>
                <w:b/>
                <w:color w:val="auto"/>
              </w:rPr>
              <w:t>合　计</w:t>
            </w:r>
          </w:p>
        </w:tc>
        <w:tc>
          <w:tcPr>
            <w:tcW w:w="1134" w:type="dxa"/>
            <w:vAlign w:val="center"/>
          </w:tcPr>
          <w:p>
            <w:pPr>
              <w:spacing w:line="300" w:lineRule="exact"/>
              <w:jc w:val="right"/>
              <w:rPr>
                <w:rFonts w:hint="eastAsia" w:ascii="方正书宋_GBK" w:eastAsia="方正书宋_GBK"/>
                <w:b/>
                <w:color w:val="auto"/>
                <w:lang w:val="en-US" w:eastAsia="zh-CN"/>
              </w:rPr>
            </w:pPr>
            <w:r>
              <w:rPr>
                <w:rFonts w:hint="eastAsia" w:ascii="方正书宋_GBK" w:eastAsia="方正书宋_GBK"/>
                <w:b/>
                <w:color w:val="auto"/>
                <w:lang w:val="en-US" w:eastAsia="zh-CN"/>
              </w:rPr>
              <w:t>0</w:t>
            </w:r>
          </w:p>
        </w:tc>
        <w:tc>
          <w:tcPr>
            <w:tcW w:w="1559" w:type="dxa"/>
            <w:vAlign w:val="center"/>
          </w:tcPr>
          <w:p>
            <w:pPr>
              <w:spacing w:line="300" w:lineRule="exact"/>
              <w:jc w:val="left"/>
              <w:rPr>
                <w:rFonts w:ascii="方正书宋_GBK" w:eastAsia="方正书宋_GBK"/>
                <w:b/>
                <w:color w:val="auto"/>
              </w:rPr>
            </w:pPr>
          </w:p>
        </w:tc>
        <w:tc>
          <w:tcPr>
            <w:tcW w:w="1417" w:type="dxa"/>
            <w:vAlign w:val="center"/>
          </w:tcPr>
          <w:p>
            <w:pPr>
              <w:spacing w:line="300" w:lineRule="exact"/>
              <w:jc w:val="left"/>
              <w:rPr>
                <w:rFonts w:ascii="方正书宋_GBK" w:eastAsia="方正书宋_GBK"/>
                <w:b/>
                <w:color w:val="auto"/>
              </w:rPr>
            </w:pPr>
          </w:p>
        </w:tc>
        <w:tc>
          <w:tcPr>
            <w:tcW w:w="709" w:type="dxa"/>
            <w:vAlign w:val="center"/>
          </w:tcPr>
          <w:p>
            <w:pPr>
              <w:spacing w:line="300" w:lineRule="exact"/>
              <w:jc w:val="left"/>
              <w:rPr>
                <w:rFonts w:ascii="方正书宋_GBK" w:eastAsia="方正书宋_GBK"/>
                <w:b/>
                <w:color w:val="auto"/>
              </w:rPr>
            </w:pPr>
          </w:p>
        </w:tc>
        <w:tc>
          <w:tcPr>
            <w:tcW w:w="851" w:type="dxa"/>
            <w:vAlign w:val="center"/>
          </w:tcPr>
          <w:p>
            <w:pPr>
              <w:spacing w:line="300" w:lineRule="exact"/>
              <w:jc w:val="right"/>
              <w:rPr>
                <w:rFonts w:ascii="方正书宋_GBK" w:eastAsia="方正书宋_GBK"/>
                <w:b/>
                <w:color w:val="auto"/>
              </w:rPr>
            </w:pPr>
          </w:p>
        </w:tc>
        <w:tc>
          <w:tcPr>
            <w:tcW w:w="992" w:type="dxa"/>
            <w:vAlign w:val="center"/>
          </w:tcPr>
          <w:p>
            <w:pPr>
              <w:spacing w:line="300" w:lineRule="exact"/>
              <w:jc w:val="right"/>
              <w:rPr>
                <w:rFonts w:ascii="方正书宋_GBK" w:eastAsia="方正书宋_GBK"/>
                <w:b/>
                <w:color w:val="auto"/>
              </w:rPr>
            </w:pPr>
          </w:p>
        </w:tc>
        <w:tc>
          <w:tcPr>
            <w:tcW w:w="992" w:type="dxa"/>
            <w:vAlign w:val="center"/>
          </w:tcPr>
          <w:p>
            <w:pPr>
              <w:adjustRightInd w:val="0"/>
              <w:snapToGrid w:val="0"/>
              <w:jc w:val="right"/>
              <w:rPr>
                <w:rFonts w:hint="default" w:ascii="方正书宋_GBK" w:hAnsi="宋体" w:eastAsia="方正书宋_GBK" w:cs="宋体"/>
                <w:b/>
                <w:bCs/>
                <w:color w:val="auto"/>
                <w:szCs w:val="21"/>
                <w:lang w:val="en-US" w:eastAsia="zh-CN"/>
              </w:rPr>
            </w:pPr>
          </w:p>
        </w:tc>
        <w:tc>
          <w:tcPr>
            <w:tcW w:w="992" w:type="dxa"/>
            <w:vAlign w:val="center"/>
          </w:tcPr>
          <w:p>
            <w:pPr>
              <w:adjustRightInd w:val="0"/>
              <w:snapToGrid w:val="0"/>
              <w:jc w:val="right"/>
              <w:rPr>
                <w:rFonts w:hint="default" w:ascii="方正书宋_GBK" w:hAnsi="宋体" w:eastAsia="方正书宋_GBK" w:cs="宋体"/>
                <w:b/>
                <w:bCs/>
                <w:color w:val="auto"/>
                <w:szCs w:val="21"/>
                <w:lang w:val="en-US" w:eastAsia="zh-CN"/>
              </w:rPr>
            </w:pPr>
          </w:p>
        </w:tc>
        <w:tc>
          <w:tcPr>
            <w:tcW w:w="993" w:type="dxa"/>
            <w:vAlign w:val="center"/>
          </w:tcPr>
          <w:p>
            <w:pPr>
              <w:spacing w:line="300" w:lineRule="exact"/>
              <w:jc w:val="right"/>
              <w:rPr>
                <w:rFonts w:ascii="方正书宋_GBK" w:eastAsia="方正书宋_GBK"/>
                <w:b/>
                <w:color w:val="auto"/>
              </w:rPr>
            </w:pPr>
          </w:p>
        </w:tc>
        <w:tc>
          <w:tcPr>
            <w:tcW w:w="1134" w:type="dxa"/>
            <w:vAlign w:val="center"/>
          </w:tcPr>
          <w:p>
            <w:pPr>
              <w:spacing w:line="300" w:lineRule="exact"/>
              <w:jc w:val="right"/>
              <w:rPr>
                <w:rFonts w:ascii="方正书宋_GBK" w:eastAsia="方正书宋_GBK"/>
                <w:b/>
                <w:color w:val="auto"/>
              </w:rPr>
            </w:pPr>
          </w:p>
        </w:tc>
        <w:tc>
          <w:tcPr>
            <w:tcW w:w="850" w:type="dxa"/>
            <w:vAlign w:val="center"/>
          </w:tcPr>
          <w:p>
            <w:pPr>
              <w:spacing w:line="300" w:lineRule="exact"/>
              <w:jc w:val="right"/>
              <w:rPr>
                <w:rFonts w:ascii="方正书宋_GBK" w:eastAsia="方正书宋_GBK"/>
                <w:b/>
                <w:color w:val="auto"/>
              </w:rPr>
            </w:pPr>
          </w:p>
        </w:tc>
        <w:tc>
          <w:tcPr>
            <w:tcW w:w="893" w:type="dxa"/>
            <w:vAlign w:val="center"/>
          </w:tcPr>
          <w:p>
            <w:pPr>
              <w:spacing w:line="300" w:lineRule="exact"/>
              <w:jc w:val="right"/>
              <w:rPr>
                <w:rFonts w:ascii="方正书宋_GBK" w:eastAsia="方正书宋_GBK"/>
                <w:b/>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hint="eastAsia" w:ascii="方正书宋_GBK" w:eastAsia="方正书宋_GBK"/>
                <w:b/>
                <w:color w:val="auto"/>
                <w:lang w:eastAsia="zh-CN"/>
              </w:rPr>
            </w:pPr>
            <w:r>
              <w:rPr>
                <w:rFonts w:hint="eastAsia" w:ascii="方正书宋_GBK" w:eastAsia="方正书宋_GBK"/>
                <w:b/>
                <w:color w:val="auto"/>
                <w:lang w:eastAsia="zh-CN"/>
              </w:rPr>
              <w:t>石家庄市鹿泉区医疗保障局</w:t>
            </w:r>
          </w:p>
          <w:p>
            <w:pPr>
              <w:spacing w:line="300" w:lineRule="exact"/>
              <w:jc w:val="center"/>
              <w:rPr>
                <w:rFonts w:ascii="方正书宋_GBK" w:eastAsia="方正书宋_GBK"/>
                <w:b/>
                <w:color w:val="auto"/>
              </w:rPr>
            </w:pPr>
            <w:r>
              <w:rPr>
                <w:rFonts w:hint="eastAsia" w:ascii="方正书宋_GBK" w:eastAsia="方正书宋_GBK"/>
                <w:b/>
                <w:color w:val="auto"/>
              </w:rPr>
              <w:t>小计</w:t>
            </w:r>
          </w:p>
        </w:tc>
        <w:tc>
          <w:tcPr>
            <w:tcW w:w="1134" w:type="dxa"/>
            <w:vAlign w:val="center"/>
          </w:tcPr>
          <w:p>
            <w:pPr>
              <w:spacing w:line="300" w:lineRule="exact"/>
              <w:jc w:val="right"/>
              <w:rPr>
                <w:rFonts w:hint="eastAsia" w:ascii="方正书宋_GBK" w:eastAsia="方正书宋_GBK"/>
                <w:b/>
                <w:color w:val="auto"/>
                <w:lang w:val="en-US" w:eastAsia="zh-CN"/>
              </w:rPr>
            </w:pPr>
            <w:r>
              <w:rPr>
                <w:rFonts w:hint="eastAsia" w:ascii="方正书宋_GBK" w:eastAsia="方正书宋_GBK"/>
                <w:b/>
                <w:color w:val="auto"/>
                <w:lang w:val="en-US" w:eastAsia="zh-CN"/>
              </w:rPr>
              <w:t>0</w:t>
            </w:r>
          </w:p>
        </w:tc>
        <w:tc>
          <w:tcPr>
            <w:tcW w:w="1559" w:type="dxa"/>
            <w:vAlign w:val="center"/>
          </w:tcPr>
          <w:p>
            <w:pPr>
              <w:spacing w:line="300" w:lineRule="exact"/>
              <w:jc w:val="left"/>
              <w:rPr>
                <w:rFonts w:ascii="方正书宋_GBK" w:eastAsia="方正书宋_GBK"/>
                <w:b/>
                <w:color w:val="auto"/>
              </w:rPr>
            </w:pPr>
          </w:p>
        </w:tc>
        <w:tc>
          <w:tcPr>
            <w:tcW w:w="1417" w:type="dxa"/>
            <w:vAlign w:val="center"/>
          </w:tcPr>
          <w:p>
            <w:pPr>
              <w:spacing w:line="300" w:lineRule="exact"/>
              <w:jc w:val="left"/>
              <w:rPr>
                <w:rFonts w:ascii="方正书宋_GBK" w:eastAsia="方正书宋_GBK"/>
                <w:b/>
                <w:color w:val="auto"/>
              </w:rPr>
            </w:pPr>
          </w:p>
        </w:tc>
        <w:tc>
          <w:tcPr>
            <w:tcW w:w="709" w:type="dxa"/>
            <w:vAlign w:val="center"/>
          </w:tcPr>
          <w:p>
            <w:pPr>
              <w:spacing w:line="300" w:lineRule="exact"/>
              <w:jc w:val="left"/>
              <w:rPr>
                <w:rFonts w:ascii="方正书宋_GBK" w:eastAsia="方正书宋_GBK"/>
                <w:b/>
                <w:color w:val="auto"/>
              </w:rPr>
            </w:pPr>
          </w:p>
        </w:tc>
        <w:tc>
          <w:tcPr>
            <w:tcW w:w="851" w:type="dxa"/>
            <w:vAlign w:val="center"/>
          </w:tcPr>
          <w:p>
            <w:pPr>
              <w:spacing w:line="300" w:lineRule="exact"/>
              <w:jc w:val="right"/>
              <w:rPr>
                <w:rFonts w:ascii="方正书宋_GBK" w:eastAsia="方正书宋_GBK"/>
                <w:b/>
                <w:color w:val="auto"/>
              </w:rPr>
            </w:pPr>
          </w:p>
        </w:tc>
        <w:tc>
          <w:tcPr>
            <w:tcW w:w="992" w:type="dxa"/>
            <w:vAlign w:val="center"/>
          </w:tcPr>
          <w:p>
            <w:pPr>
              <w:spacing w:line="300" w:lineRule="exact"/>
              <w:jc w:val="right"/>
              <w:rPr>
                <w:rFonts w:ascii="方正书宋_GBK" w:eastAsia="方正书宋_GBK"/>
                <w:b/>
                <w:color w:val="auto"/>
              </w:rPr>
            </w:pPr>
          </w:p>
        </w:tc>
        <w:tc>
          <w:tcPr>
            <w:tcW w:w="992" w:type="dxa"/>
            <w:vAlign w:val="center"/>
          </w:tcPr>
          <w:p>
            <w:pPr>
              <w:adjustRightInd w:val="0"/>
              <w:snapToGrid w:val="0"/>
              <w:jc w:val="right"/>
              <w:rPr>
                <w:rFonts w:hint="default" w:ascii="方正书宋_GBK" w:hAnsi="宋体" w:eastAsia="方正书宋_GBK" w:cs="宋体"/>
                <w:b/>
                <w:bCs/>
                <w:color w:val="auto"/>
                <w:szCs w:val="21"/>
                <w:lang w:val="en-US" w:eastAsia="zh-CN"/>
              </w:rPr>
            </w:pPr>
          </w:p>
        </w:tc>
        <w:tc>
          <w:tcPr>
            <w:tcW w:w="992" w:type="dxa"/>
            <w:vAlign w:val="center"/>
          </w:tcPr>
          <w:p>
            <w:pPr>
              <w:adjustRightInd w:val="0"/>
              <w:snapToGrid w:val="0"/>
              <w:jc w:val="right"/>
              <w:rPr>
                <w:rFonts w:hint="default" w:ascii="方正书宋_GBK" w:hAnsi="宋体" w:eastAsia="方正书宋_GBK" w:cs="宋体"/>
                <w:b/>
                <w:bCs/>
                <w:color w:val="auto"/>
                <w:szCs w:val="21"/>
                <w:lang w:val="en-US" w:eastAsia="zh-CN"/>
              </w:rPr>
            </w:pPr>
          </w:p>
        </w:tc>
        <w:tc>
          <w:tcPr>
            <w:tcW w:w="993" w:type="dxa"/>
            <w:vAlign w:val="center"/>
          </w:tcPr>
          <w:p>
            <w:pPr>
              <w:spacing w:line="300" w:lineRule="exact"/>
              <w:jc w:val="right"/>
              <w:rPr>
                <w:rFonts w:ascii="方正书宋_GBK" w:eastAsia="方正书宋_GBK"/>
                <w:b/>
                <w:color w:val="auto"/>
              </w:rPr>
            </w:pPr>
          </w:p>
        </w:tc>
        <w:tc>
          <w:tcPr>
            <w:tcW w:w="1134" w:type="dxa"/>
            <w:vAlign w:val="center"/>
          </w:tcPr>
          <w:p>
            <w:pPr>
              <w:spacing w:line="300" w:lineRule="exact"/>
              <w:jc w:val="right"/>
              <w:rPr>
                <w:rFonts w:ascii="方正书宋_GBK" w:eastAsia="方正书宋_GBK"/>
                <w:b/>
                <w:color w:val="auto"/>
              </w:rPr>
            </w:pPr>
          </w:p>
        </w:tc>
        <w:tc>
          <w:tcPr>
            <w:tcW w:w="850" w:type="dxa"/>
            <w:vAlign w:val="center"/>
          </w:tcPr>
          <w:p>
            <w:pPr>
              <w:spacing w:line="300" w:lineRule="exact"/>
              <w:jc w:val="right"/>
              <w:rPr>
                <w:rFonts w:ascii="方正书宋_GBK" w:eastAsia="方正书宋_GBK"/>
                <w:b/>
                <w:color w:val="auto"/>
              </w:rPr>
            </w:pPr>
          </w:p>
        </w:tc>
        <w:tc>
          <w:tcPr>
            <w:tcW w:w="893" w:type="dxa"/>
            <w:vAlign w:val="center"/>
          </w:tcPr>
          <w:p>
            <w:pPr>
              <w:spacing w:line="300" w:lineRule="exact"/>
              <w:jc w:val="right"/>
              <w:rPr>
                <w:rFonts w:ascii="方正书宋_GBK" w:eastAsia="方正书宋_GBK"/>
                <w:b/>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color w:val="auto"/>
              </w:rPr>
            </w:pPr>
          </w:p>
        </w:tc>
        <w:tc>
          <w:tcPr>
            <w:tcW w:w="1134" w:type="dxa"/>
            <w:vAlign w:val="center"/>
          </w:tcPr>
          <w:p>
            <w:pPr>
              <w:spacing w:line="300" w:lineRule="exact"/>
              <w:jc w:val="right"/>
              <w:rPr>
                <w:rFonts w:ascii="方正书宋_GBK" w:eastAsia="方正书宋_GBK"/>
                <w:color w:val="auto"/>
              </w:rPr>
            </w:pPr>
          </w:p>
        </w:tc>
        <w:tc>
          <w:tcPr>
            <w:tcW w:w="1559" w:type="dxa"/>
            <w:vAlign w:val="center"/>
          </w:tcPr>
          <w:p>
            <w:pPr>
              <w:spacing w:line="300" w:lineRule="exact"/>
              <w:jc w:val="left"/>
              <w:rPr>
                <w:rFonts w:ascii="方正书宋_GBK" w:eastAsia="方正书宋_GBK"/>
                <w:color w:val="auto"/>
              </w:rPr>
            </w:pPr>
          </w:p>
        </w:tc>
        <w:tc>
          <w:tcPr>
            <w:tcW w:w="1417" w:type="dxa"/>
            <w:vAlign w:val="center"/>
          </w:tcPr>
          <w:p>
            <w:pPr>
              <w:spacing w:line="300" w:lineRule="exact"/>
              <w:jc w:val="left"/>
              <w:rPr>
                <w:rFonts w:ascii="方正书宋_GBK" w:eastAsia="方正书宋_GBK"/>
                <w:color w:val="auto"/>
              </w:rPr>
            </w:pPr>
          </w:p>
        </w:tc>
        <w:tc>
          <w:tcPr>
            <w:tcW w:w="709" w:type="dxa"/>
            <w:vAlign w:val="center"/>
          </w:tcPr>
          <w:p>
            <w:pPr>
              <w:spacing w:line="300" w:lineRule="exact"/>
              <w:jc w:val="left"/>
              <w:rPr>
                <w:rFonts w:hint="eastAsia" w:ascii="方正书宋_GBK" w:eastAsia="方正书宋_GBK"/>
                <w:color w:val="auto"/>
                <w:lang w:eastAsia="zh-CN"/>
              </w:rPr>
            </w:pPr>
          </w:p>
        </w:tc>
        <w:tc>
          <w:tcPr>
            <w:tcW w:w="851"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3" w:type="dxa"/>
            <w:vAlign w:val="center"/>
          </w:tcPr>
          <w:p>
            <w:pPr>
              <w:spacing w:line="300" w:lineRule="exact"/>
              <w:jc w:val="right"/>
              <w:rPr>
                <w:rFonts w:ascii="方正书宋_GBK" w:eastAsia="方正书宋_GBK"/>
                <w:color w:val="auto"/>
              </w:rPr>
            </w:pPr>
          </w:p>
        </w:tc>
        <w:tc>
          <w:tcPr>
            <w:tcW w:w="1134" w:type="dxa"/>
            <w:vAlign w:val="center"/>
          </w:tcPr>
          <w:p>
            <w:pPr>
              <w:spacing w:line="300" w:lineRule="exact"/>
              <w:jc w:val="right"/>
              <w:rPr>
                <w:rFonts w:ascii="方正书宋_GBK" w:eastAsia="方正书宋_GBK"/>
                <w:color w:val="auto"/>
              </w:rPr>
            </w:pPr>
          </w:p>
        </w:tc>
        <w:tc>
          <w:tcPr>
            <w:tcW w:w="850" w:type="dxa"/>
            <w:vAlign w:val="center"/>
          </w:tcPr>
          <w:p>
            <w:pPr>
              <w:spacing w:line="300" w:lineRule="exact"/>
              <w:jc w:val="right"/>
              <w:rPr>
                <w:rFonts w:ascii="方正书宋_GBK" w:eastAsia="方正书宋_GBK"/>
                <w:color w:val="auto"/>
              </w:rPr>
            </w:pPr>
          </w:p>
        </w:tc>
        <w:tc>
          <w:tcPr>
            <w:tcW w:w="893" w:type="dxa"/>
            <w:vAlign w:val="center"/>
          </w:tcPr>
          <w:p>
            <w:pPr>
              <w:spacing w:line="300" w:lineRule="exact"/>
              <w:jc w:val="righ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color w:val="auto"/>
                <w:lang w:eastAsia="zh-CN"/>
              </w:rPr>
            </w:pPr>
          </w:p>
        </w:tc>
        <w:tc>
          <w:tcPr>
            <w:tcW w:w="1134" w:type="dxa"/>
            <w:vAlign w:val="center"/>
          </w:tcPr>
          <w:p>
            <w:pPr>
              <w:spacing w:line="300" w:lineRule="exact"/>
              <w:jc w:val="right"/>
              <w:rPr>
                <w:rFonts w:ascii="方正书宋_GBK" w:eastAsia="方正书宋_GBK"/>
                <w:color w:val="auto"/>
              </w:rPr>
            </w:pPr>
          </w:p>
        </w:tc>
        <w:tc>
          <w:tcPr>
            <w:tcW w:w="1559" w:type="dxa"/>
            <w:vAlign w:val="center"/>
          </w:tcPr>
          <w:p>
            <w:pPr>
              <w:spacing w:line="300" w:lineRule="exact"/>
              <w:jc w:val="left"/>
              <w:rPr>
                <w:rFonts w:hint="eastAsia" w:ascii="方正书宋_GBK" w:eastAsia="方正书宋_GBK"/>
                <w:color w:val="auto"/>
                <w:lang w:eastAsia="zh-CN"/>
              </w:rPr>
            </w:pPr>
          </w:p>
        </w:tc>
        <w:tc>
          <w:tcPr>
            <w:tcW w:w="1417" w:type="dxa"/>
            <w:vAlign w:val="center"/>
          </w:tcPr>
          <w:p>
            <w:pPr>
              <w:spacing w:line="300" w:lineRule="exact"/>
              <w:jc w:val="left"/>
              <w:rPr>
                <w:rFonts w:ascii="方正书宋_GBK" w:eastAsia="方正书宋_GBK"/>
                <w:color w:val="auto"/>
              </w:rPr>
            </w:pPr>
          </w:p>
        </w:tc>
        <w:tc>
          <w:tcPr>
            <w:tcW w:w="709" w:type="dxa"/>
            <w:vAlign w:val="center"/>
          </w:tcPr>
          <w:p>
            <w:pPr>
              <w:spacing w:line="300" w:lineRule="exact"/>
              <w:jc w:val="left"/>
              <w:rPr>
                <w:rFonts w:hint="eastAsia" w:ascii="方正书宋_GBK" w:eastAsia="方正书宋_GBK"/>
                <w:color w:val="auto"/>
                <w:lang w:eastAsia="zh-CN"/>
              </w:rPr>
            </w:pPr>
          </w:p>
        </w:tc>
        <w:tc>
          <w:tcPr>
            <w:tcW w:w="851"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3" w:type="dxa"/>
            <w:vAlign w:val="center"/>
          </w:tcPr>
          <w:p>
            <w:pPr>
              <w:spacing w:line="300" w:lineRule="exact"/>
              <w:jc w:val="right"/>
              <w:rPr>
                <w:rFonts w:ascii="方正书宋_GBK" w:eastAsia="方正书宋_GBK"/>
                <w:color w:val="auto"/>
              </w:rPr>
            </w:pPr>
          </w:p>
        </w:tc>
        <w:tc>
          <w:tcPr>
            <w:tcW w:w="1134" w:type="dxa"/>
            <w:vAlign w:val="center"/>
          </w:tcPr>
          <w:p>
            <w:pPr>
              <w:spacing w:line="300" w:lineRule="exact"/>
              <w:jc w:val="right"/>
              <w:rPr>
                <w:rFonts w:ascii="方正书宋_GBK" w:eastAsia="方正书宋_GBK"/>
                <w:color w:val="auto"/>
              </w:rPr>
            </w:pPr>
          </w:p>
        </w:tc>
        <w:tc>
          <w:tcPr>
            <w:tcW w:w="850" w:type="dxa"/>
            <w:vAlign w:val="center"/>
          </w:tcPr>
          <w:p>
            <w:pPr>
              <w:spacing w:line="300" w:lineRule="exact"/>
              <w:jc w:val="right"/>
              <w:rPr>
                <w:rFonts w:ascii="方正书宋_GBK" w:eastAsia="方正书宋_GBK"/>
                <w:color w:val="auto"/>
              </w:rPr>
            </w:pPr>
          </w:p>
        </w:tc>
        <w:tc>
          <w:tcPr>
            <w:tcW w:w="893" w:type="dxa"/>
            <w:vAlign w:val="center"/>
          </w:tcPr>
          <w:p>
            <w:pPr>
              <w:spacing w:line="300" w:lineRule="exact"/>
              <w:jc w:val="right"/>
              <w:rPr>
                <w:rFonts w:ascii="方正书宋_GBK" w:eastAsia="方正书宋_GBK"/>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color w:val="auto"/>
                <w:lang w:eastAsia="zh-CN"/>
              </w:rPr>
            </w:pPr>
          </w:p>
        </w:tc>
        <w:tc>
          <w:tcPr>
            <w:tcW w:w="1134" w:type="dxa"/>
            <w:vAlign w:val="center"/>
          </w:tcPr>
          <w:p>
            <w:pPr>
              <w:spacing w:line="300" w:lineRule="exact"/>
              <w:jc w:val="right"/>
              <w:rPr>
                <w:rFonts w:ascii="方正书宋_GBK" w:eastAsia="方正书宋_GBK"/>
                <w:color w:val="auto"/>
              </w:rPr>
            </w:pPr>
          </w:p>
        </w:tc>
        <w:tc>
          <w:tcPr>
            <w:tcW w:w="1559" w:type="dxa"/>
            <w:vAlign w:val="center"/>
          </w:tcPr>
          <w:p>
            <w:pPr>
              <w:spacing w:line="300" w:lineRule="exact"/>
              <w:jc w:val="left"/>
              <w:rPr>
                <w:rFonts w:hint="eastAsia" w:ascii="方正书宋_GBK" w:eastAsia="方正书宋_GBK"/>
                <w:color w:val="auto"/>
                <w:lang w:eastAsia="zh-CN"/>
              </w:rPr>
            </w:pPr>
          </w:p>
        </w:tc>
        <w:tc>
          <w:tcPr>
            <w:tcW w:w="1417" w:type="dxa"/>
            <w:vAlign w:val="center"/>
          </w:tcPr>
          <w:p>
            <w:pPr>
              <w:spacing w:line="300" w:lineRule="exact"/>
              <w:jc w:val="left"/>
              <w:rPr>
                <w:rFonts w:hint="default" w:ascii="方正书宋_GBK" w:eastAsia="方正书宋_GBK"/>
                <w:color w:val="auto"/>
                <w:lang w:val="en-US" w:eastAsia="zh-CN"/>
              </w:rPr>
            </w:pPr>
          </w:p>
        </w:tc>
        <w:tc>
          <w:tcPr>
            <w:tcW w:w="709" w:type="dxa"/>
            <w:vAlign w:val="center"/>
          </w:tcPr>
          <w:p>
            <w:pPr>
              <w:spacing w:line="300" w:lineRule="exact"/>
              <w:jc w:val="left"/>
              <w:rPr>
                <w:rFonts w:ascii="方正书宋_GBK" w:eastAsia="方正书宋_GBK"/>
                <w:color w:val="auto"/>
              </w:rPr>
            </w:pPr>
          </w:p>
        </w:tc>
        <w:tc>
          <w:tcPr>
            <w:tcW w:w="851"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2" w:type="dxa"/>
            <w:vAlign w:val="center"/>
          </w:tcPr>
          <w:p>
            <w:pPr>
              <w:spacing w:line="300" w:lineRule="exact"/>
              <w:jc w:val="right"/>
              <w:rPr>
                <w:rFonts w:ascii="方正书宋_GBK" w:eastAsia="方正书宋_GBK"/>
                <w:color w:val="auto"/>
              </w:rPr>
            </w:pPr>
          </w:p>
        </w:tc>
        <w:tc>
          <w:tcPr>
            <w:tcW w:w="993" w:type="dxa"/>
            <w:vAlign w:val="center"/>
          </w:tcPr>
          <w:p>
            <w:pPr>
              <w:spacing w:line="300" w:lineRule="exact"/>
              <w:jc w:val="right"/>
              <w:rPr>
                <w:rFonts w:ascii="方正书宋_GBK" w:eastAsia="方正书宋_GBK"/>
                <w:color w:val="auto"/>
              </w:rPr>
            </w:pPr>
          </w:p>
        </w:tc>
        <w:tc>
          <w:tcPr>
            <w:tcW w:w="1134" w:type="dxa"/>
            <w:vAlign w:val="center"/>
          </w:tcPr>
          <w:p>
            <w:pPr>
              <w:spacing w:line="300" w:lineRule="exact"/>
              <w:jc w:val="right"/>
              <w:rPr>
                <w:rFonts w:ascii="方正书宋_GBK" w:eastAsia="方正书宋_GBK"/>
                <w:color w:val="auto"/>
              </w:rPr>
            </w:pPr>
          </w:p>
        </w:tc>
        <w:tc>
          <w:tcPr>
            <w:tcW w:w="850" w:type="dxa"/>
            <w:vAlign w:val="center"/>
          </w:tcPr>
          <w:p>
            <w:pPr>
              <w:spacing w:line="300" w:lineRule="exact"/>
              <w:jc w:val="right"/>
              <w:rPr>
                <w:rFonts w:ascii="方正书宋_GBK" w:eastAsia="方正书宋_GBK"/>
                <w:color w:val="auto"/>
              </w:rPr>
            </w:pPr>
          </w:p>
        </w:tc>
        <w:tc>
          <w:tcPr>
            <w:tcW w:w="893" w:type="dxa"/>
            <w:vAlign w:val="center"/>
          </w:tcPr>
          <w:p>
            <w:pPr>
              <w:spacing w:line="300" w:lineRule="exact"/>
              <w:jc w:val="right"/>
              <w:rPr>
                <w:rFonts w:ascii="方正书宋_GBK" w:eastAsia="方正书宋_GBK"/>
                <w:color w:val="auto"/>
              </w:rPr>
            </w:pPr>
          </w:p>
        </w:tc>
      </w:tr>
    </w:tbl>
    <w:p>
      <w:pPr>
        <w:autoSpaceDE w:val="0"/>
        <w:autoSpaceDN w:val="0"/>
        <w:adjustRightInd w:val="0"/>
        <w:ind w:firstLine="640" w:firstLineChars="200"/>
        <w:jc w:val="left"/>
        <w:rPr>
          <w:rFonts w:hint="eastAsia" w:ascii="黑体" w:hAnsi="黑体" w:eastAsia="黑体" w:cs="Times New Roman"/>
          <w:color w:val="auto"/>
          <w:sz w:val="32"/>
          <w:szCs w:val="32"/>
        </w:r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七、国有资产信息</w:t>
      </w:r>
    </w:p>
    <w:p>
      <w:pPr>
        <w:ind w:firstLine="640"/>
        <w:rPr>
          <w:rFonts w:hint="eastAsia" w:ascii="Times New Roman" w:hAnsi="Times New Roman" w:eastAsia="仿宋" w:cs="Times New Roman"/>
          <w:color w:val="auto"/>
          <w:sz w:val="32"/>
          <w:szCs w:val="32"/>
          <w:lang w:eastAsia="zh-CN"/>
        </w:rPr>
      </w:pPr>
      <w:r>
        <w:rPr>
          <w:rFonts w:hint="eastAsia" w:ascii="Times New Roman" w:hAnsi="Times New Roman" w:eastAsia="仿宋" w:cs="Times New Roman"/>
          <w:color w:val="auto"/>
          <w:sz w:val="32"/>
          <w:szCs w:val="32"/>
          <w:lang w:eastAsia="zh-CN"/>
        </w:rPr>
        <w:t>石家庄市鹿泉区医疗保障局</w:t>
      </w:r>
      <w:r>
        <w:rPr>
          <w:rFonts w:hint="eastAsia" w:ascii="Times New Roman" w:hAnsi="Times New Roman" w:eastAsia="仿宋" w:cs="Times New Roman"/>
          <w:color w:val="auto"/>
          <w:sz w:val="32"/>
          <w:szCs w:val="32"/>
        </w:rPr>
        <w:t>201</w:t>
      </w:r>
      <w:r>
        <w:rPr>
          <w:rFonts w:hint="eastAsia" w:ascii="Times New Roman" w:hAnsi="Times New Roman" w:eastAsia="仿宋" w:cs="Times New Roman"/>
          <w:color w:val="auto"/>
          <w:sz w:val="32"/>
          <w:szCs w:val="32"/>
          <w:lang w:val="en-US" w:eastAsia="zh-CN"/>
        </w:rPr>
        <w:t>9</w:t>
      </w:r>
      <w:r>
        <w:rPr>
          <w:rFonts w:ascii="Times New Roman" w:hAnsi="Times New Roman" w:eastAsia="仿宋" w:cs="Times New Roman"/>
          <w:color w:val="auto"/>
          <w:sz w:val="32"/>
          <w:szCs w:val="32"/>
        </w:rPr>
        <w:t>年末固定资产金额为</w:t>
      </w:r>
      <w:r>
        <w:rPr>
          <w:rFonts w:hint="eastAsia" w:ascii="Times New Roman" w:hAnsi="Times New Roman" w:eastAsia="仿宋" w:cs="Times New Roman"/>
          <w:color w:val="auto"/>
          <w:sz w:val="32"/>
          <w:szCs w:val="32"/>
          <w:lang w:val="en-US" w:eastAsia="zh-CN"/>
        </w:rPr>
        <w:t>105.6</w:t>
      </w:r>
      <w:r>
        <w:rPr>
          <w:rFonts w:ascii="Times New Roman" w:hAnsi="Times New Roman" w:eastAsia="仿宋" w:cs="Times New Roman"/>
          <w:color w:val="auto"/>
          <w:sz w:val="32"/>
          <w:szCs w:val="32"/>
        </w:rPr>
        <w:t>万元（详见下表），本年度各单位</w:t>
      </w:r>
      <w:r>
        <w:rPr>
          <w:rFonts w:hint="eastAsia" w:ascii="Times New Roman" w:hAnsi="Times New Roman" w:eastAsia="仿宋" w:cs="Times New Roman"/>
          <w:color w:val="auto"/>
          <w:sz w:val="32"/>
          <w:szCs w:val="32"/>
        </w:rPr>
        <w:t>（处室）</w:t>
      </w:r>
      <w:r>
        <w:rPr>
          <w:rFonts w:ascii="Times New Roman" w:hAnsi="Times New Roman" w:eastAsia="仿宋" w:cs="Times New Roman"/>
          <w:color w:val="auto"/>
          <w:sz w:val="32"/>
          <w:szCs w:val="32"/>
        </w:rPr>
        <w:t>拟购置固定资产</w:t>
      </w:r>
      <w:r>
        <w:rPr>
          <w:rFonts w:hint="eastAsia" w:ascii="Times New Roman" w:hAnsi="Times New Roman" w:eastAsia="仿宋" w:cs="Times New Roman"/>
          <w:color w:val="auto"/>
          <w:sz w:val="32"/>
          <w:szCs w:val="32"/>
        </w:rPr>
        <w:t>总额为</w:t>
      </w:r>
      <w:r>
        <w:rPr>
          <w:rFonts w:hint="eastAsia" w:ascii="Times New Roman" w:hAnsi="Times New Roman" w:eastAsia="仿宋" w:cs="Times New Roman"/>
          <w:color w:val="auto"/>
          <w:sz w:val="32"/>
          <w:szCs w:val="32"/>
          <w:lang w:val="en-US" w:eastAsia="zh-CN"/>
        </w:rPr>
        <w:t>10</w:t>
      </w:r>
      <w:r>
        <w:rPr>
          <w:rFonts w:ascii="Times New Roman" w:hAnsi="Times New Roman" w:eastAsia="仿宋" w:cs="Times New Roman"/>
          <w:color w:val="auto"/>
          <w:sz w:val="32"/>
          <w:szCs w:val="32"/>
        </w:rPr>
        <w:t>万元，主要为计算机、一体机、空调、打印机、投影仪</w:t>
      </w:r>
      <w:r>
        <w:rPr>
          <w:rFonts w:hint="eastAsia" w:ascii="Times New Roman" w:hAnsi="Times New Roman" w:eastAsia="仿宋" w:cs="Times New Roman"/>
          <w:color w:val="auto"/>
          <w:sz w:val="32"/>
          <w:szCs w:val="32"/>
        </w:rPr>
        <w:t>、办公家具</w:t>
      </w:r>
      <w:r>
        <w:rPr>
          <w:rFonts w:ascii="Times New Roman" w:hAnsi="Times New Roman" w:eastAsia="仿宋" w:cs="Times New Roman"/>
          <w:color w:val="auto"/>
          <w:sz w:val="32"/>
          <w:szCs w:val="32"/>
        </w:rPr>
        <w:t>等</w:t>
      </w:r>
      <w:r>
        <w:rPr>
          <w:rFonts w:hint="eastAsia" w:ascii="Times New Roman" w:hAnsi="Times New Roman" w:eastAsia="仿宋" w:cs="Times New Roman"/>
          <w:color w:val="auto"/>
          <w:sz w:val="32"/>
          <w:szCs w:val="32"/>
          <w:lang w:eastAsia="zh-CN"/>
        </w:rPr>
        <w:t>。</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color w:val="auto"/>
                <w:kern w:val="0"/>
                <w:sz w:val="32"/>
                <w:szCs w:val="32"/>
              </w:rPr>
            </w:pPr>
            <w:r>
              <w:rPr>
                <w:rFonts w:hint="eastAsia" w:ascii="宋体" w:hAnsi="宋体" w:cs="宋体"/>
                <w:b/>
                <w:bCs/>
                <w:color w:val="auto"/>
                <w:kern w:val="0"/>
                <w:sz w:val="32"/>
                <w:szCs w:val="32"/>
                <w:lang w:eastAsia="zh-CN"/>
              </w:rPr>
              <w:t>石家庄市鹿泉区医疗保障局</w:t>
            </w:r>
            <w:r>
              <w:rPr>
                <w:rFonts w:hint="eastAsia" w:ascii="宋体" w:hAnsi="宋体" w:cs="宋体"/>
                <w:b/>
                <w:bCs/>
                <w:color w:val="auto"/>
                <w:kern w:val="0"/>
                <w:sz w:val="32"/>
                <w:szCs w:val="32"/>
              </w:rPr>
              <w:t>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编制部门：</w:t>
            </w:r>
            <w:r>
              <w:rPr>
                <w:rFonts w:hint="eastAsia" w:ascii="Times New Roman" w:hAnsi="Times New Roman" w:eastAsia="仿宋" w:cs="Times New Roman"/>
                <w:color w:val="auto"/>
                <w:kern w:val="0"/>
                <w:sz w:val="22"/>
                <w:lang w:eastAsia="zh-CN"/>
              </w:rPr>
              <w:t>石家庄市鹿泉区医疗保障局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截止时间：201</w:t>
            </w:r>
            <w:r>
              <w:rPr>
                <w:rFonts w:hint="eastAsia" w:ascii="Times New Roman" w:hAnsi="Times New Roman" w:eastAsia="仿宋" w:cs="Times New Roman"/>
                <w:color w:val="auto"/>
                <w:kern w:val="0"/>
                <w:sz w:val="22"/>
                <w:lang w:val="en-US" w:eastAsia="zh-CN"/>
              </w:rPr>
              <w:t>9</w:t>
            </w:r>
            <w:r>
              <w:rPr>
                <w:rFonts w:ascii="Times New Roman" w:hAnsi="Times New Roman" w:eastAsia="仿宋" w:cs="Times New Roman"/>
                <w:color w:val="auto"/>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auto"/>
                <w:kern w:val="0"/>
                <w:sz w:val="22"/>
              </w:rPr>
            </w:pPr>
            <w:r>
              <w:rPr>
                <w:rFonts w:hint="eastAsia" w:ascii="宋体" w:hAnsi="宋体" w:cs="宋体"/>
                <w:b/>
                <w:bCs/>
                <w:color w:val="auto"/>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105.6</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0</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10.09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auto"/>
                <w:kern w:val="0"/>
                <w:sz w:val="22"/>
              </w:rPr>
            </w:pPr>
            <w:r>
              <w:rPr>
                <w:rFonts w:ascii="Times New Roman" w:hAnsi="Times New Roman" w:eastAsia="仿宋" w:cs="Times New Roman"/>
                <w:color w:val="auto"/>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auto"/>
                <w:kern w:val="0"/>
                <w:sz w:val="22"/>
                <w:lang w:val="en-US" w:eastAsia="zh-CN"/>
              </w:rPr>
            </w:pPr>
            <w:r>
              <w:rPr>
                <w:rFonts w:hint="eastAsia" w:ascii="Times New Roman" w:hAnsi="Times New Roman" w:eastAsia="仿宋" w:cs="Times New Roman"/>
                <w:color w:val="auto"/>
                <w:kern w:val="0"/>
                <w:sz w:val="22"/>
                <w:lang w:val="en-US" w:eastAsia="zh-CN"/>
              </w:rPr>
              <w:t>95.51</w:t>
            </w:r>
          </w:p>
        </w:tc>
      </w:tr>
    </w:tbl>
    <w:p>
      <w:pPr>
        <w:autoSpaceDE w:val="0"/>
        <w:autoSpaceDN w:val="0"/>
        <w:adjustRightInd w:val="0"/>
        <w:ind w:firstLine="640" w:firstLineChars="200"/>
        <w:jc w:val="left"/>
        <w:rPr>
          <w:rFonts w:hint="eastAsia" w:ascii="黑体" w:hAnsi="黑体" w:eastAsia="黑体" w:cs="Times New Roman"/>
          <w:color w:val="auto"/>
          <w:sz w:val="32"/>
          <w:szCs w:val="32"/>
        </w:rPr>
      </w:pPr>
    </w:p>
    <w:p>
      <w:pPr>
        <w:autoSpaceDE w:val="0"/>
        <w:autoSpaceDN w:val="0"/>
        <w:adjustRightInd w:val="0"/>
        <w:ind w:firstLine="640" w:firstLineChars="200"/>
        <w:jc w:val="left"/>
        <w:rPr>
          <w:rFonts w:hint="eastAsia" w:ascii="黑体" w:hAnsi="黑体" w:eastAsia="黑体" w:cs="Times New Roman"/>
          <w:color w:val="auto"/>
          <w:sz w:val="32"/>
          <w:szCs w:val="32"/>
        </w:rPr>
      </w:pPr>
    </w:p>
    <w:p>
      <w:pPr>
        <w:autoSpaceDE w:val="0"/>
        <w:autoSpaceDN w:val="0"/>
        <w:adjustRightInd w:val="0"/>
        <w:ind w:firstLine="640" w:firstLineChars="200"/>
        <w:jc w:val="left"/>
        <w:rPr>
          <w:rFonts w:hint="eastAsia" w:ascii="黑体" w:hAnsi="黑体" w:eastAsia="黑体" w:cs="Times New Roman"/>
          <w:color w:val="auto"/>
          <w:sz w:val="32"/>
          <w:szCs w:val="32"/>
        </w:r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Times New Roman"/>
          <w:color w:val="auto"/>
          <w:sz w:val="32"/>
          <w:szCs w:val="32"/>
        </w:rPr>
        <w:t>八、名词解释</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1、一般公共预算拨款收入：指</w:t>
      </w:r>
      <w:r>
        <w:rPr>
          <w:rFonts w:hint="eastAsia" w:ascii="Times New Roman" w:hAnsi="Times New Roman" w:eastAsia="仿宋" w:cs="Times New Roman"/>
          <w:color w:val="auto"/>
          <w:sz w:val="32"/>
          <w:szCs w:val="32"/>
          <w:lang w:eastAsia="zh-CN"/>
        </w:rPr>
        <w:t>区县级</w:t>
      </w:r>
      <w:r>
        <w:rPr>
          <w:rFonts w:hint="eastAsia" w:ascii="Times New Roman" w:hAnsi="Times New Roman" w:eastAsia="仿宋" w:cs="Times New Roman"/>
          <w:color w:val="auto"/>
          <w:sz w:val="32"/>
          <w:szCs w:val="32"/>
        </w:rPr>
        <w:t>财政当年拨付的资金。</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2、事业收入：指事业单位开展专业业务活动及辅助活动所取得的收入。</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6、上缴上级支出：指下级单位上缴上级的支出。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7、“三公”经费：纳入</w:t>
      </w:r>
      <w:r>
        <w:rPr>
          <w:rFonts w:hint="eastAsia" w:ascii="Times New Roman" w:hAnsi="Times New Roman" w:eastAsia="仿宋" w:cs="Times New Roman"/>
          <w:color w:val="auto"/>
          <w:sz w:val="32"/>
          <w:szCs w:val="32"/>
          <w:lang w:eastAsia="zh-CN"/>
        </w:rPr>
        <w:t>区县</w:t>
      </w:r>
      <w:r>
        <w:rPr>
          <w:rFonts w:hint="eastAsia" w:ascii="Times New Roman" w:hAnsi="Times New Roman" w:eastAsia="仿宋" w:cs="Times New Roman"/>
          <w:color w:val="auto"/>
          <w:sz w:val="32"/>
          <w:szCs w:val="32"/>
        </w:rPr>
        <w:t>级财政预算管理的“三公”经费，是指</w:t>
      </w:r>
      <w:r>
        <w:rPr>
          <w:rFonts w:hint="eastAsia" w:ascii="Times New Roman" w:hAnsi="Times New Roman" w:eastAsia="仿宋" w:cs="Times New Roman"/>
          <w:color w:val="auto"/>
          <w:sz w:val="32"/>
          <w:szCs w:val="32"/>
          <w:lang w:eastAsia="zh-CN"/>
        </w:rPr>
        <w:t>区县</w:t>
      </w:r>
      <w:r>
        <w:rPr>
          <w:rFonts w:hint="eastAsia" w:ascii="Times New Roman" w:hAnsi="Times New Roman" w:eastAsia="仿宋" w:cs="Times New Roman"/>
          <w:color w:val="auto"/>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9、上年结转：指以前年度尚未完成、结转到本年仍按原规定用途继续使用的资金。</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color w:val="auto"/>
          <w:sz w:val="32"/>
          <w:szCs w:val="32"/>
        </w:rPr>
      </w:pPr>
      <w:r>
        <w:rPr>
          <w:rFonts w:hint="eastAsia" w:ascii="宋体-方正超大字符集" w:hAnsi="宋体-方正超大字符集" w:eastAsia="宋体-方正超大字符集" w:cs="宋体-方正超大字符集"/>
          <w:b/>
          <w:bCs/>
          <w:color w:val="auto"/>
          <w:sz w:val="32"/>
          <w:szCs w:val="32"/>
        </w:rPr>
        <w:t>九、其他需要说明的事项</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宋体"/>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kN2U0ZTQwYWQ1M2ZjODZjNTM3YjhjZDNhODUzN2YifQ=="/>
  </w:docVars>
  <w:rsids>
    <w:rsidRoot w:val="00EE71BA"/>
    <w:rsid w:val="000C7140"/>
    <w:rsid w:val="00323B29"/>
    <w:rsid w:val="0039059E"/>
    <w:rsid w:val="007F0341"/>
    <w:rsid w:val="009A521C"/>
    <w:rsid w:val="00D607DA"/>
    <w:rsid w:val="00DC6EE5"/>
    <w:rsid w:val="00EE71BA"/>
    <w:rsid w:val="00F867E4"/>
    <w:rsid w:val="034A110A"/>
    <w:rsid w:val="034C4D0E"/>
    <w:rsid w:val="042033CE"/>
    <w:rsid w:val="056D17C0"/>
    <w:rsid w:val="06F8424A"/>
    <w:rsid w:val="08A26364"/>
    <w:rsid w:val="08F92B80"/>
    <w:rsid w:val="0912114D"/>
    <w:rsid w:val="09E913EF"/>
    <w:rsid w:val="0C951257"/>
    <w:rsid w:val="0CE11D26"/>
    <w:rsid w:val="0D1210B1"/>
    <w:rsid w:val="0E703026"/>
    <w:rsid w:val="0FF72091"/>
    <w:rsid w:val="102B58AF"/>
    <w:rsid w:val="102C762E"/>
    <w:rsid w:val="111F7A8D"/>
    <w:rsid w:val="13BB0754"/>
    <w:rsid w:val="15125358"/>
    <w:rsid w:val="15976CAE"/>
    <w:rsid w:val="174406AD"/>
    <w:rsid w:val="174616C3"/>
    <w:rsid w:val="1764659C"/>
    <w:rsid w:val="18AA796D"/>
    <w:rsid w:val="18D31D38"/>
    <w:rsid w:val="19313059"/>
    <w:rsid w:val="19493304"/>
    <w:rsid w:val="1AC03B9E"/>
    <w:rsid w:val="1B307334"/>
    <w:rsid w:val="1BFA44AC"/>
    <w:rsid w:val="1C1A1AC3"/>
    <w:rsid w:val="1D6728BD"/>
    <w:rsid w:val="1D6768F3"/>
    <w:rsid w:val="1EC0251D"/>
    <w:rsid w:val="1F151039"/>
    <w:rsid w:val="1FA94667"/>
    <w:rsid w:val="20D04B18"/>
    <w:rsid w:val="20E811C8"/>
    <w:rsid w:val="21865EC2"/>
    <w:rsid w:val="21B41052"/>
    <w:rsid w:val="21B916D5"/>
    <w:rsid w:val="21E76919"/>
    <w:rsid w:val="24AB1FA1"/>
    <w:rsid w:val="25480ABC"/>
    <w:rsid w:val="255366F5"/>
    <w:rsid w:val="259274C0"/>
    <w:rsid w:val="25954EBF"/>
    <w:rsid w:val="25F86316"/>
    <w:rsid w:val="26431570"/>
    <w:rsid w:val="273F0C86"/>
    <w:rsid w:val="28127792"/>
    <w:rsid w:val="282019A3"/>
    <w:rsid w:val="290F058F"/>
    <w:rsid w:val="29D71D89"/>
    <w:rsid w:val="2BF4166A"/>
    <w:rsid w:val="2C6829C6"/>
    <w:rsid w:val="2CA77720"/>
    <w:rsid w:val="2D314C7E"/>
    <w:rsid w:val="2DA95371"/>
    <w:rsid w:val="2DB37DE1"/>
    <w:rsid w:val="2E5973E3"/>
    <w:rsid w:val="2ECF0600"/>
    <w:rsid w:val="2F2F4F2F"/>
    <w:rsid w:val="300B6186"/>
    <w:rsid w:val="312F3FE5"/>
    <w:rsid w:val="3161561E"/>
    <w:rsid w:val="31C762AE"/>
    <w:rsid w:val="322E3A9D"/>
    <w:rsid w:val="33D710A2"/>
    <w:rsid w:val="33FB7946"/>
    <w:rsid w:val="3450748C"/>
    <w:rsid w:val="34C030F7"/>
    <w:rsid w:val="34C4223C"/>
    <w:rsid w:val="34CD50CC"/>
    <w:rsid w:val="34D40353"/>
    <w:rsid w:val="363C2779"/>
    <w:rsid w:val="367C12A3"/>
    <w:rsid w:val="36872581"/>
    <w:rsid w:val="36954AB1"/>
    <w:rsid w:val="381760EF"/>
    <w:rsid w:val="38C87801"/>
    <w:rsid w:val="390523DA"/>
    <w:rsid w:val="3C947211"/>
    <w:rsid w:val="3D2C0054"/>
    <w:rsid w:val="3E444E71"/>
    <w:rsid w:val="3F6E55EA"/>
    <w:rsid w:val="412556CA"/>
    <w:rsid w:val="413816AC"/>
    <w:rsid w:val="434D62FD"/>
    <w:rsid w:val="4498428B"/>
    <w:rsid w:val="462D3524"/>
    <w:rsid w:val="47A51B53"/>
    <w:rsid w:val="47CA1444"/>
    <w:rsid w:val="482D5D96"/>
    <w:rsid w:val="4A0E2B32"/>
    <w:rsid w:val="4A33298A"/>
    <w:rsid w:val="4AF12DC2"/>
    <w:rsid w:val="4BCF5E64"/>
    <w:rsid w:val="4C391795"/>
    <w:rsid w:val="4D0F0A85"/>
    <w:rsid w:val="4D146E30"/>
    <w:rsid w:val="4D18761D"/>
    <w:rsid w:val="4F420BE9"/>
    <w:rsid w:val="5044146B"/>
    <w:rsid w:val="51B06653"/>
    <w:rsid w:val="528F2A5B"/>
    <w:rsid w:val="52D75ECE"/>
    <w:rsid w:val="53190BE5"/>
    <w:rsid w:val="548F7D6B"/>
    <w:rsid w:val="54BC3884"/>
    <w:rsid w:val="553A3418"/>
    <w:rsid w:val="55C037E1"/>
    <w:rsid w:val="56870F2F"/>
    <w:rsid w:val="56DD239D"/>
    <w:rsid w:val="57442A85"/>
    <w:rsid w:val="58027E04"/>
    <w:rsid w:val="5A264968"/>
    <w:rsid w:val="5A5D5CEE"/>
    <w:rsid w:val="5AA56E1C"/>
    <w:rsid w:val="5C0D3A54"/>
    <w:rsid w:val="5C743DDC"/>
    <w:rsid w:val="5D004ADB"/>
    <w:rsid w:val="5F6D2CE0"/>
    <w:rsid w:val="5FFC5B2C"/>
    <w:rsid w:val="5FFF1D1E"/>
    <w:rsid w:val="60CB0C83"/>
    <w:rsid w:val="61C94C16"/>
    <w:rsid w:val="625E75C5"/>
    <w:rsid w:val="64947534"/>
    <w:rsid w:val="657E632B"/>
    <w:rsid w:val="66615183"/>
    <w:rsid w:val="66D10C0C"/>
    <w:rsid w:val="67AF2B9B"/>
    <w:rsid w:val="67C743FE"/>
    <w:rsid w:val="69D97875"/>
    <w:rsid w:val="6D400658"/>
    <w:rsid w:val="6E453F80"/>
    <w:rsid w:val="6E726F5E"/>
    <w:rsid w:val="6EE779B9"/>
    <w:rsid w:val="6F4341A2"/>
    <w:rsid w:val="70F849D8"/>
    <w:rsid w:val="728A271A"/>
    <w:rsid w:val="729C67B2"/>
    <w:rsid w:val="742A2FF5"/>
    <w:rsid w:val="746D56CD"/>
    <w:rsid w:val="758C004D"/>
    <w:rsid w:val="75E857AE"/>
    <w:rsid w:val="769C6C56"/>
    <w:rsid w:val="77F733FB"/>
    <w:rsid w:val="79603B06"/>
    <w:rsid w:val="79C25B6F"/>
    <w:rsid w:val="7B560982"/>
    <w:rsid w:val="7C480640"/>
    <w:rsid w:val="7C6F3DB3"/>
    <w:rsid w:val="7C801895"/>
    <w:rsid w:val="7D9110D7"/>
    <w:rsid w:val="7D997825"/>
    <w:rsid w:val="7DA85754"/>
    <w:rsid w:val="7E040B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9">
    <w:name w:val="Strong"/>
    <w:basedOn w:val="8"/>
    <w:qFormat/>
    <w:uiPriority w:val="0"/>
    <w:rPr>
      <w:b/>
      <w:bCs/>
    </w:rPr>
  </w:style>
  <w:style w:type="character" w:styleId="10">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qFormat/>
    <w:uiPriority w:val="0"/>
    <w:rPr>
      <w:rFonts w:ascii="Times New Roman" w:hAnsi="Times New Roman" w:eastAsia="宋体" w:cs="Times New Roman"/>
      <w:sz w:val="18"/>
      <w:szCs w:val="18"/>
    </w:rPr>
  </w:style>
  <w:style w:type="character" w:customStyle="1" w:styleId="16">
    <w:name w:val="apple-converted-space"/>
    <w:basedOn w:val="8"/>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3</TotalTime>
  <ScaleCrop>false</ScaleCrop>
  <LinksUpToDate>false</LinksUpToDate>
  <CharactersWithSpaces>8841</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123</cp:lastModifiedBy>
  <cp:lastPrinted>2020-01-10T15:53:00Z</cp:lastPrinted>
  <dcterms:modified xsi:type="dcterms:W3CDTF">2024-11-25T07:50:06Z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7C5BA68BE7FB4C0AB340B2B49DA5B424</vt:lpwstr>
  </property>
</Properties>
</file>