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bmp" ContentType="image/bmp"/>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drawing>
          <wp:anchor distT="0" distB="0" distL="114300" distR="114300" simplePos="0" relativeHeight="251659264" behindDoc="0" locked="0" layoutInCell="1" allowOverlap="1">
            <wp:simplePos x="0" y="0"/>
            <wp:positionH relativeFrom="column">
              <wp:posOffset>-1059180</wp:posOffset>
            </wp:positionH>
            <wp:positionV relativeFrom="page">
              <wp:posOffset>-8255</wp:posOffset>
            </wp:positionV>
            <wp:extent cx="7559040" cy="10692130"/>
            <wp:effectExtent l="0" t="0" r="3810" b="0"/>
            <wp:wrapNone/>
            <wp:docPr id="5" name="图片 5" descr="公开封面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公开封面2"/>
                    <pic:cNvPicPr>
                      <a:picLocks noChangeAspect="1"/>
                    </pic:cNvPicPr>
                  </pic:nvPicPr>
                  <pic:blipFill>
                    <a:blip r:embed="rId10"/>
                    <a:srcRect l="344" t="-1134" r="-344" b="1140"/>
                    <a:stretch>
                      <a:fillRect/>
                    </a:stretch>
                  </pic:blipFill>
                  <pic:spPr>
                    <a:xfrm>
                      <a:off x="0" y="0"/>
                      <a:ext cx="7559040" cy="10692130"/>
                    </a:xfrm>
                    <a:prstGeom prst="rect">
                      <a:avLst/>
                    </a:prstGeom>
                  </pic:spPr>
                </pic:pic>
              </a:graphicData>
            </a:graphic>
          </wp:anchor>
        </w:drawing>
      </w:r>
      <w:r>
        <w:rPr>
          <w:sz w:val="21"/>
        </w:rPr>
        <mc:AlternateContent>
          <mc:Choice Requires="wps">
            <w:drawing>
              <wp:anchor distT="0" distB="0" distL="114300" distR="114300" simplePos="0" relativeHeight="251667456" behindDoc="0" locked="0" layoutInCell="1" allowOverlap="1">
                <wp:simplePos x="0" y="0"/>
                <wp:positionH relativeFrom="column">
                  <wp:posOffset>1080770</wp:posOffset>
                </wp:positionH>
                <wp:positionV relativeFrom="paragraph">
                  <wp:posOffset>7818120</wp:posOffset>
                </wp:positionV>
                <wp:extent cx="3169285" cy="631825"/>
                <wp:effectExtent l="0" t="0" r="12065" b="15875"/>
                <wp:wrapNone/>
                <wp:docPr id="4" name="文本框 4"/>
                <wp:cNvGraphicFramePr/>
                <a:graphic xmlns:a="http://schemas.openxmlformats.org/drawingml/2006/main">
                  <a:graphicData uri="http://schemas.microsoft.com/office/word/2010/wordprocessingShape">
                    <wps:wsp>
                      <wps:cNvSpPr txBox="1"/>
                      <wps:spPr>
                        <a:xfrm>
                          <a:off x="2329815" y="9297670"/>
                          <a:ext cx="3169285" cy="631825"/>
                        </a:xfrm>
                        <a:prstGeom prst="rect">
                          <a:avLst/>
                        </a:prstGeom>
                        <a:solidFill>
                          <a:schemeClr val="bg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Theme="minorEastAsia"/>
                                <w:sz w:val="160"/>
                                <w:szCs w:val="200"/>
                                <w:lang w:val="en-US" w:eastAsia="zh-CN"/>
                              </w:rPr>
                            </w:pPr>
                            <w:r>
                              <w:rPr>
                                <w:rFonts w:hint="eastAsia"/>
                                <w:sz w:val="56"/>
                                <w:szCs w:val="96"/>
                                <w:lang w:val="en-US" w:eastAsia="zh-CN"/>
                              </w:rPr>
                              <w:t>2021年10月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1pt;margin-top:615.6pt;height:49.75pt;width:249.55pt;z-index:251667456;mso-width-relative:page;mso-height-relative:page;" fillcolor="#FFFFFF [3212]" filled="t" stroked="f" coordsize="21600,21600" o:gfxdata="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Bj6KYvW&#10;AAAADQEAAA8AAAAAAAAAAQAgAAAAIgAAAGRycy9kb3ducmV2LnhtbFBLAQIUABQAAAAIAIdO4kC4&#10;FFb8WwIAAJsEAAAOAAAAAAAAAAEAIAAAACUBAABkcnMvZTJvRG9jLnhtbFBLBQYAAAAABgAGAFkB&#10;AADyBQAAAAA=&#10;">
                <v:fill on="t" focussize="0,0"/>
                <v:stroke on="f" weight="0.5pt"/>
                <v:imagedata o:title=""/>
                <o:lock v:ext="edit" aspectratio="f"/>
                <v:textbox>
                  <w:txbxContent>
                    <w:p>
                      <w:pPr>
                        <w:jc w:val="center"/>
                        <w:rPr>
                          <w:rFonts w:hint="default" w:eastAsiaTheme="minorEastAsia"/>
                          <w:sz w:val="160"/>
                          <w:szCs w:val="200"/>
                          <w:lang w:val="en-US" w:eastAsia="zh-CN"/>
                        </w:rPr>
                      </w:pPr>
                      <w:r>
                        <w:rPr>
                          <w:rFonts w:hint="eastAsia"/>
                          <w:sz w:val="56"/>
                          <w:szCs w:val="96"/>
                          <w:lang w:val="en-US" w:eastAsia="zh-CN"/>
                        </w:rPr>
                        <w:t>2021年10月</w:t>
                      </w:r>
                    </w:p>
                  </w:txbxContent>
                </v:textbox>
              </v:shape>
            </w:pict>
          </mc:Fallback>
        </mc:AlternateContent>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1100" w:lineRule="exact"/>
        <w:jc w:val="center"/>
        <w:rPr>
          <w:rFonts w:ascii="黑体" w:hAnsi="黑体" w:eastAsia="黑体" w:cs="黑体"/>
          <w:sz w:val="52"/>
          <w:szCs w:val="52"/>
        </w:rPr>
      </w:pPr>
      <w:r>
        <w:rPr>
          <w:rFonts w:hint="eastAsia" w:ascii="黑体" w:hAnsi="黑体" w:eastAsia="黑体" w:cs="黑体"/>
          <w:sz w:val="52"/>
          <w:szCs w:val="52"/>
        </w:rPr>
        <w:t>石家庄市鹿泉区黄壁庄镇人民政府</w:t>
      </w:r>
    </w:p>
    <w:p>
      <w:pPr>
        <w:snapToGrid w:val="0"/>
        <w:spacing w:line="640" w:lineRule="exact"/>
        <w:jc w:val="cente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二〇二一年十月</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九日</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pacing w:line="1100" w:lineRule="exact"/>
        <w:jc w:val="center"/>
        <w:rPr>
          <w:rFonts w:ascii="黑体" w:hAnsi="黑体" w:eastAsia="黑体" w:cs="黑体"/>
          <w:sz w:val="72"/>
          <w:szCs w:val="96"/>
        </w:rPr>
      </w:pPr>
      <w:r>
        <w:rPr>
          <w:rFonts w:hint="eastAsia" w:ascii="黑体" w:hAnsi="黑体" w:eastAsia="黑体" w:cs="黑体"/>
          <w:sz w:val="72"/>
          <w:szCs w:val="96"/>
        </w:rPr>
        <w:t>石家庄市鹿泉区</w:t>
      </w:r>
    </w:p>
    <w:p>
      <w:pPr>
        <w:spacing w:line="1100" w:lineRule="exact"/>
        <w:jc w:val="center"/>
        <w:rPr>
          <w:rFonts w:ascii="黑体" w:hAnsi="黑体" w:eastAsia="黑体" w:cs="黑体"/>
          <w:sz w:val="72"/>
          <w:szCs w:val="96"/>
        </w:rPr>
      </w:pPr>
      <w:r>
        <w:rPr>
          <w:rFonts w:hint="eastAsia" w:ascii="黑体" w:hAnsi="黑体" w:eastAsia="黑体" w:cs="黑体"/>
          <w:sz w:val="72"/>
          <w:szCs w:val="96"/>
        </w:rPr>
        <w:t>黄壁庄镇人民政府</w:t>
      </w:r>
    </w:p>
    <w:p>
      <w:pPr>
        <w:spacing w:line="1100" w:lineRule="exact"/>
        <w:jc w:val="cente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黑体" w:hAnsi="黑体" w:eastAsia="黑体" w:cs="黑体"/>
          <w:sz w:val="56"/>
          <w:szCs w:val="72"/>
        </w:rPr>
      </w:pPr>
    </w:p>
    <w:p>
      <w:pPr>
        <w:snapToGrid w:val="0"/>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二〇二一年十月</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九日</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0288"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0288;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ascii="仿宋_GB2312" w:hAnsi="仿宋_GB2312" w:eastAsia="仿宋_GB2312" w:cs="仿宋_GB2312"/>
          <w:sz w:val="32"/>
          <w:szCs w:val="32"/>
        </w:rPr>
      </w:pPr>
      <w:r>
        <w:rPr>
          <w:rFonts w:hint="eastAsia" w:ascii="仿宋_GB2312" w:eastAsia="仿宋_GB2312" w:cs="Arial Black"/>
          <w:kern w:val="0"/>
          <w:sz w:val="32"/>
          <w:szCs w:val="32"/>
        </w:rPr>
        <w:t>（一）</w:t>
      </w:r>
      <w:r>
        <w:rPr>
          <w:rFonts w:hint="eastAsia" w:ascii="仿宋" w:hAnsi="仿宋" w:eastAsia="仿宋" w:cs="宋体"/>
          <w:b/>
          <w:kern w:val="0"/>
          <w:sz w:val="32"/>
          <w:szCs w:val="32"/>
        </w:rPr>
        <w:t>机关事务管理</w:t>
      </w:r>
      <w:r>
        <w:rPr>
          <w:rFonts w:hint="eastAsia" w:ascii="仿宋" w:hAnsi="仿宋" w:eastAsia="仿宋" w:cs="宋体"/>
          <w:kern w:val="0"/>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p>
      <w:pPr>
        <w:widowControl/>
        <w:spacing w:line="600" w:lineRule="exact"/>
        <w:ind w:firstLine="630"/>
        <w:jc w:val="left"/>
        <w:rPr>
          <w:rFonts w:ascii="仿宋" w:hAnsi="仿宋" w:eastAsia="仿宋" w:cs="宋体"/>
          <w:b/>
          <w:kern w:val="0"/>
          <w:sz w:val="32"/>
          <w:szCs w:val="32"/>
        </w:rPr>
      </w:pPr>
      <w:r>
        <w:rPr>
          <w:rFonts w:hint="eastAsia" w:ascii="仿宋" w:hAnsi="仿宋" w:eastAsia="仿宋" w:cs="宋体"/>
          <w:b/>
          <w:kern w:val="0"/>
          <w:sz w:val="32"/>
          <w:szCs w:val="32"/>
        </w:rPr>
        <w:t>（二）农业综合服务。</w:t>
      </w:r>
      <w:r>
        <w:rPr>
          <w:rFonts w:hint="eastAsia" w:ascii="仿宋" w:hAnsi="仿宋" w:eastAsia="仿宋" w:cs="宋体"/>
          <w:kern w:val="0"/>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600" w:lineRule="exact"/>
        <w:ind w:firstLine="630"/>
        <w:jc w:val="left"/>
        <w:rPr>
          <w:rFonts w:ascii="仿宋" w:hAnsi="仿宋" w:eastAsia="仿宋" w:cs="宋体"/>
          <w:kern w:val="0"/>
          <w:sz w:val="32"/>
          <w:szCs w:val="32"/>
        </w:rPr>
      </w:pPr>
      <w:r>
        <w:rPr>
          <w:rFonts w:hint="eastAsia" w:ascii="仿宋" w:hAnsi="仿宋" w:eastAsia="仿宋" w:cs="宋体"/>
          <w:b/>
          <w:kern w:val="0"/>
          <w:sz w:val="32"/>
          <w:szCs w:val="32"/>
        </w:rPr>
        <w:t>（三）卫生计生服务</w:t>
      </w:r>
      <w:r>
        <w:rPr>
          <w:rFonts w:hint="eastAsia" w:ascii="仿宋" w:hAnsi="仿宋" w:eastAsia="仿宋" w:cs="宋体"/>
          <w:kern w:val="0"/>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600" w:lineRule="exact"/>
        <w:ind w:firstLine="630"/>
        <w:jc w:val="left"/>
        <w:rPr>
          <w:rFonts w:ascii="方正小标宋_GBK" w:hAnsi="宋体" w:eastAsia="方正小标宋_GBK"/>
          <w:sz w:val="44"/>
          <w:szCs w:val="44"/>
        </w:rPr>
      </w:pPr>
      <w:r>
        <w:rPr>
          <w:rFonts w:hint="eastAsia" w:ascii="仿宋" w:hAnsi="仿宋" w:eastAsia="仿宋" w:cs="宋体"/>
          <w:b/>
          <w:kern w:val="0"/>
          <w:sz w:val="32"/>
          <w:szCs w:val="32"/>
        </w:rPr>
        <w:t>（四）文化综治服务。</w:t>
      </w:r>
      <w:r>
        <w:rPr>
          <w:rFonts w:hint="eastAsia" w:ascii="仿宋" w:hAnsi="仿宋" w:eastAsia="仿宋" w:cs="宋体"/>
          <w:kern w:val="0"/>
          <w:sz w:val="32"/>
          <w:szCs w:val="32"/>
        </w:rPr>
        <w:t>负责群众文化娱乐、体育活动、广播电视村村通等工作。</w:t>
      </w:r>
    </w:p>
    <w:p>
      <w:pPr>
        <w:pStyle w:val="8"/>
        <w:spacing w:line="600" w:lineRule="exact"/>
        <w:ind w:firstLine="643" w:firstLineChars="200"/>
        <w:jc w:val="both"/>
        <w:rPr>
          <w:rFonts w:ascii="仿宋" w:hAnsi="仿宋" w:eastAsia="仿宋"/>
          <w:sz w:val="32"/>
          <w:szCs w:val="32"/>
          <w:lang w:eastAsia="zh-CN"/>
        </w:rPr>
      </w:pPr>
      <w:r>
        <w:rPr>
          <w:rFonts w:hint="eastAsia" w:ascii="仿宋" w:hAnsi="仿宋" w:eastAsia="仿宋"/>
          <w:b/>
          <w:sz w:val="32"/>
          <w:szCs w:val="32"/>
          <w:lang w:eastAsia="zh-CN"/>
        </w:rPr>
        <w:t>（五）社会保障服务。</w:t>
      </w:r>
      <w:r>
        <w:rPr>
          <w:rFonts w:hint="eastAsia" w:ascii="仿宋" w:hAnsi="仿宋" w:eastAsia="仿宋"/>
          <w:sz w:val="32"/>
          <w:szCs w:val="32"/>
          <w:lang w:eastAsia="zh-CN"/>
        </w:rPr>
        <w:t>配合劳动保障部门做好劳动法的宣传贯彻、劳动就业、社会保障等工作。配合安全生产监督管理部门做好安全生产监督管理等工作。</w:t>
      </w:r>
    </w:p>
    <w:p>
      <w:pPr>
        <w:pStyle w:val="8"/>
        <w:spacing w:line="600" w:lineRule="exact"/>
        <w:ind w:firstLine="640" w:firstLineChars="200"/>
        <w:jc w:val="both"/>
        <w:rPr>
          <w:rFonts w:ascii="仿宋" w:hAnsi="仿宋" w:eastAsia="仿宋"/>
          <w:sz w:val="32"/>
          <w:szCs w:val="32"/>
          <w:lang w:eastAsia="zh-CN"/>
        </w:rPr>
      </w:pPr>
      <w:r>
        <w:rPr>
          <w:rFonts w:hint="eastAsia" w:ascii="黑体" w:hAnsi="Calibri" w:eastAsia="黑体" w:cs="黑体"/>
          <w:sz w:val="32"/>
          <w:szCs w:val="32"/>
          <w:lang w:eastAsia="zh-CN"/>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年度黄壁庄镇人民政府决算汇编范围的独立核算单位（以下简称“单位”）共1个，具体情况如下：</w:t>
      </w:r>
    </w:p>
    <w:p/>
    <w:tbl>
      <w:tblPr>
        <w:tblStyle w:val="6"/>
        <w:tblpPr w:leftFromText="180" w:rightFromText="180" w:vertAnchor="text" w:horzAnchor="margin" w:tblpY="33"/>
        <w:tblOverlap w:val="never"/>
        <w:tblW w:w="87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239"/>
        <w:gridCol w:w="2272"/>
        <w:gridCol w:w="2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trPr>
        <w:tc>
          <w:tcPr>
            <w:tcW w:w="787"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23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27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47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trPr>
        <w:tc>
          <w:tcPr>
            <w:tcW w:w="787" w:type="dxa"/>
          </w:tcPr>
          <w:p>
            <w:pPr>
              <w:spacing w:line="560" w:lineRule="exact"/>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w:t>
            </w:r>
          </w:p>
        </w:tc>
        <w:tc>
          <w:tcPr>
            <w:tcW w:w="3239" w:type="dxa"/>
            <w:vAlign w:val="center"/>
          </w:tcPr>
          <w:p>
            <w:pPr>
              <w:spacing w:line="300" w:lineRule="exact"/>
              <w:jc w:val="left"/>
              <w:rPr>
                <w:rFonts w:hint="eastAsia" w:ascii="仿宋" w:hAnsi="仿宋" w:eastAsia="仿宋" w:cs="仿宋"/>
                <w:kern w:val="0"/>
                <w:sz w:val="28"/>
                <w:szCs w:val="28"/>
              </w:rPr>
            </w:pPr>
            <w:r>
              <w:rPr>
                <w:rFonts w:hint="eastAsia" w:ascii="仿宋" w:hAnsi="仿宋" w:eastAsia="仿宋" w:cs="仿宋"/>
                <w:kern w:val="0"/>
                <w:sz w:val="28"/>
                <w:szCs w:val="28"/>
              </w:rPr>
              <w:t>石家庄市鹿泉区黄壁庄镇人民政府</w:t>
            </w:r>
          </w:p>
        </w:tc>
        <w:tc>
          <w:tcPr>
            <w:tcW w:w="2272" w:type="dxa"/>
            <w:vAlign w:val="center"/>
          </w:tcPr>
          <w:p>
            <w:pPr>
              <w:spacing w:line="560" w:lineRule="exact"/>
              <w:jc w:val="center"/>
              <w:rPr>
                <w:rFonts w:hint="eastAsia" w:ascii="仿宋" w:hAnsi="仿宋" w:eastAsia="仿宋" w:cs="仿宋"/>
                <w:kern w:val="0"/>
                <w:sz w:val="28"/>
                <w:szCs w:val="28"/>
              </w:rPr>
            </w:pPr>
            <w:r>
              <w:rPr>
                <w:rFonts w:hint="eastAsia" w:ascii="仿宋" w:hAnsi="仿宋" w:eastAsia="仿宋" w:cs="仿宋"/>
                <w:sz w:val="28"/>
                <w:szCs w:val="28"/>
              </w:rPr>
              <w:t>行政</w:t>
            </w:r>
          </w:p>
        </w:tc>
        <w:tc>
          <w:tcPr>
            <w:tcW w:w="2479" w:type="dxa"/>
            <w:vAlign w:val="center"/>
          </w:tcPr>
          <w:p>
            <w:pPr>
              <w:spacing w:line="300" w:lineRule="exact"/>
              <w:jc w:val="center"/>
              <w:rPr>
                <w:rFonts w:ascii="仿宋_GB2312" w:hAnsi="仿宋_GB2312" w:eastAsia="仿宋_GB2312" w:cs="仿宋_GB2312"/>
                <w:szCs w:val="21"/>
              </w:rPr>
            </w:pPr>
            <w:r>
              <w:rPr>
                <w:rFonts w:hint="eastAsia" w:ascii="仿宋_GB2312" w:eastAsia="仿宋_GB2312" w:cs="ArialUnicodeMS"/>
                <w:kern w:val="0"/>
                <w:sz w:val="28"/>
                <w:szCs w:val="28"/>
              </w:rPr>
              <w:t>财政拨款</w:t>
            </w:r>
          </w:p>
        </w:tc>
      </w:tr>
    </w:tbl>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黄壁庄镇人民政府2020年度收、支总计（含结转和结余）2100.76万元。与2019年度决算相比，收支各增加200.06万元，增长10.53%（如图），主要原因是本年承担项目的资金支出规模较上年有所增加。</w:t>
      </w:r>
    </w:p>
    <w:p>
      <w:pPr>
        <w:adjustRightInd w:val="0"/>
        <w:snapToGrid w:val="0"/>
        <w:spacing w:line="600" w:lineRule="exact"/>
        <w:rPr>
          <w:rFonts w:ascii="仿宋_GB2312" w:hAnsi="Times New Roman" w:eastAsia="仿宋_GB2312" w:cs="Wingdings"/>
          <w:sz w:val="32"/>
          <w:szCs w:val="32"/>
        </w:rPr>
      </w:pPr>
      <w:r>
        <w:rPr>
          <w:sz w:val="32"/>
        </w:rPr>
        <mc:AlternateContent>
          <mc:Choice Requires="wpg">
            <w:drawing>
              <wp:anchor distT="0" distB="0" distL="114300" distR="114300" simplePos="0" relativeHeight="251666432" behindDoc="0" locked="0" layoutInCell="1" allowOverlap="1">
                <wp:simplePos x="0" y="0"/>
                <wp:positionH relativeFrom="column">
                  <wp:posOffset>354330</wp:posOffset>
                </wp:positionH>
                <wp:positionV relativeFrom="paragraph">
                  <wp:posOffset>135890</wp:posOffset>
                </wp:positionV>
                <wp:extent cx="5219700" cy="3215640"/>
                <wp:effectExtent l="0" t="0" r="7620" b="15240"/>
                <wp:wrapNone/>
                <wp:docPr id="34" name="组合 34"/>
                <wp:cNvGraphicFramePr/>
                <a:graphic xmlns:a="http://schemas.openxmlformats.org/drawingml/2006/main">
                  <a:graphicData uri="http://schemas.microsoft.com/office/word/2010/wordprocessingGroup">
                    <wpg:wgp>
                      <wpg:cNvGrpSpPr/>
                      <wpg:grpSpPr>
                        <a:xfrm>
                          <a:off x="0" y="0"/>
                          <a:ext cx="5219700" cy="3215640"/>
                          <a:chOff x="6793" y="126042"/>
                          <a:chExt cx="8220" cy="5064"/>
                        </a:xfrm>
                      </wpg:grpSpPr>
                      <wpg:graphicFrame>
                        <wpg:cNvPr id="27" name="图表 27"/>
                        <wpg:cNvFrPr/>
                        <wpg:xfrm>
                          <a:off x="6793" y="126042"/>
                          <a:ext cx="8220" cy="4905"/>
                        </wpg:xfrm>
                        <a:graphic>
                          <a:graphicData uri="http://schemas.openxmlformats.org/drawingml/2006/chart">
                            <c:chart xmlns:c="http://schemas.openxmlformats.org/drawingml/2006/chart" xmlns:r="http://schemas.openxmlformats.org/officeDocument/2006/relationships" r:id="rId12"/>
                          </a:graphicData>
                        </a:graphic>
                      </wpg:graphicFrame>
                      <wps:wsp>
                        <wps:cNvPr id="33" name="文本框 33"/>
                        <wps:cNvSpPr txBox="1"/>
                        <wps:spPr>
                          <a:xfrm>
                            <a:off x="7418" y="130492"/>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400" w:lineRule="exact"/>
                                <w:jc w:val="center"/>
                                <w:rPr>
                                  <w:rFonts w:hint="eastAsia" w:ascii="楷体_GB2312" w:hAnsi="楷体_GB2312" w:eastAsia="楷体_GB2312" w:cs="楷体_GB2312"/>
                                  <w:sz w:val="28"/>
                                  <w:szCs w:val="28"/>
                                  <w:lang w:eastAsia="zh-CN"/>
                                </w:rPr>
                              </w:pPr>
                              <w:r>
                                <w:rPr>
                                  <w:rFonts w:hint="eastAsia" w:ascii="楷体_GB2312" w:hAnsi="楷体_GB2312" w:eastAsia="楷体_GB2312" w:cs="楷体_GB2312"/>
                                  <w:sz w:val="28"/>
                                  <w:szCs w:val="28"/>
                                </w:rPr>
                                <w:t>图1：2019-2020年收支总计对比情况</w:t>
                              </w:r>
                              <w:r>
                                <w:rPr>
                                  <w:rFonts w:hint="eastAsia" w:ascii="楷体_GB2312" w:hAnsi="楷体_GB2312" w:eastAsia="楷体_GB2312" w:cs="楷体_GB2312"/>
                                  <w:sz w:val="28"/>
                                  <w:szCs w:val="28"/>
                                  <w:lang w:eastAsia="zh-CN"/>
                                </w:rPr>
                                <w:t>（万元）</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27.9pt;margin-top:10.7pt;height:253.2pt;width:411pt;z-index:251666432;mso-width-relative:page;mso-height-relative:page;" coordorigin="6793,126042" coordsize="8220,5064" o:gfxdata="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">
                <o:lock v:ext="edit" aspectratio="f"/>
                <v:rect id="_x0000_s1026" o:spid="_x0000_s1026" o:spt="75" style="position:absolute;left:6793;top:126042;height:4905;width:8220;" coordsize="21600,21600" o:gfxdata="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vZ5cbgAAADbAAAA&#10;DwAAAAAAAAABACAAAAAiAAAAZHJzL2Rvd25yZXYueG1sUEsBAhQAFAAAAAgAh07iQDMvBZ47AAAA&#10;OQAAABAAAAAAAAAAAQAgAAAABwEAAGRycy9zaGFwZXhtbC54bWxQSwUGAAAAAAYABgBbAQAAsQMA&#10;AAAA&#10;">
                  <v:imagedata r:id="rId13" o:title=""/>
                  <o:lock v:ext="edit"/>
                </v:rect>
                <v:shape id="_x0000_s1026" o:spid="_x0000_s1026" o:spt="202" type="#_x0000_t202" style="position:absolute;left:7418;top:130492;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adjustRightInd w:val="0"/>
                          <w:snapToGrid w:val="0"/>
                          <w:spacing w:after="160" w:line="400" w:lineRule="exact"/>
                          <w:jc w:val="center"/>
                          <w:rPr>
                            <w:rFonts w:hint="eastAsia" w:ascii="楷体_GB2312" w:hAnsi="楷体_GB2312" w:eastAsia="楷体_GB2312" w:cs="楷体_GB2312"/>
                            <w:sz w:val="28"/>
                            <w:szCs w:val="28"/>
                            <w:lang w:eastAsia="zh-CN"/>
                          </w:rPr>
                        </w:pPr>
                        <w:r>
                          <w:rPr>
                            <w:rFonts w:hint="eastAsia" w:ascii="楷体_GB2312" w:hAnsi="楷体_GB2312" w:eastAsia="楷体_GB2312" w:cs="楷体_GB2312"/>
                            <w:sz w:val="28"/>
                            <w:szCs w:val="28"/>
                          </w:rPr>
                          <w:t>图1：2019-2020年收支总计对比情况</w:t>
                        </w:r>
                        <w:r>
                          <w:rPr>
                            <w:rFonts w:hint="eastAsia" w:ascii="楷体_GB2312" w:hAnsi="楷体_GB2312" w:eastAsia="楷体_GB2312" w:cs="楷体_GB2312"/>
                            <w:sz w:val="28"/>
                            <w:szCs w:val="28"/>
                            <w:lang w:eastAsia="zh-CN"/>
                          </w:rPr>
                          <w:t>（万元）</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rPr>
          <w:rFonts w:ascii="黑体" w:hAnsi="Calibri" w:eastAsia="黑体" w:cs="Times New Roman"/>
          <w:sz w:val="32"/>
          <w:szCs w:val="32"/>
        </w:rPr>
      </w:pPr>
    </w:p>
    <w:p>
      <w:pPr>
        <w:rPr>
          <w:rFonts w:ascii="黑体" w:hAnsi="Calibri" w:eastAsia="黑体" w:cs="Times New Roman"/>
          <w:sz w:val="32"/>
          <w:szCs w:val="32"/>
        </w:rPr>
      </w:pPr>
    </w:p>
    <w:p>
      <w:pPr>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黄壁庄镇人民政府2020年度本年收入合计2100.75万元，其中：财政拨款收入1854.33万元，其他收入246.42万元。</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按功能分类看：一般公共服务支出978.74万元，占总支出的46.59%；社会保障和就业支出34.37万元，占总支出的1.64%；卫生健康支出64.26万元，占总支出的3.06%；节能环保支出410.47万元，占总支出的19.54%；城乡社区支出90.26万元，占总支出的4.3%；农林水支出505.22万元，占总支出的24.05%；资源勘探工业信息等支出17.43万元，占总支出的0.82%（见图）。</w:t>
      </w: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68480" behindDoc="1" locked="0" layoutInCell="1" allowOverlap="1">
            <wp:simplePos x="0" y="0"/>
            <wp:positionH relativeFrom="column">
              <wp:posOffset>366395</wp:posOffset>
            </wp:positionH>
            <wp:positionV relativeFrom="paragraph">
              <wp:posOffset>21590</wp:posOffset>
            </wp:positionV>
            <wp:extent cx="5080000" cy="3810000"/>
            <wp:effectExtent l="4445" t="4445" r="20955" b="14605"/>
            <wp:wrapTight wrapText="bothSides">
              <wp:wrapPolygon>
                <wp:start x="-19" y="-25"/>
                <wp:lineTo x="-19" y="21575"/>
                <wp:lineTo x="21527" y="21575"/>
                <wp:lineTo x="21527" y="-25"/>
                <wp:lineTo x="-19" y="-25"/>
              </wp:wrapPolygon>
            </wp:wrapTight>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hint="eastAsia" w:ascii="仿宋_GB2312" w:hAnsi="Times New Roman" w:eastAsia="仿宋_GB2312" w:cs="Wingdings"/>
          <w:sz w:val="32"/>
          <w:szCs w:val="32"/>
          <w:lang w:eastAsia="zh-CN"/>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snapToGrid w:val="0"/>
        <w:spacing w:line="600" w:lineRule="exact"/>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outlineLvl w:val="1"/>
        <w:rPr>
          <w:rFonts w:hint="eastAsia"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黄壁庄镇人民政府2020年度本年支出合计2076.18万元，按支出性质看，基本支出1034.06万元，占全部支出的49.81%，其中人员经费支出572.56万元，占27.58%，公用经费支出461.5万元，占22.23%；项目支出1042.12万元，占50.19%（见图）。</w:t>
      </w:r>
    </w:p>
    <w:p>
      <w:pPr>
        <w:adjustRightInd w:val="0"/>
        <w:snapToGrid w:val="0"/>
        <w:spacing w:after="160" w:line="400" w:lineRule="exact"/>
        <w:jc w:val="center"/>
        <w:rPr>
          <w:rFonts w:hint="eastAsia" w:ascii="楷体_GB2312" w:hAnsi="楷体_GB2312" w:eastAsia="楷体_GB2312" w:cs="楷体_GB2312"/>
          <w:sz w:val="28"/>
          <w:szCs w:val="28"/>
          <w:lang w:eastAsia="zh-CN"/>
        </w:rPr>
      </w:pPr>
      <w:r>
        <w:rPr>
          <w:rFonts w:hint="eastAsia" w:ascii="楷体_GB2312" w:hAnsi="楷体_GB2312" w:eastAsia="楷体_GB2312" w:cs="楷体_GB2312"/>
          <w:sz w:val="28"/>
          <w:szCs w:val="28"/>
          <w:lang w:eastAsia="zh-CN"/>
        </w:rPr>
        <w:drawing>
          <wp:anchor distT="0" distB="0" distL="114300" distR="114300" simplePos="0" relativeHeight="251669504" behindDoc="1" locked="0" layoutInCell="1" allowOverlap="1">
            <wp:simplePos x="0" y="0"/>
            <wp:positionH relativeFrom="column">
              <wp:posOffset>242570</wp:posOffset>
            </wp:positionH>
            <wp:positionV relativeFrom="paragraph">
              <wp:posOffset>282575</wp:posOffset>
            </wp:positionV>
            <wp:extent cx="5080000" cy="3810000"/>
            <wp:effectExtent l="4445" t="4445" r="20955" b="14605"/>
            <wp:wrapTight wrapText="bothSides">
              <wp:wrapPolygon>
                <wp:start x="-19" y="-25"/>
                <wp:lineTo x="-19" y="21575"/>
                <wp:lineTo x="21527" y="21575"/>
                <wp:lineTo x="21527" y="-25"/>
                <wp:lineTo x="-19" y="-25"/>
              </wp:wrapPolygon>
            </wp:wrapTight>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adjustRightInd w:val="0"/>
        <w:snapToGrid w:val="0"/>
        <w:spacing w:after="160" w:line="400" w:lineRule="exact"/>
        <w:jc w:val="center"/>
        <w:rPr>
          <w:rFonts w:hint="eastAsia" w:ascii="楷体_GB2312" w:hAnsi="楷体_GB2312" w:eastAsia="楷体_GB2312" w:cs="楷体_GB2312"/>
          <w:sz w:val="28"/>
          <w:szCs w:val="28"/>
        </w:rPr>
      </w:pPr>
    </w:p>
    <w:p>
      <w:pPr>
        <w:keepNext/>
        <w:keepLines/>
        <w:snapToGrid w:val="0"/>
        <w:spacing w:line="600" w:lineRule="exact"/>
        <w:outlineLvl w:val="1"/>
        <w:rPr>
          <w:rFonts w:hint="eastAsia" w:ascii="黑体" w:hAnsi="Calibri" w:eastAsia="黑体" w:cs="Times New Roman"/>
          <w:sz w:val="32"/>
          <w:szCs w:val="32"/>
        </w:rPr>
      </w:pPr>
    </w:p>
    <w:p>
      <w:pPr>
        <w:keepNext/>
        <w:keepLines/>
        <w:snapToGrid w:val="0"/>
        <w:spacing w:line="600" w:lineRule="exact"/>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黄壁庄镇人民政府2020年度形成的财政拨款收支为1854.35万元，其中：一般公共预算财政拨款收入为1765.9万元，政府性基金预算财政拨款收入88.43万元，其中本年收入1854.33万元,比2019年度增加19.07万元，增长1.04%；本年支出1829.77万元，减少5.47万元，下降0.03%（见图），收入增加主要是政府性基金预算财政拨款收入增加；支出减少主要原因是本年</w:t>
      </w:r>
      <w:r>
        <w:rPr>
          <w:rFonts w:hint="eastAsia" w:ascii="仿宋_GB2312" w:hAnsi="Times New Roman" w:eastAsia="仿宋_GB2312" w:cs="Wingdings"/>
          <w:sz w:val="32"/>
          <w:szCs w:val="32"/>
          <w:lang w:eastAsia="zh-CN"/>
        </w:rPr>
        <w:t>节能环保</w:t>
      </w:r>
      <w:r>
        <w:rPr>
          <w:rFonts w:hint="eastAsia" w:ascii="仿宋_GB2312" w:hAnsi="Times New Roman" w:eastAsia="仿宋_GB2312" w:cs="Wingdings"/>
          <w:sz w:val="32"/>
          <w:szCs w:val="32"/>
        </w:rPr>
        <w:t>项目未完工资金未全部拨付，形成年末结转和结余，所以较上年减少。</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70528" behindDoc="1" locked="0" layoutInCell="1" allowOverlap="1">
            <wp:simplePos x="0" y="0"/>
            <wp:positionH relativeFrom="column">
              <wp:posOffset>341630</wp:posOffset>
            </wp:positionH>
            <wp:positionV relativeFrom="paragraph">
              <wp:posOffset>133985</wp:posOffset>
            </wp:positionV>
            <wp:extent cx="5080000" cy="3810000"/>
            <wp:effectExtent l="4445" t="4445" r="20955" b="14605"/>
            <wp:wrapTight wrapText="bothSides">
              <wp:wrapPolygon>
                <wp:start x="-19" y="-25"/>
                <wp:lineTo x="-19" y="21575"/>
                <wp:lineTo x="21527" y="21575"/>
                <wp:lineTo x="21527" y="-25"/>
                <wp:lineTo x="-19" y="-25"/>
              </wp:wrapPolygon>
            </wp:wrapTight>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snapToGrid w:val="0"/>
        <w:spacing w:line="600" w:lineRule="exact"/>
        <w:ind w:firstLine="643" w:firstLineChars="200"/>
        <w:rPr>
          <w:rFonts w:ascii="楷体_GB2312" w:hAnsi="Times New Roman" w:eastAsia="楷体_GB2312" w:cs="Mongolian Baiti"/>
          <w:b/>
          <w:bCs/>
          <w:sz w:val="32"/>
          <w:szCs w:val="32"/>
        </w:rPr>
      </w:pPr>
    </w:p>
    <w:p>
      <w:pPr>
        <w:snapToGrid w:val="0"/>
        <w:spacing w:line="600" w:lineRule="exact"/>
        <w:rPr>
          <w:rFonts w:ascii="楷体_GB2312" w:hAnsi="Times New Roman" w:eastAsia="楷体_GB2312" w:cs="Mongolian Baiti"/>
          <w:b/>
          <w:bCs/>
          <w:sz w:val="32"/>
          <w:szCs w:val="32"/>
        </w:rPr>
      </w:pPr>
    </w:p>
    <w:p>
      <w:pPr>
        <w:snapToGrid w:val="0"/>
        <w:spacing w:line="600" w:lineRule="exact"/>
        <w:ind w:firstLine="643" w:firstLineChars="200"/>
        <w:rPr>
          <w:rFonts w:ascii="楷体_GB2312" w:hAnsi="Times New Roman" w:eastAsia="楷体_GB2312" w:cs="Mongolian Baiti"/>
          <w:b/>
          <w:bCs/>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1765.9</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14.85</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0.85</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减少节能环保支出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1741.34</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35.9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2.02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减少节能环保支出</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hint="eastAsia" w:ascii="楷体_GB2312" w:hAnsi="Times New Roman" w:eastAsia="楷体_GB2312" w:cs="Mongolian Baiti"/>
          <w:b/>
          <w:bCs/>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88.43</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30.43</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rPr>
        <w:t>农村基础设施建设支出；本年支出</w:t>
      </w:r>
      <w:r>
        <w:rPr>
          <w:rFonts w:hint="eastAsia" w:ascii="仿宋_GB2312" w:hAnsi="Times New Roman" w:eastAsia="仿宋_GB2312" w:cs="DengXian-Regular"/>
          <w:sz w:val="32"/>
          <w:szCs w:val="32"/>
          <w:lang w:val="en-US" w:eastAsia="zh-CN"/>
        </w:rPr>
        <w:t>88.43</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30.43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rPr>
        <w:t>农村基础设施建设支出。</w: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黄壁庄镇人民政府2020年度财政拨款收入</w:t>
      </w:r>
      <w:r>
        <w:rPr>
          <w:rFonts w:hint="eastAsia" w:ascii="仿宋_GB2312" w:hAnsi="Times New Roman" w:eastAsia="仿宋_GB2312" w:cs="Wingdings"/>
          <w:sz w:val="32"/>
          <w:szCs w:val="32"/>
          <w:lang w:val="en-US" w:eastAsia="zh-CN"/>
        </w:rPr>
        <w:t>1854.35</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156.74</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671.3</w:t>
      </w:r>
      <w:r>
        <w:rPr>
          <w:rFonts w:hint="eastAsia" w:ascii="仿宋_GB2312" w:hAnsi="Times New Roman" w:eastAsia="仿宋_GB2312" w:cs="Wingdings"/>
          <w:sz w:val="32"/>
          <w:szCs w:val="32"/>
        </w:rPr>
        <w:t>万元。本年支出</w:t>
      </w:r>
      <w:r>
        <w:rPr>
          <w:rFonts w:hint="eastAsia" w:ascii="仿宋_GB2312" w:hAnsi="Times New Roman" w:eastAsia="仿宋_GB2312" w:cs="Wingdings"/>
          <w:sz w:val="32"/>
          <w:szCs w:val="32"/>
          <w:lang w:val="en-US" w:eastAsia="zh-CN"/>
        </w:rPr>
        <w:t>1829.77</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154.67</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646.72</w:t>
      </w:r>
      <w:r>
        <w:rPr>
          <w:rFonts w:hint="eastAsia" w:ascii="仿宋_GB2312" w:hAnsi="Times New Roman" w:eastAsia="仿宋_GB2312" w:cs="Wingdings"/>
          <w:sz w:val="32"/>
          <w:szCs w:val="32"/>
        </w:rPr>
        <w:t>万元。收入决算数</w:t>
      </w:r>
      <w:r>
        <w:rPr>
          <w:rFonts w:hint="eastAsia" w:ascii="仿宋_GB2312" w:hAnsi="Times New Roman" w:eastAsia="仿宋_GB2312" w:cs="Wingdings"/>
          <w:sz w:val="32"/>
          <w:szCs w:val="32"/>
          <w:lang w:eastAsia="zh-CN"/>
        </w:rPr>
        <w:t>大于</w:t>
      </w:r>
      <w:r>
        <w:rPr>
          <w:rFonts w:hint="eastAsia" w:ascii="仿宋_GB2312" w:hAnsi="Times New Roman" w:eastAsia="仿宋_GB2312" w:cs="Wingdings"/>
          <w:sz w:val="32"/>
          <w:szCs w:val="32"/>
        </w:rPr>
        <w:t>预算数主要原因是项目收支</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w:t>
      </w:r>
      <w:r>
        <w:rPr>
          <w:rFonts w:hint="eastAsia" w:ascii="仿宋_GB2312" w:hAnsi="Times New Roman" w:eastAsia="仿宋_GB2312" w:cs="DengXian-Regular"/>
          <w:sz w:val="32"/>
          <w:szCs w:val="32"/>
          <w:lang w:val="en-US" w:eastAsia="zh-CN"/>
        </w:rPr>
        <w:t>1765.9万元，完成</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的</w:t>
      </w:r>
      <w:r>
        <w:rPr>
          <w:rFonts w:hint="eastAsia" w:ascii="仿宋_GB2312" w:hAnsi="Times New Roman" w:eastAsia="仿宋_GB2312" w:cs="DengXian-Regular"/>
          <w:sz w:val="32"/>
          <w:szCs w:val="32"/>
          <w:lang w:val="en-US" w:eastAsia="zh-CN"/>
        </w:rPr>
        <w:t>165.98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701.97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w:t>
      </w:r>
      <w:r>
        <w:rPr>
          <w:rFonts w:hint="eastAsia" w:ascii="仿宋_GB2312" w:hAnsi="Times New Roman" w:eastAsia="仿宋_GB2312" w:cs="DengXian-Regular"/>
          <w:sz w:val="32"/>
          <w:szCs w:val="32"/>
        </w:rPr>
        <w:t>；一般公共预算财政拨款本年支出完成</w:t>
      </w:r>
      <w:r>
        <w:rPr>
          <w:rFonts w:hint="eastAsia" w:ascii="仿宋_GB2312" w:hAnsi="Times New Roman" w:eastAsia="仿宋_GB2312" w:cs="DengXian-Regular"/>
          <w:sz w:val="32"/>
          <w:szCs w:val="32"/>
          <w:lang w:val="en-US" w:eastAsia="zh-CN"/>
        </w:rPr>
        <w:t>1741.34万元，完成</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的</w:t>
      </w:r>
      <w:r>
        <w:rPr>
          <w:rFonts w:hint="eastAsia" w:ascii="仿宋_GB2312" w:hAnsi="Times New Roman" w:eastAsia="仿宋_GB2312" w:cs="DengXian-Regular"/>
          <w:sz w:val="32"/>
          <w:szCs w:val="32"/>
          <w:lang w:val="en-US" w:eastAsia="zh-CN"/>
        </w:rPr>
        <w:t>163.67</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677.41</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增加了对农户的自然生态补贴（生态补贴）</w:t>
      </w:r>
      <w:r>
        <w:rPr>
          <w:rFonts w:hint="eastAsia" w:ascii="仿宋_GB2312" w:hAnsi="Times New Roman" w:eastAsia="仿宋_GB2312" w:cs="DengXian-Regular"/>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88.43万元，</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30.69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减少了</w:t>
      </w:r>
      <w:r>
        <w:rPr>
          <w:rFonts w:hint="eastAsia" w:ascii="仿宋_GB2312" w:hAnsi="Times New Roman" w:eastAsia="仿宋_GB2312" w:cs="DengXian-Regular"/>
          <w:sz w:val="32"/>
          <w:szCs w:val="32"/>
        </w:rPr>
        <w:t>农村基础设施建设支出；政府性基金预算财政拨款本年支出比年初预算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30.69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减少了</w:t>
      </w:r>
      <w:r>
        <w:rPr>
          <w:rFonts w:hint="eastAsia" w:ascii="仿宋_GB2312" w:hAnsi="Times New Roman" w:eastAsia="仿宋_GB2312" w:cs="DengXian-Regular"/>
          <w:sz w:val="32"/>
          <w:szCs w:val="32"/>
        </w:rPr>
        <w:t>农村基础设施建设支出。</w:t>
      </w:r>
    </w:p>
    <w:p>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1829.77万元，主要用于以下方面支出：一般公共服务支:951.59万元，占总支出的52.01%；社会保障和就业支出34.37万元，占总支出的1.88%；卫生健康支出64.26万元，占总支出的3.51%；节能环保支出310.91万元，占总支出的16.99%；城乡社区支出88.43万元，占总支出的4.83%；农林水支出380.22万元，占总支出的20.78%</w:t>
      </w:r>
      <w:r>
        <w:rPr>
          <w:rFonts w:hint="eastAsia" w:ascii="仿宋_GB2312" w:hAnsi="Times New Roman" w:eastAsia="仿宋_GB2312" w:cs="Wingdings"/>
          <w:sz w:val="32"/>
          <w:szCs w:val="32"/>
          <w:lang w:val="en-US" w:eastAsia="zh-CN"/>
        </w:rPr>
        <w:t>(如图)</w:t>
      </w:r>
      <w:r>
        <w:rPr>
          <w:rFonts w:hint="eastAsia" w:ascii="仿宋_GB2312" w:hAnsi="Times New Roman" w:eastAsia="仿宋_GB2312" w:cs="Wingdings"/>
          <w:sz w:val="32"/>
          <w:szCs w:val="32"/>
        </w:rPr>
        <w:t>。</w:t>
      </w:r>
      <w:r>
        <w:rPr>
          <w:rFonts w:ascii="仿宋_GB2312" w:hAnsi="Times New Roman" w:eastAsia="仿宋_GB2312" w:cs="Wingdings"/>
          <w:sz w:val="32"/>
          <w:szCs w:val="32"/>
        </w:rPr>
        <w:t xml:space="preserve"> </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71552" behindDoc="1" locked="0" layoutInCell="1" allowOverlap="1">
            <wp:simplePos x="0" y="0"/>
            <wp:positionH relativeFrom="column">
              <wp:posOffset>393700</wp:posOffset>
            </wp:positionH>
            <wp:positionV relativeFrom="paragraph">
              <wp:posOffset>97155</wp:posOffset>
            </wp:positionV>
            <wp:extent cx="5080000" cy="3810000"/>
            <wp:effectExtent l="4445" t="4445" r="20955" b="14605"/>
            <wp:wrapTight wrapText="bothSides">
              <wp:wrapPolygon>
                <wp:start x="-19" y="-25"/>
                <wp:lineTo x="-19" y="21575"/>
                <wp:lineTo x="21527" y="21575"/>
                <wp:lineTo x="21527" y="-25"/>
                <wp:lineTo x="-19" y="-25"/>
              </wp:wrapPolygon>
            </wp:wrapTight>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按经济分类看：工资福利支出559.63万元、商品和服务支出</w:t>
      </w:r>
      <w:r>
        <w:rPr>
          <w:rFonts w:hint="eastAsia" w:ascii="仿宋_GB2312" w:hAnsi="Times New Roman" w:eastAsia="仿宋_GB2312" w:cs="Wingdings"/>
          <w:sz w:val="32"/>
          <w:szCs w:val="32"/>
        </w:rPr>
        <w:tab/>
      </w:r>
      <w:r>
        <w:rPr>
          <w:rFonts w:hint="eastAsia" w:ascii="仿宋_GB2312" w:hAnsi="Times New Roman" w:eastAsia="仿宋_GB2312" w:cs="Wingdings"/>
          <w:sz w:val="32"/>
          <w:szCs w:val="32"/>
        </w:rPr>
        <w:t>450.79万元、对个人和家庭的补助12.93万元、资本性支出</w:t>
      </w:r>
      <w:r>
        <w:rPr>
          <w:rFonts w:hint="eastAsia" w:ascii="仿宋_GB2312" w:hAnsi="Times New Roman" w:eastAsia="仿宋_GB2312" w:cs="Wingdings"/>
          <w:sz w:val="32"/>
          <w:szCs w:val="32"/>
        </w:rPr>
        <w:tab/>
      </w:r>
      <w:r>
        <w:rPr>
          <w:rFonts w:hint="eastAsia" w:ascii="仿宋_GB2312" w:hAnsi="Times New Roman" w:eastAsia="仿宋_GB2312" w:cs="Wingdings"/>
          <w:sz w:val="32"/>
          <w:szCs w:val="32"/>
        </w:rPr>
        <w:t>10.7万元。</w:t>
      </w: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2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年度财政拨款基本支出1034.06万元，其中：人员经费 572.56万元，主要包括基本工资</w:t>
      </w:r>
      <w:r>
        <w:rPr>
          <w:rFonts w:hint="eastAsia" w:ascii="仿宋_GB2312" w:hAnsi="Times New Roman" w:eastAsia="仿宋_GB2312" w:cs="Wingdings"/>
          <w:sz w:val="32"/>
          <w:szCs w:val="32"/>
          <w:lang w:val="en-US" w:eastAsia="zh-CN"/>
        </w:rPr>
        <w:t>129.68万元</w:t>
      </w:r>
      <w:r>
        <w:rPr>
          <w:rFonts w:hint="eastAsia" w:ascii="仿宋_GB2312" w:hAnsi="Times New Roman" w:eastAsia="仿宋_GB2312" w:cs="Wingdings"/>
          <w:sz w:val="32"/>
          <w:szCs w:val="32"/>
        </w:rPr>
        <w:t>、津贴补贴</w:t>
      </w:r>
      <w:r>
        <w:rPr>
          <w:rFonts w:hint="eastAsia" w:ascii="仿宋_GB2312" w:hAnsi="Times New Roman" w:eastAsia="仿宋_GB2312" w:cs="Wingdings"/>
          <w:sz w:val="32"/>
          <w:szCs w:val="32"/>
          <w:lang w:val="en-US" w:eastAsia="zh-CN"/>
        </w:rPr>
        <w:t>159.31万元</w:t>
      </w:r>
      <w:r>
        <w:rPr>
          <w:rFonts w:hint="eastAsia" w:ascii="仿宋_GB2312" w:hAnsi="Times New Roman" w:eastAsia="仿宋_GB2312" w:cs="Wingdings"/>
          <w:sz w:val="32"/>
          <w:szCs w:val="32"/>
        </w:rPr>
        <w:t>、奖金</w:t>
      </w:r>
      <w:r>
        <w:rPr>
          <w:rFonts w:hint="eastAsia" w:ascii="仿宋_GB2312" w:hAnsi="Times New Roman" w:eastAsia="仿宋_GB2312" w:cs="Wingdings"/>
          <w:sz w:val="32"/>
          <w:szCs w:val="32"/>
          <w:lang w:val="en-US" w:eastAsia="zh-CN"/>
        </w:rPr>
        <w:t>135.51万元</w:t>
      </w:r>
      <w:r>
        <w:rPr>
          <w:rFonts w:hint="eastAsia" w:ascii="仿宋_GB2312" w:hAnsi="Times New Roman" w:eastAsia="仿宋_GB2312" w:cs="Wingdings"/>
          <w:sz w:val="32"/>
          <w:szCs w:val="32"/>
        </w:rPr>
        <w:t>、机关事业单位基本养老保险缴费</w:t>
      </w:r>
      <w:r>
        <w:rPr>
          <w:rFonts w:hint="eastAsia" w:ascii="仿宋_GB2312" w:hAnsi="Times New Roman" w:eastAsia="仿宋_GB2312" w:cs="Wingdings"/>
          <w:sz w:val="32"/>
          <w:szCs w:val="32"/>
          <w:lang w:val="en-US" w:eastAsia="zh-CN"/>
        </w:rPr>
        <w:t>37.48万元</w:t>
      </w:r>
      <w:r>
        <w:rPr>
          <w:rFonts w:hint="eastAsia" w:ascii="仿宋_GB2312" w:hAnsi="Times New Roman" w:eastAsia="仿宋_GB2312" w:cs="Wingdings"/>
          <w:sz w:val="32"/>
          <w:szCs w:val="32"/>
        </w:rPr>
        <w:t>、职工基本医疗保险缴费</w:t>
      </w:r>
      <w:r>
        <w:rPr>
          <w:rFonts w:hint="eastAsia" w:ascii="仿宋_GB2312" w:hAnsi="Times New Roman" w:eastAsia="仿宋_GB2312" w:cs="Wingdings"/>
          <w:sz w:val="32"/>
          <w:szCs w:val="32"/>
          <w:lang w:val="en-US" w:eastAsia="zh-CN"/>
        </w:rPr>
        <w:t>43.85万元</w:t>
      </w:r>
      <w:r>
        <w:rPr>
          <w:rFonts w:hint="eastAsia" w:ascii="仿宋_GB2312" w:hAnsi="Times New Roman" w:eastAsia="仿宋_GB2312" w:cs="Wingdings"/>
          <w:sz w:val="32"/>
          <w:szCs w:val="32"/>
        </w:rPr>
        <w:t>、住房公积金</w:t>
      </w:r>
      <w:r>
        <w:rPr>
          <w:rFonts w:hint="eastAsia" w:ascii="仿宋_GB2312" w:hAnsi="Times New Roman" w:eastAsia="仿宋_GB2312" w:cs="Wingdings"/>
          <w:sz w:val="32"/>
          <w:szCs w:val="32"/>
          <w:lang w:val="en-US" w:eastAsia="zh-CN"/>
        </w:rPr>
        <w:t>52.13万元</w:t>
      </w:r>
      <w:r>
        <w:rPr>
          <w:rFonts w:hint="eastAsia" w:ascii="仿宋_GB2312" w:hAnsi="Times New Roman" w:eastAsia="仿宋_GB2312" w:cs="Wingdings"/>
          <w:sz w:val="32"/>
          <w:szCs w:val="32"/>
        </w:rPr>
        <w:t>、其他社会保障缴费</w:t>
      </w:r>
      <w:r>
        <w:rPr>
          <w:rFonts w:hint="eastAsia" w:ascii="仿宋_GB2312" w:hAnsi="Times New Roman" w:eastAsia="仿宋_GB2312" w:cs="Wingdings"/>
          <w:sz w:val="32"/>
          <w:szCs w:val="32"/>
          <w:lang w:val="en-US" w:eastAsia="zh-CN"/>
        </w:rPr>
        <w:t>1.67万元</w:t>
      </w:r>
      <w:r>
        <w:rPr>
          <w:rFonts w:hint="eastAsia" w:ascii="仿宋_GB2312" w:hAnsi="Times New Roman" w:eastAsia="仿宋_GB2312" w:cs="Wingdings"/>
          <w:sz w:val="32"/>
          <w:szCs w:val="32"/>
        </w:rPr>
        <w:t>、退休费</w:t>
      </w:r>
      <w:r>
        <w:rPr>
          <w:rFonts w:hint="eastAsia" w:ascii="仿宋_GB2312" w:hAnsi="Times New Roman" w:eastAsia="仿宋_GB2312" w:cs="Wingdings"/>
          <w:sz w:val="32"/>
          <w:szCs w:val="32"/>
          <w:lang w:val="en-US" w:eastAsia="zh-CN"/>
        </w:rPr>
        <w:t>5.09万元</w:t>
      </w:r>
      <w:r>
        <w:rPr>
          <w:rFonts w:hint="eastAsia" w:ascii="仿宋_GB2312" w:hAnsi="Times New Roman" w:eastAsia="仿宋_GB2312" w:cs="Wingdings"/>
          <w:sz w:val="32"/>
          <w:szCs w:val="32"/>
        </w:rPr>
        <w:t>、生活补助</w:t>
      </w:r>
      <w:r>
        <w:rPr>
          <w:rFonts w:hint="eastAsia" w:ascii="仿宋_GB2312" w:hAnsi="Times New Roman" w:eastAsia="仿宋_GB2312" w:cs="Wingdings"/>
          <w:sz w:val="32"/>
          <w:szCs w:val="32"/>
          <w:lang w:val="en-US" w:eastAsia="zh-CN"/>
        </w:rPr>
        <w:t>7.84万元</w:t>
      </w:r>
      <w:r>
        <w:rPr>
          <w:rFonts w:hint="eastAsia" w:ascii="仿宋_GB2312" w:hAnsi="Times New Roman" w:eastAsia="仿宋_GB2312" w:cs="Wingdings"/>
          <w:sz w:val="32"/>
          <w:szCs w:val="32"/>
        </w:rPr>
        <w:t>、其他对个人和家庭的补助支出</w:t>
      </w:r>
      <w:r>
        <w:rPr>
          <w:rFonts w:hint="eastAsia" w:ascii="仿宋_GB2312" w:hAnsi="Times New Roman" w:eastAsia="仿宋_GB2312" w:cs="Wingdings"/>
          <w:sz w:val="32"/>
          <w:szCs w:val="32"/>
          <w:lang w:val="en-US" w:eastAsia="zh-CN"/>
        </w:rPr>
        <w:t>12.93万元</w:t>
      </w:r>
      <w:r>
        <w:rPr>
          <w:rFonts w:hint="eastAsia" w:ascii="仿宋_GB2312" w:hAnsi="Times New Roman" w:eastAsia="仿宋_GB2312" w:cs="Wingdings"/>
          <w:sz w:val="32"/>
          <w:szCs w:val="32"/>
        </w:rPr>
        <w:t>；公用经费461.5万元，主要包括办公费</w:t>
      </w:r>
      <w:r>
        <w:rPr>
          <w:rFonts w:hint="eastAsia" w:ascii="仿宋_GB2312" w:hAnsi="Times New Roman" w:eastAsia="仿宋_GB2312" w:cs="Wingdings"/>
          <w:sz w:val="32"/>
          <w:szCs w:val="32"/>
          <w:lang w:val="en-US" w:eastAsia="zh-CN"/>
        </w:rPr>
        <w:t>44.54万元</w:t>
      </w:r>
      <w:r>
        <w:rPr>
          <w:rFonts w:hint="eastAsia" w:ascii="仿宋_GB2312" w:hAnsi="Times New Roman" w:eastAsia="仿宋_GB2312" w:cs="Wingdings"/>
          <w:sz w:val="32"/>
          <w:szCs w:val="32"/>
        </w:rPr>
        <w:t>、印刷费</w:t>
      </w:r>
      <w:r>
        <w:rPr>
          <w:rFonts w:hint="eastAsia" w:ascii="仿宋_GB2312" w:hAnsi="Times New Roman" w:eastAsia="仿宋_GB2312" w:cs="Wingdings"/>
          <w:sz w:val="32"/>
          <w:szCs w:val="32"/>
          <w:lang w:val="en-US" w:eastAsia="zh-CN"/>
        </w:rPr>
        <w:t>6.56万元</w:t>
      </w:r>
      <w:r>
        <w:rPr>
          <w:rFonts w:hint="eastAsia" w:ascii="仿宋_GB2312" w:hAnsi="Times New Roman" w:eastAsia="仿宋_GB2312" w:cs="Wingdings"/>
          <w:sz w:val="32"/>
          <w:szCs w:val="32"/>
        </w:rPr>
        <w:t>、电费</w:t>
      </w:r>
      <w:r>
        <w:rPr>
          <w:rFonts w:hint="eastAsia" w:ascii="仿宋_GB2312" w:hAnsi="Times New Roman" w:eastAsia="仿宋_GB2312" w:cs="Wingdings"/>
          <w:sz w:val="32"/>
          <w:szCs w:val="32"/>
          <w:lang w:val="en-US" w:eastAsia="zh-CN"/>
        </w:rPr>
        <w:t>11.69万元</w:t>
      </w:r>
      <w:r>
        <w:rPr>
          <w:rFonts w:hint="eastAsia" w:ascii="仿宋_GB2312" w:hAnsi="Times New Roman" w:eastAsia="仿宋_GB2312" w:cs="Wingdings"/>
          <w:sz w:val="32"/>
          <w:szCs w:val="32"/>
        </w:rPr>
        <w:t>、邮电费</w:t>
      </w:r>
      <w:r>
        <w:rPr>
          <w:rFonts w:hint="eastAsia" w:ascii="仿宋_GB2312" w:hAnsi="Times New Roman" w:eastAsia="仿宋_GB2312" w:cs="Wingdings"/>
          <w:sz w:val="32"/>
          <w:szCs w:val="32"/>
          <w:lang w:val="en-US" w:eastAsia="zh-CN"/>
        </w:rPr>
        <w:t>23.9万元</w:t>
      </w:r>
      <w:r>
        <w:rPr>
          <w:rFonts w:hint="eastAsia" w:ascii="仿宋_GB2312" w:hAnsi="Times New Roman" w:eastAsia="仿宋_GB2312" w:cs="Wingdings"/>
          <w:sz w:val="32"/>
          <w:szCs w:val="32"/>
        </w:rPr>
        <w:t>、取暖费</w:t>
      </w:r>
      <w:r>
        <w:rPr>
          <w:rFonts w:hint="eastAsia" w:ascii="仿宋_GB2312" w:hAnsi="Times New Roman" w:eastAsia="仿宋_GB2312" w:cs="Wingdings"/>
          <w:sz w:val="32"/>
          <w:szCs w:val="32"/>
          <w:lang w:val="en-US" w:eastAsia="zh-CN"/>
        </w:rPr>
        <w:t>12.17万元</w:t>
      </w:r>
      <w:r>
        <w:rPr>
          <w:rFonts w:hint="eastAsia" w:ascii="仿宋_GB2312" w:hAnsi="Times New Roman" w:eastAsia="仿宋_GB2312" w:cs="Wingdings"/>
          <w:sz w:val="32"/>
          <w:szCs w:val="32"/>
        </w:rPr>
        <w:t>、差旅费</w:t>
      </w:r>
      <w:r>
        <w:rPr>
          <w:rFonts w:hint="eastAsia" w:ascii="仿宋_GB2312" w:hAnsi="Times New Roman" w:eastAsia="仿宋_GB2312" w:cs="Wingdings"/>
          <w:sz w:val="32"/>
          <w:szCs w:val="32"/>
          <w:lang w:val="en-US" w:eastAsia="zh-CN"/>
        </w:rPr>
        <w:t>18.49万元</w:t>
      </w:r>
      <w:r>
        <w:rPr>
          <w:rFonts w:hint="eastAsia" w:ascii="仿宋_GB2312" w:hAnsi="Times New Roman" w:eastAsia="仿宋_GB2312" w:cs="Wingdings"/>
          <w:sz w:val="32"/>
          <w:szCs w:val="32"/>
        </w:rPr>
        <w:t>、因公出国（境）费用</w:t>
      </w:r>
      <w:r>
        <w:rPr>
          <w:rFonts w:hint="eastAsia" w:ascii="仿宋_GB2312" w:hAnsi="Times New Roman" w:eastAsia="仿宋_GB2312" w:cs="Wingdings"/>
          <w:sz w:val="32"/>
          <w:szCs w:val="32"/>
          <w:lang w:val="en-US" w:eastAsia="zh-CN"/>
        </w:rPr>
        <w:t>0万元</w:t>
      </w:r>
      <w:r>
        <w:rPr>
          <w:rFonts w:hint="eastAsia" w:ascii="仿宋_GB2312" w:hAnsi="Times New Roman" w:eastAsia="仿宋_GB2312" w:cs="Wingdings"/>
          <w:sz w:val="32"/>
          <w:szCs w:val="32"/>
        </w:rPr>
        <w:t>、维修（护）费</w:t>
      </w:r>
      <w:r>
        <w:rPr>
          <w:rFonts w:hint="eastAsia" w:ascii="仿宋_GB2312" w:hAnsi="Times New Roman" w:eastAsia="仿宋_GB2312" w:cs="Wingdings"/>
          <w:sz w:val="32"/>
          <w:szCs w:val="32"/>
          <w:lang w:val="en-US" w:eastAsia="zh-CN"/>
        </w:rPr>
        <w:t>3.93万元、</w:t>
      </w:r>
      <w:r>
        <w:rPr>
          <w:rFonts w:hint="eastAsia" w:ascii="仿宋_GB2312" w:hAnsi="Times New Roman" w:eastAsia="仿宋_GB2312" w:cs="Wingdings"/>
          <w:sz w:val="32"/>
          <w:szCs w:val="32"/>
        </w:rPr>
        <w:t>会议费</w:t>
      </w:r>
      <w:r>
        <w:rPr>
          <w:rFonts w:hint="eastAsia" w:ascii="仿宋_GB2312" w:hAnsi="Times New Roman" w:eastAsia="仿宋_GB2312" w:cs="Wingdings"/>
          <w:sz w:val="32"/>
          <w:szCs w:val="32"/>
          <w:lang w:val="en-US" w:eastAsia="zh-CN"/>
        </w:rPr>
        <w:t>0万元</w:t>
      </w:r>
      <w:r>
        <w:rPr>
          <w:rFonts w:hint="eastAsia" w:ascii="仿宋_GB2312" w:hAnsi="Times New Roman" w:eastAsia="仿宋_GB2312" w:cs="Wingdings"/>
          <w:sz w:val="32"/>
          <w:szCs w:val="32"/>
        </w:rPr>
        <w:t>、培训费</w:t>
      </w:r>
      <w:r>
        <w:rPr>
          <w:rFonts w:hint="eastAsia" w:ascii="仿宋_GB2312" w:hAnsi="Times New Roman" w:eastAsia="仿宋_GB2312" w:cs="Wingdings"/>
          <w:sz w:val="32"/>
          <w:szCs w:val="32"/>
          <w:lang w:val="en-US" w:eastAsia="zh-CN"/>
        </w:rPr>
        <w:t>0.02万元</w:t>
      </w:r>
      <w:r>
        <w:rPr>
          <w:rFonts w:hint="eastAsia" w:ascii="仿宋_GB2312" w:hAnsi="Times New Roman" w:eastAsia="仿宋_GB2312" w:cs="Wingdings"/>
          <w:sz w:val="32"/>
          <w:szCs w:val="32"/>
        </w:rPr>
        <w:t>、公务接待费</w:t>
      </w:r>
      <w:r>
        <w:rPr>
          <w:rFonts w:hint="eastAsia" w:ascii="仿宋_GB2312" w:hAnsi="Times New Roman" w:eastAsia="仿宋_GB2312" w:cs="Wingdings"/>
          <w:sz w:val="32"/>
          <w:szCs w:val="32"/>
          <w:lang w:val="en-US" w:eastAsia="zh-CN"/>
        </w:rPr>
        <w:t>0万元</w:t>
      </w:r>
      <w:r>
        <w:rPr>
          <w:rFonts w:hint="eastAsia" w:ascii="仿宋_GB2312" w:hAnsi="Times New Roman" w:eastAsia="仿宋_GB2312" w:cs="Wingdings"/>
          <w:sz w:val="32"/>
          <w:szCs w:val="32"/>
        </w:rPr>
        <w:t>、劳务费</w:t>
      </w:r>
      <w:r>
        <w:rPr>
          <w:rFonts w:hint="eastAsia" w:ascii="仿宋_GB2312" w:hAnsi="Times New Roman" w:eastAsia="仿宋_GB2312" w:cs="Wingdings"/>
          <w:sz w:val="32"/>
          <w:szCs w:val="32"/>
          <w:lang w:val="en-US" w:eastAsia="zh-CN"/>
        </w:rPr>
        <w:t>68.03万元</w:t>
      </w:r>
      <w:r>
        <w:rPr>
          <w:rFonts w:hint="eastAsia" w:ascii="仿宋_GB2312" w:hAnsi="Times New Roman" w:eastAsia="仿宋_GB2312" w:cs="Wingdings"/>
          <w:sz w:val="32"/>
          <w:szCs w:val="32"/>
        </w:rPr>
        <w:t>、委托业务费</w:t>
      </w:r>
      <w:r>
        <w:rPr>
          <w:rFonts w:hint="eastAsia" w:ascii="仿宋_GB2312" w:hAnsi="Times New Roman" w:eastAsia="仿宋_GB2312" w:cs="Wingdings"/>
          <w:sz w:val="32"/>
          <w:szCs w:val="32"/>
          <w:lang w:val="en-US" w:eastAsia="zh-CN"/>
        </w:rPr>
        <w:t>219.35万元</w:t>
      </w:r>
      <w:r>
        <w:rPr>
          <w:rFonts w:hint="eastAsia" w:ascii="仿宋_GB2312" w:hAnsi="Times New Roman" w:eastAsia="仿宋_GB2312" w:cs="Wingdings"/>
          <w:sz w:val="32"/>
          <w:szCs w:val="32"/>
        </w:rPr>
        <w:t>、工会经费</w:t>
      </w:r>
      <w:r>
        <w:rPr>
          <w:rFonts w:hint="eastAsia" w:ascii="仿宋_GB2312" w:hAnsi="Times New Roman" w:eastAsia="仿宋_GB2312" w:cs="Wingdings"/>
          <w:sz w:val="32"/>
          <w:szCs w:val="32"/>
          <w:lang w:val="en-US" w:eastAsia="zh-CN"/>
        </w:rPr>
        <w:t>2.89万元</w:t>
      </w:r>
      <w:r>
        <w:rPr>
          <w:rFonts w:hint="eastAsia" w:ascii="仿宋_GB2312" w:hAnsi="Times New Roman" w:eastAsia="仿宋_GB2312" w:cs="Wingdings"/>
          <w:sz w:val="32"/>
          <w:szCs w:val="32"/>
        </w:rPr>
        <w:t>、福利费</w:t>
      </w:r>
      <w:r>
        <w:rPr>
          <w:rFonts w:hint="eastAsia" w:ascii="仿宋_GB2312" w:hAnsi="Times New Roman" w:eastAsia="仿宋_GB2312" w:cs="Wingdings"/>
          <w:sz w:val="32"/>
          <w:szCs w:val="32"/>
          <w:lang w:val="en-US" w:eastAsia="zh-CN"/>
        </w:rPr>
        <w:t>4.13万元</w:t>
      </w:r>
      <w:r>
        <w:rPr>
          <w:rFonts w:hint="eastAsia" w:ascii="仿宋_GB2312" w:hAnsi="Times New Roman" w:eastAsia="仿宋_GB2312" w:cs="Wingdings"/>
          <w:sz w:val="32"/>
          <w:szCs w:val="32"/>
        </w:rPr>
        <w:t>、公务用车运行维护费</w:t>
      </w:r>
      <w:r>
        <w:rPr>
          <w:rFonts w:hint="eastAsia" w:ascii="仿宋_GB2312" w:hAnsi="Times New Roman" w:eastAsia="仿宋_GB2312" w:cs="Wingdings"/>
          <w:sz w:val="32"/>
          <w:szCs w:val="32"/>
          <w:lang w:val="en-US" w:eastAsia="zh-CN"/>
        </w:rPr>
        <w:t>4.73万元</w:t>
      </w:r>
      <w:r>
        <w:rPr>
          <w:rFonts w:hint="eastAsia" w:ascii="仿宋_GB2312" w:hAnsi="Times New Roman" w:eastAsia="仿宋_GB2312" w:cs="Wingdings"/>
          <w:sz w:val="32"/>
          <w:szCs w:val="32"/>
        </w:rPr>
        <w:t>、其他交通费用</w:t>
      </w:r>
      <w:r>
        <w:rPr>
          <w:rFonts w:hint="eastAsia" w:ascii="仿宋_GB2312" w:hAnsi="Times New Roman" w:eastAsia="仿宋_GB2312" w:cs="Wingdings"/>
          <w:sz w:val="32"/>
          <w:szCs w:val="32"/>
          <w:lang w:val="en-US" w:eastAsia="zh-CN"/>
        </w:rPr>
        <w:t>19.75万元</w:t>
      </w:r>
      <w:r>
        <w:rPr>
          <w:rFonts w:hint="eastAsia" w:ascii="仿宋_GB2312" w:hAnsi="Times New Roman" w:eastAsia="仿宋_GB2312" w:cs="Wingdings"/>
          <w:sz w:val="32"/>
          <w:szCs w:val="32"/>
        </w:rPr>
        <w:t>、其他商品和服务支出</w:t>
      </w:r>
      <w:r>
        <w:rPr>
          <w:rFonts w:hint="eastAsia" w:ascii="仿宋_GB2312" w:hAnsi="Times New Roman" w:eastAsia="仿宋_GB2312" w:cs="Wingdings"/>
          <w:sz w:val="32"/>
          <w:szCs w:val="32"/>
          <w:lang w:val="en-US" w:eastAsia="zh-CN"/>
        </w:rPr>
        <w:t>10.61万元</w:t>
      </w:r>
      <w:r>
        <w:rPr>
          <w:rFonts w:hint="eastAsia" w:ascii="仿宋_GB2312" w:hAnsi="Times New Roman" w:eastAsia="仿宋_GB2312" w:cs="Wingdings"/>
          <w:sz w:val="32"/>
          <w:szCs w:val="32"/>
        </w:rPr>
        <w:t>、办公设备购置</w:t>
      </w:r>
      <w:r>
        <w:rPr>
          <w:rFonts w:hint="eastAsia" w:ascii="仿宋_GB2312" w:hAnsi="Times New Roman" w:eastAsia="仿宋_GB2312" w:cs="Wingdings"/>
          <w:sz w:val="32"/>
          <w:szCs w:val="32"/>
          <w:lang w:val="en-US" w:eastAsia="zh-CN"/>
        </w:rPr>
        <w:t>2.01万元</w:t>
      </w:r>
      <w:r>
        <w:rPr>
          <w:rFonts w:hint="eastAsia" w:ascii="仿宋_GB2312" w:hAnsi="Times New Roman" w:eastAsia="仿宋_GB2312" w:cs="Wingdings"/>
          <w:sz w:val="32"/>
          <w:szCs w:val="32"/>
        </w:rPr>
        <w:t>、专用设备购置</w:t>
      </w:r>
      <w:r>
        <w:rPr>
          <w:rFonts w:hint="eastAsia" w:ascii="仿宋_GB2312" w:hAnsi="Times New Roman" w:eastAsia="仿宋_GB2312" w:cs="Wingdings"/>
          <w:sz w:val="32"/>
          <w:szCs w:val="32"/>
          <w:lang w:val="en-US" w:eastAsia="zh-CN"/>
        </w:rPr>
        <w:t>6.96万元</w:t>
      </w:r>
      <w:r>
        <w:rPr>
          <w:rFonts w:hint="eastAsia" w:ascii="仿宋_GB2312" w:hAnsi="Times New Roman" w:eastAsia="仿宋_GB2312" w:cs="Wingdings"/>
          <w:sz w:val="32"/>
          <w:szCs w:val="32"/>
        </w:rPr>
        <w:t>、公务用车购置</w:t>
      </w:r>
      <w:r>
        <w:rPr>
          <w:rFonts w:hint="eastAsia" w:ascii="仿宋_GB2312" w:hAnsi="Times New Roman" w:eastAsia="仿宋_GB2312" w:cs="Wingdings"/>
          <w:sz w:val="32"/>
          <w:szCs w:val="32"/>
          <w:lang w:val="en-US" w:eastAsia="zh-CN"/>
        </w:rPr>
        <w:t>0万元</w:t>
      </w:r>
      <w:r>
        <w:rPr>
          <w:rFonts w:hint="eastAsia" w:ascii="仿宋_GB2312" w:hAnsi="Times New Roman" w:eastAsia="仿宋_GB2312" w:cs="Wingdings"/>
          <w:sz w:val="32"/>
          <w:szCs w:val="32"/>
        </w:rPr>
        <w:t>、其他资本性支出</w:t>
      </w:r>
      <w:r>
        <w:rPr>
          <w:rFonts w:hint="eastAsia" w:ascii="仿宋_GB2312" w:hAnsi="Times New Roman" w:eastAsia="仿宋_GB2312" w:cs="Wingdings"/>
          <w:sz w:val="32"/>
          <w:szCs w:val="32"/>
          <w:lang w:val="en-US" w:eastAsia="zh-CN"/>
        </w:rPr>
        <w:t>1.74万元</w:t>
      </w:r>
      <w:r>
        <w:rPr>
          <w:rFonts w:hint="eastAsia" w:ascii="仿宋_GB2312" w:hAnsi="Times New Roman" w:eastAsia="仿宋_GB2312" w:cs="Wingdings"/>
          <w:sz w:val="32"/>
          <w:szCs w:val="32"/>
        </w:rPr>
        <w:t>。</w:t>
      </w:r>
    </w:p>
    <w:p>
      <w:pPr>
        <w:keepNext/>
        <w:keepLines/>
        <w:snapToGrid w:val="0"/>
        <w:spacing w:line="62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utoSpaceDE w:val="0"/>
        <w:autoSpaceDN w:val="0"/>
        <w:adjustRightInd w:val="0"/>
        <w:snapToGrid w:val="0"/>
        <w:spacing w:line="620" w:lineRule="exact"/>
        <w:ind w:firstLine="640" w:firstLineChars="200"/>
        <w:rPr>
          <w:rFonts w:eastAsia="仿宋_GB2312"/>
          <w:sz w:val="32"/>
          <w:szCs w:val="32"/>
        </w:rPr>
      </w:pPr>
      <w:r>
        <w:rPr>
          <w:rFonts w:hint="eastAsia" w:eastAsia="仿宋_GB2312"/>
          <w:sz w:val="32"/>
          <w:szCs w:val="32"/>
        </w:rPr>
        <w:t>黄壁庄镇人民政府</w:t>
      </w:r>
      <w:r>
        <w:rPr>
          <w:rFonts w:hint="eastAsia" w:ascii="仿宋_GB2312" w:hAnsi="Times New Roman" w:eastAsia="仿宋_GB2312" w:cs="Wingdings"/>
          <w:sz w:val="32"/>
          <w:szCs w:val="32"/>
        </w:rPr>
        <w:t>2020年度“三公”经费财政拨款支出预算为5.4万元，支出决算为4.73元，完成预算的87.59%,较预算减少0.67万元，下降12.41%，</w:t>
      </w:r>
      <w:r>
        <w:rPr>
          <w:rFonts w:hint="eastAsia" w:ascii="仿宋_GB2312" w:eastAsia="仿宋_GB2312" w:cs="DengXian-Regular"/>
          <w:sz w:val="32"/>
          <w:szCs w:val="32"/>
        </w:rPr>
        <w:t>主要原因是认真</w:t>
      </w:r>
      <w:bookmarkStart w:id="0" w:name="_GoBack"/>
      <w:bookmarkEnd w:id="0"/>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Wingdings"/>
          <w:sz w:val="32"/>
          <w:szCs w:val="32"/>
        </w:rPr>
        <w:t>。</w:t>
      </w:r>
    </w:p>
    <w:p>
      <w:pPr>
        <w:adjustRightInd w:val="0"/>
        <w:snapToGrid w:val="0"/>
        <w:spacing w:line="62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与上年决算相比，本年“三公”经费支出增加2.97万元，增长168.75%，主要原因一是因为疫情期间公务车用量较大，二是公务车老旧维修较多，维修费增加。</w:t>
      </w:r>
    </w:p>
    <w:p>
      <w:pPr>
        <w:adjustRightInd w:val="0"/>
        <w:snapToGrid w:val="0"/>
        <w:spacing w:line="62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2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eastAsia="仿宋_GB2312"/>
          <w:sz w:val="32"/>
          <w:szCs w:val="32"/>
        </w:rPr>
        <w:t>黄壁庄镇人民政府</w:t>
      </w:r>
      <w:r>
        <w:rPr>
          <w:rFonts w:hint="eastAsia" w:ascii="仿宋_GB2312" w:hAnsi="Times New Roman" w:eastAsia="仿宋_GB2312" w:cs="Wingdings"/>
          <w:sz w:val="32"/>
          <w:szCs w:val="32"/>
        </w:rPr>
        <w:t>2020年</w:t>
      </w:r>
      <w:r>
        <w:rPr>
          <w:rFonts w:hint="eastAsia" w:ascii="仿宋_GB2312" w:eastAsia="仿宋_GB2312" w:cs="DengXian-Regular"/>
          <w:sz w:val="32"/>
          <w:szCs w:val="32"/>
        </w:rPr>
        <w:t>度因公出国（境）团组0个、共0人，其中：本单位组织的出国（境）团组0个、共0人；参加其他单位组织的因公出国（境）团组0个、共0人，因公出国（境）费支出较年初预算持平，主要是我单位没有安排因公出国（境）费支出</w:t>
      </w:r>
      <w:r>
        <w:rPr>
          <w:rFonts w:hint="eastAsia" w:ascii="仿宋_GB2312" w:hAnsi="Times New Roman" w:eastAsia="仿宋_GB2312" w:cs="Wingdings"/>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Mongolian Baiti"/>
          <w:b/>
          <w:bCs/>
          <w:sz w:val="32"/>
          <w:szCs w:val="32"/>
        </w:rPr>
        <w:t>2.公务用车购置及运行维护费。</w:t>
      </w:r>
      <w:r>
        <w:rPr>
          <w:rFonts w:hint="eastAsia" w:eastAsia="仿宋_GB2312"/>
          <w:sz w:val="32"/>
          <w:szCs w:val="32"/>
        </w:rPr>
        <w:t>黄壁庄镇人民政府</w:t>
      </w:r>
      <w:r>
        <w:rPr>
          <w:rFonts w:hint="eastAsia" w:ascii="仿宋_GB2312" w:hAnsi="Times New Roman" w:eastAsia="仿宋_GB2312" w:cs="Wingdings"/>
          <w:sz w:val="32"/>
          <w:szCs w:val="32"/>
        </w:rPr>
        <w:t>2020年度公务用车购置及运行维护费支出4.73万元，较预算减少0.67万元，降低12.41%,其中公车购置费0万元，与预算持平。</w:t>
      </w:r>
      <w:r>
        <w:rPr>
          <w:rFonts w:hint="eastAsia" w:ascii="仿宋_GB2312" w:hAnsi="Times New Roman" w:eastAsia="仿宋_GB2312" w:cs="DengXian-Bold"/>
          <w:b/>
          <w:bCs/>
          <w:sz w:val="32"/>
          <w:szCs w:val="32"/>
        </w:rPr>
        <w:t>其中：</w:t>
      </w:r>
    </w:p>
    <w:p>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DengXian-Regular"/>
          <w:b/>
          <w:sz w:val="32"/>
          <w:szCs w:val="32"/>
        </w:rPr>
        <w:t>公务用车购置费：</w:t>
      </w:r>
      <w:r>
        <w:rPr>
          <w:rFonts w:hint="eastAsia" w:eastAsia="仿宋_GB2312"/>
          <w:sz w:val="32"/>
          <w:szCs w:val="32"/>
        </w:rPr>
        <w:t>黄壁庄镇人民政府</w:t>
      </w:r>
      <w:r>
        <w:rPr>
          <w:rFonts w:hint="eastAsia" w:ascii="仿宋_GB2312" w:hAnsi="Times New Roman" w:eastAsia="仿宋_GB2312" w:cs="Wingdings"/>
          <w:sz w:val="32"/>
          <w:szCs w:val="32"/>
        </w:rPr>
        <w:t>2020年度公务用车购置量0辆，未发生“公务用车购置”经费支出，与预算和上年决算持平，</w:t>
      </w:r>
      <w:r>
        <w:rPr>
          <w:rFonts w:hint="eastAsia" w:ascii="仿宋_GB2312" w:eastAsia="仿宋_GB2312" w:cs="DengXian-Regular"/>
          <w:sz w:val="32"/>
          <w:szCs w:val="32"/>
        </w:rPr>
        <w:t>主要是我单位没有安排公务车购置支出。</w:t>
      </w:r>
      <w:r>
        <w:rPr>
          <w:rFonts w:ascii="仿宋_GB2312" w:hAnsi="Times New Roman" w:eastAsia="仿宋_GB2312" w:cs="Wingdings"/>
          <w:sz w:val="32"/>
          <w:szCs w:val="32"/>
        </w:rPr>
        <w:t xml:space="preserve"> </w:t>
      </w:r>
    </w:p>
    <w:p>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eastAsia="仿宋_GB2312"/>
          <w:sz w:val="32"/>
          <w:szCs w:val="32"/>
        </w:rPr>
        <w:t>黄壁庄镇人民政府</w:t>
      </w:r>
      <w:r>
        <w:rPr>
          <w:rFonts w:hint="eastAsia" w:ascii="仿宋_GB2312" w:hAnsi="Times New Roman" w:eastAsia="仿宋_GB2312" w:cs="Wingdings"/>
          <w:sz w:val="32"/>
          <w:szCs w:val="32"/>
        </w:rPr>
        <w:t>2020年度公务用车保有量2辆，公务用车运维费支出4.73万元。公车运行维护费支出较预算减少0.67万元，下降12.41%,主要是强化预算约束，严守公务用车配备及使用纪律所致。较上年决算增加了2.97万元，增长168.75%，主要原因一是因为疫情期间公务车用量较大，二是公务车老旧维修较多，维修费增加。</w:t>
      </w:r>
    </w:p>
    <w:p>
      <w:pPr>
        <w:adjustRightInd w:val="0"/>
        <w:snapToGrid w:val="0"/>
        <w:spacing w:line="620" w:lineRule="exact"/>
        <w:ind w:firstLine="643" w:firstLineChars="200"/>
        <w:rPr>
          <w:rFonts w:ascii="仿宋" w:hAnsi="仿宋" w:eastAsia="仿宋" w:cs="Wingdings"/>
          <w:sz w:val="32"/>
          <w:szCs w:val="32"/>
        </w:rPr>
      </w:pPr>
      <w:r>
        <w:rPr>
          <w:rFonts w:hint="eastAsia" w:ascii="楷体_GB2312" w:hAnsi="Times New Roman" w:eastAsia="楷体_GB2312" w:cs="Mongolian Baiti"/>
          <w:b/>
          <w:bCs/>
          <w:sz w:val="32"/>
          <w:szCs w:val="32"/>
        </w:rPr>
        <w:t>3.公务接待费。</w:t>
      </w:r>
      <w:r>
        <w:rPr>
          <w:rFonts w:hint="eastAsia" w:eastAsia="仿宋_GB2312"/>
          <w:sz w:val="32"/>
          <w:szCs w:val="32"/>
        </w:rPr>
        <w:t>黄壁庄镇人民政府</w:t>
      </w:r>
      <w:r>
        <w:rPr>
          <w:rFonts w:hint="eastAsia" w:ascii="仿宋" w:hAnsi="仿宋" w:eastAsia="仿宋" w:cs="Mongolian Baiti"/>
          <w:bCs/>
          <w:sz w:val="32"/>
          <w:szCs w:val="32"/>
        </w:rPr>
        <w:t>2020年公务接待费支出0万元，其中</w:t>
      </w:r>
      <w:r>
        <w:rPr>
          <w:rFonts w:hint="eastAsia" w:ascii="仿宋" w:hAnsi="仿宋" w:eastAsia="仿宋" w:cs="Wingdings"/>
          <w:sz w:val="32"/>
          <w:szCs w:val="32"/>
        </w:rPr>
        <w:t>公务接待0批次、0人次。</w:t>
      </w:r>
      <w:r>
        <w:rPr>
          <w:rFonts w:hint="eastAsia" w:ascii="仿宋" w:hAnsi="仿宋" w:eastAsia="仿宋" w:cs="DengXian-Regular"/>
          <w:sz w:val="32"/>
          <w:szCs w:val="32"/>
        </w:rPr>
        <w:t>我单位未发生此类业务。公务接待费支出较年初预算持平,主要是我单位没有安排公务接待费支出</w:t>
      </w:r>
      <w:r>
        <w:rPr>
          <w:rFonts w:hint="eastAsia" w:ascii="仿宋" w:hAnsi="仿宋" w:eastAsia="仿宋" w:cs="Wingdings"/>
          <w:sz w:val="32"/>
          <w:szCs w:val="32"/>
        </w:rPr>
        <w:t>。</w:t>
      </w:r>
    </w:p>
    <w:p>
      <w:pPr>
        <w:adjustRightInd w:val="0"/>
        <w:snapToGrid w:val="0"/>
        <w:spacing w:line="62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2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号）等文件要求，</w:t>
      </w:r>
      <w:r>
        <w:rPr>
          <w:rFonts w:hint="eastAsia" w:ascii="仿宋_GB2312" w:hAnsi="Times New Roman" w:eastAsia="仿宋_GB2312" w:cs="Wingdings"/>
          <w:sz w:val="32"/>
          <w:szCs w:val="32"/>
          <w:lang w:eastAsia="zh-CN"/>
        </w:rPr>
        <w:t>黄壁庄镇人民政府</w:t>
      </w:r>
      <w:r>
        <w:rPr>
          <w:rFonts w:hint="eastAsia" w:ascii="仿宋_GB2312" w:hAnsi="Times New Roman" w:eastAsia="仿宋_GB2312" w:cs="Wingdings"/>
          <w:sz w:val="32"/>
          <w:szCs w:val="32"/>
        </w:rPr>
        <w:t>组织对2020年度13个项目全面开展绩效自评，共涉及资金</w:t>
      </w:r>
      <w:r>
        <w:rPr>
          <w:rFonts w:hint="eastAsia" w:ascii="仿宋_GB2312" w:hAnsi="Times New Roman" w:eastAsia="仿宋_GB2312" w:cs="Wingdings"/>
          <w:sz w:val="32"/>
          <w:szCs w:val="32"/>
          <w:lang w:val="en-US" w:eastAsia="zh-CN"/>
        </w:rPr>
        <w:t>820.29</w:t>
      </w:r>
      <w:r>
        <w:rPr>
          <w:rFonts w:hint="eastAsia" w:ascii="仿宋_GB2312" w:hAnsi="Times New Roman" w:eastAsia="仿宋_GB2312" w:cs="Wingdings"/>
          <w:sz w:val="32"/>
          <w:szCs w:val="32"/>
        </w:rPr>
        <w:t>万元。</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2020年</w:t>
      </w:r>
      <w:r>
        <w:rPr>
          <w:rFonts w:hint="eastAsia" w:eastAsia="仿宋_GB2312"/>
          <w:sz w:val="32"/>
          <w:szCs w:val="32"/>
        </w:rPr>
        <w:t>黄壁庄镇人民政府</w:t>
      </w:r>
      <w:r>
        <w:rPr>
          <w:rFonts w:hint="eastAsia" w:ascii="仿宋_GB2312" w:hAnsi="宋体" w:eastAsia="仿宋_GB2312"/>
          <w:sz w:val="32"/>
          <w:szCs w:val="32"/>
        </w:rPr>
        <w:t>绩效自评项目共13个，其中</w:t>
      </w:r>
      <w:r>
        <w:rPr>
          <w:rFonts w:hint="eastAsia" w:ascii="仿宋_GB2312" w:hAnsi="仿宋" w:eastAsia="仿宋_GB2312"/>
          <w:sz w:val="32"/>
          <w:szCs w:val="32"/>
        </w:rPr>
        <w:t>评价等级为“优”项目1</w:t>
      </w:r>
      <w:r>
        <w:rPr>
          <w:rFonts w:hint="eastAsia" w:ascii="仿宋_GB2312" w:hAnsi="仿宋" w:eastAsia="仿宋_GB2312"/>
          <w:sz w:val="32"/>
          <w:szCs w:val="32"/>
          <w:lang w:val="en-US" w:eastAsia="zh-CN"/>
        </w:rPr>
        <w:t>3</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100</w:t>
      </w:r>
      <w:r>
        <w:rPr>
          <w:rFonts w:hint="eastAsia" w:ascii="仿宋_GB2312" w:hAnsi="仿宋" w:eastAsia="仿宋_GB2312"/>
          <w:sz w:val="32"/>
          <w:szCs w:val="32"/>
        </w:rPr>
        <w:t>%；评价等级为“良”的项目</w:t>
      </w:r>
      <w:r>
        <w:rPr>
          <w:rFonts w:hint="eastAsia" w:ascii="仿宋_GB2312" w:hAnsi="仿宋" w:eastAsia="仿宋_GB2312"/>
          <w:sz w:val="32"/>
          <w:szCs w:val="32"/>
          <w:lang w:val="en-US" w:eastAsia="zh-CN"/>
        </w:rPr>
        <w:t>0</w:t>
      </w:r>
      <w:r>
        <w:rPr>
          <w:rFonts w:hint="eastAsia" w:ascii="仿宋_GB2312" w:hAnsi="仿宋" w:eastAsia="仿宋_GB2312"/>
          <w:sz w:val="32"/>
          <w:szCs w:val="32"/>
        </w:rPr>
        <w:t>个。</w:t>
      </w:r>
      <w:r>
        <w:rPr>
          <w:rFonts w:hint="eastAsia" w:ascii="仿宋_GB2312" w:hAnsi="宋体" w:eastAsia="仿宋_GB2312"/>
          <w:sz w:val="32"/>
          <w:szCs w:val="32"/>
        </w:rPr>
        <w:t>详见下表。</w:t>
      </w:r>
    </w:p>
    <w:p>
      <w:pPr>
        <w:snapToGrid w:val="0"/>
        <w:spacing w:line="360" w:lineRule="auto"/>
        <w:ind w:left="-105" w:leftChars="-50" w:right="-105" w:rightChars="-50" w:firstLine="640" w:firstLineChars="200"/>
        <w:rPr>
          <w:rFonts w:ascii="仿宋_GB2312" w:hAnsi="宋体" w:eastAsia="仿宋_GB2312"/>
          <w:sz w:val="32"/>
          <w:szCs w:val="32"/>
        </w:rPr>
      </w:pPr>
    </w:p>
    <w:p>
      <w:pPr>
        <w:snapToGrid w:val="0"/>
        <w:spacing w:line="360" w:lineRule="auto"/>
        <w:ind w:left="-105" w:leftChars="-50" w:right="-105" w:rightChars="-50"/>
        <w:jc w:val="center"/>
        <w:rPr>
          <w:rFonts w:ascii="仿宋_GB2312" w:hAnsi="宋体" w:eastAsia="仿宋_GB2312"/>
          <w:b/>
          <w:sz w:val="32"/>
          <w:szCs w:val="32"/>
        </w:rPr>
      </w:pPr>
      <w:r>
        <w:rPr>
          <w:rFonts w:hint="eastAsia" w:ascii="仿宋_GB2312" w:hAnsi="宋体" w:eastAsia="仿宋_GB2312"/>
          <w:b/>
          <w:sz w:val="32"/>
          <w:szCs w:val="32"/>
          <w:lang w:eastAsia="zh-CN"/>
        </w:rPr>
        <w:t>黄壁庄镇人民政府</w:t>
      </w:r>
      <w:r>
        <w:rPr>
          <w:rFonts w:hint="eastAsia" w:ascii="仿宋_GB2312" w:hAnsi="宋体" w:eastAsia="仿宋_GB2312"/>
          <w:b/>
          <w:sz w:val="32"/>
          <w:szCs w:val="32"/>
        </w:rPr>
        <w:t>绩效自评结果统计表</w:t>
      </w:r>
    </w:p>
    <w:tbl>
      <w:tblPr>
        <w:tblStyle w:val="5"/>
        <w:tblW w:w="8238" w:type="dxa"/>
        <w:jc w:val="center"/>
        <w:tblLayout w:type="fixed"/>
        <w:tblCellMar>
          <w:top w:w="0" w:type="dxa"/>
          <w:left w:w="108" w:type="dxa"/>
          <w:bottom w:w="0" w:type="dxa"/>
          <w:right w:w="108" w:type="dxa"/>
        </w:tblCellMar>
      </w:tblPr>
      <w:tblGrid>
        <w:gridCol w:w="763"/>
        <w:gridCol w:w="5515"/>
        <w:gridCol w:w="1000"/>
        <w:gridCol w:w="960"/>
      </w:tblGrid>
      <w:tr>
        <w:tblPrEx>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评价等级</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1</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拆违、京赞线环境容貌整治费用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eastAsia="zh-CN"/>
              </w:rPr>
              <w:t>9</w:t>
            </w:r>
            <w:r>
              <w:rPr>
                <w:rFonts w:hint="eastAsia" w:ascii="宋体" w:hAnsi="宋体" w:eastAsia="宋体" w:cs="宋体"/>
                <w:kern w:val="0"/>
                <w:sz w:val="22"/>
                <w:szCs w:val="22"/>
                <w:lang w:val="en-US" w:eastAsia="zh-CN"/>
              </w:rPr>
              <w:t>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2</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rPr>
            </w:pPr>
            <w:r>
              <w:rPr>
                <w:rFonts w:hint="eastAsia" w:ascii="宋体" w:hAnsi="宋体" w:eastAsia="宋体" w:cs="宋体"/>
                <w:i w:val="0"/>
                <w:iCs w:val="0"/>
                <w:color w:val="000000"/>
                <w:kern w:val="0"/>
                <w:sz w:val="22"/>
                <w:szCs w:val="22"/>
                <w:u w:val="none"/>
                <w:lang w:val="en-US" w:eastAsia="zh-CN" w:bidi="ar"/>
              </w:rPr>
              <w:t>2020年农村综合改革示范村建设项目（上吕）151万元</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97</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3</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2020年农村综合改革示范村建设项目（上吕）101万元</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97</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4</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2020年农村综合改革示范村建设项目（上吕）48万元</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lang w:val="en-US"/>
              </w:rPr>
            </w:pPr>
            <w:r>
              <w:rPr>
                <w:rFonts w:hint="eastAsia" w:ascii="宋体" w:hAnsi="宋体" w:eastAsia="宋体" w:cs="宋体"/>
                <w:kern w:val="0"/>
                <w:sz w:val="22"/>
                <w:szCs w:val="22"/>
                <w:lang w:val="en-US"/>
              </w:rPr>
              <w:t xml:space="preserve">   </w:t>
            </w:r>
            <w:r>
              <w:rPr>
                <w:rFonts w:hint="eastAsia" w:ascii="宋体" w:hAnsi="宋体" w:eastAsia="宋体" w:cs="宋体"/>
                <w:kern w:val="0"/>
                <w:sz w:val="22"/>
                <w:szCs w:val="22"/>
                <w:lang w:val="en-US" w:eastAsia="zh-CN"/>
              </w:rPr>
              <w:t>97</w:t>
            </w:r>
            <w:r>
              <w:rPr>
                <w:rFonts w:hint="eastAsia" w:ascii="宋体" w:hAnsi="宋体" w:eastAsia="宋体" w:cs="宋体"/>
                <w:kern w:val="0"/>
                <w:sz w:val="22"/>
                <w:szCs w:val="22"/>
                <w:lang w:val="en-US"/>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5</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农村生活污水治理专项资金</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98</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6</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农村生活污水治理专项资金</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98</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7</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清理垃圾费用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98</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8</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水源地分类处置企业评估费用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97</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9</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大气污染综合治理考核奖励资金</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98</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10</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kern w:val="0"/>
                <w:sz w:val="22"/>
                <w:szCs w:val="22"/>
              </w:rPr>
            </w:pPr>
            <w:r>
              <w:rPr>
                <w:rFonts w:hint="eastAsia" w:ascii="宋体" w:hAnsi="宋体" w:eastAsia="宋体" w:cs="宋体"/>
                <w:i w:val="0"/>
                <w:iCs w:val="0"/>
                <w:color w:val="000000"/>
                <w:kern w:val="0"/>
                <w:sz w:val="22"/>
                <w:szCs w:val="22"/>
                <w:u w:val="none"/>
                <w:lang w:val="en-US" w:eastAsia="zh-CN" w:bidi="ar"/>
              </w:rPr>
              <w:t>黄壁庄镇防控经费补贴</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97</w:t>
            </w:r>
            <w:r>
              <w:rPr>
                <w:rFonts w:hint="eastAsia" w:ascii="宋体" w:hAnsi="宋体" w:eastAsia="宋体" w:cs="宋体"/>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11</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tabs>
                <w:tab w:val="left" w:pos="625"/>
              </w:tabs>
              <w:spacing w:line="360" w:lineRule="auto"/>
              <w:ind w:left="-105" w:leftChars="-50" w:right="-105" w:rightChars="-50"/>
              <w:jc w:val="left"/>
              <w:rPr>
                <w:rFonts w:hint="eastAsia" w:ascii="宋体" w:hAnsi="宋体" w:eastAsia="宋体" w:cs="宋体"/>
                <w:kern w:val="0"/>
                <w:sz w:val="22"/>
                <w:szCs w:val="22"/>
                <w:lang w:eastAsia="zh-CN"/>
              </w:rPr>
            </w:pPr>
            <w:r>
              <w:rPr>
                <w:rFonts w:hint="eastAsia" w:ascii="宋体" w:hAnsi="宋体" w:eastAsia="宋体" w:cs="宋体"/>
                <w:kern w:val="0"/>
                <w:sz w:val="22"/>
                <w:szCs w:val="22"/>
                <w:lang w:eastAsia="zh-CN"/>
              </w:rPr>
              <w:t>2020年军队退役人员公益岗位工资</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99</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12</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tabs>
                <w:tab w:val="left" w:pos="1443"/>
              </w:tabs>
              <w:spacing w:line="360" w:lineRule="auto"/>
              <w:ind w:left="-105" w:leftChars="-50" w:right="-105" w:rightChars="-50"/>
              <w:jc w:val="left"/>
              <w:rPr>
                <w:rFonts w:hint="eastAsia" w:ascii="宋体" w:hAnsi="宋体" w:eastAsia="宋体" w:cs="宋体"/>
                <w:kern w:val="0"/>
                <w:sz w:val="22"/>
                <w:szCs w:val="22"/>
                <w:lang w:eastAsia="zh-CN"/>
              </w:rPr>
            </w:pPr>
            <w:r>
              <w:rPr>
                <w:rFonts w:hint="eastAsia" w:ascii="宋体" w:hAnsi="宋体" w:eastAsia="宋体" w:cs="宋体"/>
                <w:kern w:val="0"/>
                <w:sz w:val="22"/>
                <w:szCs w:val="22"/>
                <w:lang w:eastAsia="zh-CN"/>
              </w:rPr>
              <w:t>关于提前下达2020年中央农村综合改革转移支付预算</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97</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13</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05" w:rightChars="-50"/>
              <w:jc w:val="left"/>
              <w:rPr>
                <w:rFonts w:hint="eastAsia" w:ascii="宋体" w:hAnsi="宋体" w:eastAsia="宋体" w:cs="宋体"/>
                <w:kern w:val="0"/>
                <w:sz w:val="22"/>
                <w:szCs w:val="22"/>
              </w:rPr>
            </w:pPr>
            <w:r>
              <w:rPr>
                <w:rFonts w:hint="eastAsia" w:ascii="宋体" w:hAnsi="宋体" w:eastAsia="宋体" w:cs="宋体"/>
                <w:kern w:val="0"/>
                <w:sz w:val="22"/>
                <w:szCs w:val="22"/>
              </w:rPr>
              <w:t>关于提前下达2020年中央农村综合改革转移支付预算</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97</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hint="eastAsia" w:ascii="宋体" w:hAnsi="宋体" w:eastAsia="宋体" w:cs="宋体"/>
                <w:kern w:val="0"/>
                <w:sz w:val="22"/>
                <w:szCs w:val="22"/>
              </w:rPr>
            </w:pPr>
            <w:r>
              <w:rPr>
                <w:rFonts w:hint="eastAsia" w:ascii="宋体" w:hAnsi="宋体" w:eastAsia="宋体" w:cs="宋体"/>
                <w:kern w:val="0"/>
                <w:sz w:val="22"/>
                <w:szCs w:val="22"/>
              </w:rPr>
              <w:t>优</w:t>
            </w:r>
          </w:p>
        </w:tc>
      </w:tr>
    </w:tbl>
    <w:p>
      <w:pPr>
        <w:adjustRightInd w:val="0"/>
        <w:snapToGrid w:val="0"/>
        <w:spacing w:line="60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根据预算绩效管理要求，</w:t>
      </w:r>
      <w:r>
        <w:rPr>
          <w:rFonts w:hint="eastAsia" w:ascii="仿宋_GB2312" w:hAnsi="仿宋_GB2312" w:eastAsia="仿宋_GB2312" w:cs="仿宋_GB2312"/>
          <w:color w:val="auto"/>
          <w:sz w:val="32"/>
          <w:szCs w:val="32"/>
          <w:lang w:eastAsia="zh-CN"/>
        </w:rPr>
        <w:t>黄壁庄镇人民政府</w:t>
      </w:r>
      <w:r>
        <w:rPr>
          <w:rFonts w:hint="eastAsia" w:ascii="仿宋_GB2312" w:hAnsi="仿宋_GB2312" w:eastAsia="仿宋_GB2312" w:cs="仿宋_GB2312"/>
          <w:color w:val="auto"/>
          <w:sz w:val="32"/>
          <w:szCs w:val="32"/>
        </w:rPr>
        <w:t>组织对20</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rPr>
        <w:t>年度一般公共预算项目支出</w:t>
      </w:r>
      <w:r>
        <w:rPr>
          <w:rFonts w:hint="eastAsia" w:ascii="仿宋_GB2312" w:hAnsi="仿宋_GB2312" w:eastAsia="仿宋_GB2312" w:cs="仿宋_GB2312"/>
          <w:color w:val="auto"/>
          <w:sz w:val="32"/>
          <w:szCs w:val="32"/>
          <w:lang w:eastAsia="zh-CN"/>
        </w:rPr>
        <w:t>和</w:t>
      </w:r>
      <w:r>
        <w:rPr>
          <w:rFonts w:hint="eastAsia" w:ascii="仿宋_GB2312" w:hAnsi="Times New Roman" w:eastAsia="仿宋_GB2312" w:cs="Wingdings"/>
          <w:sz w:val="32"/>
          <w:szCs w:val="32"/>
        </w:rPr>
        <w:t>政府性基金</w:t>
      </w:r>
      <w:r>
        <w:rPr>
          <w:rFonts w:hint="eastAsia" w:ascii="仿宋_GB2312" w:hAnsi="Times New Roman" w:eastAsia="仿宋_GB2312" w:cs="Wingdings"/>
          <w:sz w:val="32"/>
          <w:szCs w:val="32"/>
          <w:lang w:eastAsia="zh-CN"/>
        </w:rPr>
        <w:t>项目支出</w:t>
      </w:r>
      <w:r>
        <w:rPr>
          <w:rFonts w:hint="eastAsia" w:ascii="仿宋_GB2312" w:hAnsi="仿宋_GB2312" w:eastAsia="仿宋_GB2312" w:cs="仿宋_GB2312"/>
          <w:color w:val="auto"/>
          <w:sz w:val="32"/>
          <w:szCs w:val="32"/>
        </w:rPr>
        <w:t>全面开展绩效自评</w:t>
      </w:r>
      <w:r>
        <w:rPr>
          <w:rFonts w:hint="eastAsia" w:ascii="仿宋_GB2312" w:hAnsi="仿宋_GB2312" w:eastAsia="仿宋_GB2312" w:cs="仿宋_GB2312"/>
          <w:color w:val="auto"/>
          <w:sz w:val="32"/>
          <w:szCs w:val="32"/>
          <w:lang w:eastAsia="zh-CN"/>
        </w:rPr>
        <w:t>。</w:t>
      </w: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hint="eastAsia" w:ascii="仿宋_GB2312" w:hAnsi="仿宋_GB2312" w:eastAsia="仿宋_GB2312" w:cs="仿宋_GB2312"/>
          <w:sz w:val="32"/>
          <w:szCs w:val="32"/>
          <w:highlight w:val="yellow"/>
          <w:lang w:eastAsia="zh-CN"/>
        </w:rPr>
      </w:pPr>
      <w:r>
        <w:rPr>
          <w:rFonts w:hint="eastAsia" w:eastAsia="仿宋_GB2312"/>
          <w:sz w:val="32"/>
          <w:szCs w:val="32"/>
        </w:rPr>
        <w:t>黄壁庄镇人民政府</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461.5</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14.43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3.13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主要原因是增加劳务派遣人员，经费增加。</w:t>
      </w:r>
    </w:p>
    <w:p>
      <w:pPr>
        <w:keepNext/>
        <w:keepLines/>
        <w:snapToGrid w:val="0"/>
        <w:spacing w:line="60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color w:val="000000"/>
          <w:kern w:val="0"/>
          <w:sz w:val="32"/>
          <w:szCs w:val="32"/>
          <w:lang w:bidi="ar"/>
        </w:rPr>
      </w:pPr>
      <w:r>
        <w:rPr>
          <w:rFonts w:hint="eastAsia" w:eastAsia="仿宋_GB2312"/>
          <w:sz w:val="32"/>
          <w:szCs w:val="32"/>
        </w:rPr>
        <w:t>黄壁庄镇人民政府</w:t>
      </w:r>
      <w:r>
        <w:rPr>
          <w:rFonts w:hint="eastAsia" w:ascii="仿宋_GB2312" w:hAnsi="仿宋_GB2312" w:eastAsia="仿宋_GB2312" w:cs="仿宋_GB2312"/>
          <w:sz w:val="32"/>
          <w:szCs w:val="32"/>
        </w:rPr>
        <w:t>2020年度政府采购支出总额0万元，从采购类型来看，</w:t>
      </w:r>
      <w:r>
        <w:rPr>
          <w:rFonts w:hint="eastAsia" w:ascii="仿宋_GB2312" w:hAnsi="仿宋_GB2312" w:eastAsia="仿宋_GB2312" w:cs="仿宋_GB2312"/>
          <w:color w:val="000000"/>
          <w:kern w:val="0"/>
          <w:sz w:val="32"/>
          <w:szCs w:val="32"/>
          <w:lang w:bidi="ar"/>
        </w:rPr>
        <w:t>政府采购货物支出0 万元、政府采购服务支出 0万元。授予中小企业合同金0万元，其中授予小微企业合同金额0万元。</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年12月31日，</w:t>
      </w:r>
      <w:r>
        <w:rPr>
          <w:rFonts w:hint="eastAsia" w:ascii="仿宋_GB2312" w:eastAsia="仿宋_GB2312" w:cs="DengXian-Regular"/>
          <w:sz w:val="32"/>
          <w:szCs w:val="32"/>
        </w:rPr>
        <w:t>黄壁庄镇共有车辆8辆</w:t>
      </w:r>
      <w:r>
        <w:rPr>
          <w:rFonts w:hint="eastAsia" w:ascii="仿宋_GB2312" w:eastAsia="仿宋_GB2312" w:cs="DengXian-Regular"/>
          <w:sz w:val="32"/>
          <w:szCs w:val="32"/>
          <w:lang w:eastAsia="zh-CN"/>
        </w:rPr>
        <w:t>，</w:t>
      </w:r>
      <w:r>
        <w:rPr>
          <w:rFonts w:hint="eastAsia" w:ascii="仿宋_GB2312" w:hAnsi="Times New Roman" w:eastAsia="仿宋_GB2312" w:cs="DengXian-Regular"/>
          <w:sz w:val="32"/>
          <w:szCs w:val="32"/>
          <w:lang w:eastAsia="zh-CN"/>
        </w:rPr>
        <w:t>与上年持平</w:t>
      </w:r>
      <w:r>
        <w:rPr>
          <w:rFonts w:hint="eastAsia" w:ascii="仿宋_GB2312" w:eastAsia="仿宋_GB2312" w:cs="DengXian-Regular"/>
          <w:sz w:val="32"/>
          <w:szCs w:val="32"/>
        </w:rPr>
        <w:t>。其中应急保障用车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辆，执法执勤用车2辆，其他用车</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辆，其他用车主要是垃圾清运车。</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万元以上通用设备1台，</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，主要是单位</w:t>
      </w:r>
      <w:r>
        <w:rPr>
          <w:rFonts w:hint="eastAsia" w:ascii="仿宋_GB2312" w:hAnsi="Times New Roman" w:eastAsia="仿宋_GB2312" w:cs="DengXian-Regular"/>
          <w:sz w:val="32"/>
          <w:szCs w:val="32"/>
          <w:lang w:eastAsia="zh-CN"/>
        </w:rPr>
        <w:t>的</w:t>
      </w:r>
      <w:r>
        <w:rPr>
          <w:rFonts w:hint="eastAsia" w:ascii="仿宋_GB2312" w:hAnsi="Times New Roman" w:eastAsia="仿宋_GB2312" w:cs="DengXian-Regular"/>
          <w:sz w:val="32"/>
          <w:szCs w:val="32"/>
        </w:rPr>
        <w:t>取暖锅炉。</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1. </w:t>
      </w:r>
      <w:r>
        <w:rPr>
          <w:rFonts w:hint="eastAsia" w:eastAsia="仿宋_GB2312"/>
          <w:sz w:val="32"/>
          <w:szCs w:val="32"/>
        </w:rPr>
        <w:t>黄壁庄镇人民政府</w:t>
      </w:r>
      <w:r>
        <w:rPr>
          <w:rFonts w:hint="eastAsia" w:ascii="仿宋_GB2312" w:hAnsi="仿宋_GB2312" w:eastAsia="仿宋_GB2312" w:cs="仿宋_GB2312"/>
          <w:sz w:val="32"/>
          <w:szCs w:val="32"/>
        </w:rPr>
        <w:t>2020年度未发生国有资金经营预算收支及结转结余情况，故国有资金经营预算支出表（09表）两张表以空表列示。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1312"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1312;v-text-anchor:middle;mso-width-relative:page;mso-height-relative:page;" fillcolor="#7F7F7F [1612]"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P/0jT7ZAAAADAEAAA8A&#10;AAAAAAAAAQAgAAAAIgAAAGRycy9kb3ducmV2LnhtbFBLAQIUABQAAAAIAIdO4kDBnZ8JiAIAAEwF&#10;AAAOAAAAAAAAAAEAIAAAACgBAABkcnMvZTJvRG9jLnhtbFBLBQYAAAAABgAGAFkBAAAiBgAAAAA=&#10;">
                <v:fill type="pattern" on="t" color2="#FFFFFF [3212]" o:title="5%" focussize="0,0" r:id="rId11"/>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pPr>
        <w:rPr>
          <w:sz w:val="72"/>
        </w:rPr>
      </w:pPr>
    </w:p>
    <w:p/>
    <w:p/>
    <w:p>
      <w:r>
        <w:rPr>
          <w:sz w:val="72"/>
        </w:rPr>
        <mc:AlternateContent>
          <mc:Choice Requires="wps">
            <w:drawing>
              <wp:anchor distT="0" distB="0" distL="114300" distR="114300" simplePos="0" relativeHeight="251665408" behindDoc="0" locked="0" layoutInCell="1" allowOverlap="1">
                <wp:simplePos x="0" y="0"/>
                <wp:positionH relativeFrom="column">
                  <wp:posOffset>131445</wp:posOffset>
                </wp:positionH>
                <wp:positionV relativeFrom="paragraph">
                  <wp:posOffset>100330</wp:posOffset>
                </wp:positionV>
                <wp:extent cx="7733030" cy="3401695"/>
                <wp:effectExtent l="6350" t="6350" r="13970" b="20955"/>
                <wp:wrapNone/>
                <wp:docPr id="1" name="文本框 1"/>
                <wp:cNvGraphicFramePr/>
                <a:graphic xmlns:a="http://schemas.openxmlformats.org/drawingml/2006/main">
                  <a:graphicData uri="http://schemas.microsoft.com/office/word/2010/wordprocessingShape">
                    <wps:wsp>
                      <wps:cNvSpPr txBox="1"/>
                      <wps:spPr>
                        <a:xfrm>
                          <a:off x="0" y="0"/>
                          <a:ext cx="7733030" cy="3401695"/>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10.35pt;margin-top:7.9pt;height:267.85pt;width:608.9pt;z-index:251665408;v-text-anchor:middle;mso-width-relative:page;mso-height-relative:page;" fillcolor="#7F7F7F" filled="t" stroked="t" coordsize="21600,21600" o:gfxdata="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AU2xT92QAAAAoBAAAPAAAAAAAAAAEAIAAAACIAAABkcnMvZG93bnJldi54&#10;bWxQSwECFAAUAAAACACHTuJA4yUBzqQCAACpBQAADgAAAAAAAAABACAAAAAoAQAAZHJzL2Uyb0Rv&#10;Yy54bWxQSwUGAAAAAAYABgBZAQAAPgYAAAAA&#10;">
                <v:fill type="pattern" on="t" color2="#FFFFFF" o:title="5%" focussize="0,0" r:id="rId11"/>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
    <w:p/>
    <w:p/>
    <w:p/>
    <w:p/>
    <w:p/>
    <w:p/>
    <w:p/>
    <w:p/>
    <w:p/>
    <w:p/>
    <w:p/>
    <w:p/>
    <w:p/>
    <w:p/>
    <w:p/>
    <w:p/>
    <w:p>
      <w:r>
        <w:br w:type="page"/>
      </w:r>
    </w:p>
    <w:p>
      <w:pPr>
        <w:rPr>
          <w:rFonts w:hint="eastAsia" w:eastAsiaTheme="minorEastAsia"/>
          <w:lang w:eastAsia="zh-CN"/>
        </w:rPr>
      </w:pPr>
      <w:r>
        <w:rPr>
          <w:rFonts w:hint="eastAsia" w:eastAsiaTheme="minorEastAsia"/>
          <w:lang w:eastAsia="zh-CN"/>
        </w:rPr>
        <w:object>
          <v:shape id="_x0000_i1025" o:spt="75" type="#_x0000_t75" style="height:504.9pt;width:624.4pt;" o:ole="t" filled="f" o:preferrelative="t" stroked="f" coordsize="21600,21600">
            <v:path/>
            <v:fill on="f" focussize="0,0"/>
            <v:stroke on="f"/>
            <v:imagedata r:id="rId19" o:title=""/>
            <o:lock v:ext="edit" aspectratio="t"/>
            <w10:wrap type="none"/>
            <w10:anchorlock/>
          </v:shape>
          <o:OLEObject Type="Embed" ProgID="Excel.Sheet.8" ShapeID="_x0000_i1025" DrawAspect="Content" ObjectID="_1468075725" r:id="rId18">
            <o:LockedField>false</o:LockedField>
          </o:OLEObject>
        </w:object>
      </w:r>
    </w:p>
    <w:p/>
    <w:tbl>
      <w:tblPr>
        <w:tblStyle w:val="5"/>
        <w:tblW w:w="11790" w:type="dxa"/>
        <w:tblInd w:w="93" w:type="dxa"/>
        <w:shd w:val="clear" w:color="auto" w:fill="auto"/>
        <w:tblLayout w:type="autofit"/>
        <w:tblCellMar>
          <w:top w:w="0" w:type="dxa"/>
          <w:left w:w="108" w:type="dxa"/>
          <w:bottom w:w="0" w:type="dxa"/>
          <w:right w:w="108" w:type="dxa"/>
        </w:tblCellMar>
      </w:tblPr>
      <w:tblGrid>
        <w:gridCol w:w="3346"/>
        <w:gridCol w:w="221"/>
        <w:gridCol w:w="221"/>
        <w:gridCol w:w="3276"/>
        <w:gridCol w:w="987"/>
        <w:gridCol w:w="987"/>
        <w:gridCol w:w="602"/>
        <w:gridCol w:w="602"/>
        <w:gridCol w:w="602"/>
        <w:gridCol w:w="602"/>
        <w:gridCol w:w="1433"/>
      </w:tblGrid>
      <w:tr>
        <w:tblPrEx>
          <w:shd w:val="clear" w:color="auto" w:fill="auto"/>
          <w:tblCellMar>
            <w:top w:w="0" w:type="dxa"/>
            <w:left w:w="108" w:type="dxa"/>
            <w:bottom w:w="0" w:type="dxa"/>
            <w:right w:w="108" w:type="dxa"/>
          </w:tblCellMar>
        </w:tblPrEx>
        <w:trPr>
          <w:trHeight w:val="390" w:hRule="atLeast"/>
        </w:trPr>
        <w:tc>
          <w:tcPr>
            <w:tcW w:w="11790" w:type="dxa"/>
            <w:gridSpan w:val="11"/>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41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121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3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75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73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85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12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tblPrEx>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1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1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3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3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1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1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3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3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1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1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3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3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41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3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5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3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5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2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2,100.75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1,854.33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246.42</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978.74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951.57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27.17</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929.57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27.17</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921.73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894.56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27.17</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统计信息事务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2010502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2010602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公共卫生</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2100409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重大公共卫生服务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计划生育服务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410.47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335.49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74.99</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水体</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自然生态保护</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342.57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267.58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74.99</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2110402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农村环境保护</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342.57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267.58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74.99</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城管执法</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505.22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380.22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其他农业农村支出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2130319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江河湖库水系综合整治</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对村级一事一议的补助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农村综合改革示范试点补助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资源勘探工业信息等支出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资源勘探开发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r>
      <w:tr>
        <w:tblPrEx>
          <w:tblCellMar>
            <w:top w:w="0" w:type="dxa"/>
            <w:left w:w="108" w:type="dxa"/>
            <w:bottom w:w="0" w:type="dxa"/>
            <w:right w:w="108" w:type="dxa"/>
          </w:tblCellMar>
        </w:tblPrEx>
        <w:trPr>
          <w:trHeight w:val="308" w:hRule="atLeast"/>
        </w:trPr>
        <w:tc>
          <w:tcPr>
            <w:tcW w:w="0" w:type="auto"/>
            <w:gridSpan w:val="11"/>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注：本表反映部门本年度取得的各项收入情况。</w:t>
            </w:r>
          </w:p>
        </w:tc>
      </w:tr>
    </w:tbl>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tbl>
      <w:tblPr>
        <w:tblStyle w:val="5"/>
        <w:tblW w:w="11250" w:type="dxa"/>
        <w:tblInd w:w="93" w:type="dxa"/>
        <w:shd w:val="clear" w:color="auto" w:fill="auto"/>
        <w:tblLayout w:type="autofit"/>
        <w:tblCellMar>
          <w:top w:w="0" w:type="dxa"/>
          <w:left w:w="108" w:type="dxa"/>
          <w:bottom w:w="0" w:type="dxa"/>
          <w:right w:w="108" w:type="dxa"/>
        </w:tblCellMar>
      </w:tblPr>
      <w:tblGrid>
        <w:gridCol w:w="3410"/>
        <w:gridCol w:w="221"/>
        <w:gridCol w:w="221"/>
        <w:gridCol w:w="3339"/>
        <w:gridCol w:w="1003"/>
        <w:gridCol w:w="1003"/>
        <w:gridCol w:w="1003"/>
        <w:gridCol w:w="610"/>
        <w:gridCol w:w="610"/>
        <w:gridCol w:w="1459"/>
      </w:tblGrid>
      <w:tr>
        <w:tblPrEx>
          <w:shd w:val="clear" w:color="auto" w:fill="auto"/>
          <w:tblCellMar>
            <w:top w:w="0" w:type="dxa"/>
            <w:left w:w="108" w:type="dxa"/>
            <w:bottom w:w="0" w:type="dxa"/>
            <w:right w:w="108" w:type="dxa"/>
          </w:tblCellMar>
        </w:tblPrEx>
        <w:trPr>
          <w:trHeight w:val="390" w:hRule="atLeast"/>
        </w:trPr>
        <w:tc>
          <w:tcPr>
            <w:tcW w:w="11250" w:type="dxa"/>
            <w:gridSpan w:val="10"/>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42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42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47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78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85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81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42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2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47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8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5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1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2,076.18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1,034.06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1,042.12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978.76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951.59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929.59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921.75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894.58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统计信息事务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2010502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2010602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公共卫生</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2100409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重大公共卫生服务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计划生育服务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385.89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385.89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水体</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自然生态保护</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2110402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农村环境保护</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城管执法</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505.22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其他农业农村支出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2130319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江河湖库水系综合整治</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对村级一事一议的补助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农村综合改革示范试点补助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资源勘探工业信息等支出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资源勘探开发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10"/>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注：本表反映部门本年度各项支出情况。</w:t>
            </w:r>
          </w:p>
        </w:tc>
      </w:tr>
    </w:tbl>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tbl>
      <w:tblPr>
        <w:tblStyle w:val="5"/>
        <w:tblW w:w="12150" w:type="dxa"/>
        <w:tblInd w:w="93" w:type="dxa"/>
        <w:shd w:val="clear" w:color="auto" w:fill="auto"/>
        <w:tblLayout w:type="autofit"/>
        <w:tblCellMar>
          <w:top w:w="0" w:type="dxa"/>
          <w:left w:w="108" w:type="dxa"/>
          <w:bottom w:w="0" w:type="dxa"/>
          <w:right w:w="108" w:type="dxa"/>
        </w:tblCellMar>
      </w:tblPr>
      <w:tblGrid>
        <w:gridCol w:w="1687"/>
        <w:gridCol w:w="552"/>
        <w:gridCol w:w="1238"/>
        <w:gridCol w:w="3300"/>
        <w:gridCol w:w="552"/>
        <w:gridCol w:w="1096"/>
        <w:gridCol w:w="1096"/>
        <w:gridCol w:w="1012"/>
        <w:gridCol w:w="1617"/>
      </w:tblGrid>
      <w:tr>
        <w:tblPrEx>
          <w:shd w:val="clear" w:color="auto" w:fill="auto"/>
          <w:tblCellMar>
            <w:top w:w="0" w:type="dxa"/>
            <w:left w:w="108" w:type="dxa"/>
            <w:bottom w:w="0" w:type="dxa"/>
            <w:right w:w="108" w:type="dxa"/>
          </w:tblCellMar>
        </w:tblPrEx>
        <w:trPr>
          <w:trHeight w:val="390" w:hRule="atLeast"/>
        </w:trPr>
        <w:tc>
          <w:tcPr>
            <w:tcW w:w="12150" w:type="dxa"/>
            <w:gridSpan w:val="9"/>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r>
      <w:tr>
        <w:tblPrEx>
          <w:tblCellMar>
            <w:top w:w="0" w:type="dxa"/>
            <w:left w:w="108" w:type="dxa"/>
            <w:bottom w:w="0" w:type="dxa"/>
            <w:right w:w="108" w:type="dxa"/>
          </w:tblCellMar>
        </w:tblPrEx>
        <w:trPr>
          <w:trHeight w:val="255" w:hRule="atLeast"/>
        </w:trPr>
        <w:tc>
          <w:tcPr>
            <w:tcW w:w="1687"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55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30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tblPrEx>
          <w:tblCellMar>
            <w:top w:w="0" w:type="dxa"/>
            <w:left w:w="108" w:type="dxa"/>
            <w:bottom w:w="0" w:type="dxa"/>
            <w:right w:w="108" w:type="dxa"/>
          </w:tblCellMar>
        </w:tblPrEx>
        <w:trPr>
          <w:trHeight w:val="480" w:hRule="atLeast"/>
        </w:trPr>
        <w:tc>
          <w:tcPr>
            <w:tcW w:w="1687" w:type="dxa"/>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55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30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3477"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8673" w:type="dxa"/>
            <w:gridSpan w:val="6"/>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tblPrEx>
          <w:tblCellMar>
            <w:top w:w="0" w:type="dxa"/>
            <w:left w:w="108" w:type="dxa"/>
            <w:bottom w:w="0" w:type="dxa"/>
            <w:right w:w="108" w:type="dxa"/>
          </w:tblCellMar>
        </w:tblPrEx>
        <w:trPr>
          <w:trHeight w:val="292" w:hRule="atLeast"/>
        </w:trPr>
        <w:tc>
          <w:tcPr>
            <w:tcW w:w="1687"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52"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238"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330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52"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96"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012"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617"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CellMar>
            <w:top w:w="0" w:type="dxa"/>
            <w:left w:w="108" w:type="dxa"/>
            <w:bottom w:w="0" w:type="dxa"/>
            <w:right w:w="108" w:type="dxa"/>
          </w:tblCellMar>
        </w:tblPrEx>
        <w:trPr>
          <w:trHeight w:val="615" w:hRule="atLeast"/>
        </w:trPr>
        <w:tc>
          <w:tcPr>
            <w:tcW w:w="1687"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552"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38"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330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552"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09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12"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17"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52" w:type="dxa"/>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1,765.90</w:t>
            </w: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951.59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951.59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三、国有资本经营财政拨款</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380.22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380.22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b/>
                <w:bCs/>
                <w:i w:val="0"/>
                <w:iCs w:val="0"/>
                <w:color w:val="000000"/>
                <w:sz w:val="20"/>
                <w:szCs w:val="20"/>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0"/>
                <w:szCs w:val="20"/>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0"/>
                <w:szCs w:val="20"/>
                <w:u w:val="none"/>
              </w:rPr>
            </w:pP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1,854.33</w:t>
            </w: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1,829.77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1,741.34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0.02</w:t>
            </w: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0.02</w:t>
            </w:r>
          </w:p>
        </w:tc>
        <w:tc>
          <w:tcPr>
            <w:tcW w:w="3300" w:type="dxa"/>
            <w:tcBorders>
              <w:top w:val="nil"/>
              <w:left w:val="nil"/>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300" w:type="dxa"/>
            <w:tcBorders>
              <w:top w:val="nil"/>
              <w:left w:val="nil"/>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55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300" w:type="dxa"/>
            <w:tcBorders>
              <w:top w:val="nil"/>
              <w:left w:val="nil"/>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168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52" w:type="dxa"/>
            <w:tcBorders>
              <w:top w:val="nil"/>
              <w:left w:val="nil"/>
              <w:bottom w:val="single" w:color="000000" w:sz="8"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1,854.35</w:t>
            </w:r>
          </w:p>
        </w:tc>
        <w:tc>
          <w:tcPr>
            <w:tcW w:w="33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1,854.35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1,765.92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10533"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c>
          <w:tcPr>
            <w:tcW w:w="0" w:type="auto"/>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0"/>
                <w:szCs w:val="20"/>
                <w:u w:val="none"/>
              </w:rPr>
            </w:pPr>
          </w:p>
        </w:tc>
      </w:tr>
    </w:tbl>
    <w:p>
      <w:pPr>
        <w:tabs>
          <w:tab w:val="left" w:pos="682"/>
        </w:tabs>
        <w:jc w:val="left"/>
      </w:pPr>
    </w:p>
    <w:p>
      <w:pPr>
        <w:tabs>
          <w:tab w:val="left" w:pos="682"/>
        </w:tabs>
        <w:jc w:val="left"/>
      </w:pPr>
    </w:p>
    <w:tbl>
      <w:tblPr>
        <w:tblStyle w:val="5"/>
        <w:tblW w:w="8205" w:type="dxa"/>
        <w:tblInd w:w="93" w:type="dxa"/>
        <w:shd w:val="clear" w:color="auto" w:fill="auto"/>
        <w:tblLayout w:type="autofit"/>
        <w:tblCellMar>
          <w:top w:w="0" w:type="dxa"/>
          <w:left w:w="108" w:type="dxa"/>
          <w:bottom w:w="0" w:type="dxa"/>
          <w:right w:w="108" w:type="dxa"/>
        </w:tblCellMar>
      </w:tblPr>
      <w:tblGrid>
        <w:gridCol w:w="3816"/>
        <w:gridCol w:w="222"/>
        <w:gridCol w:w="222"/>
        <w:gridCol w:w="3516"/>
        <w:gridCol w:w="1103"/>
        <w:gridCol w:w="1103"/>
        <w:gridCol w:w="1616"/>
      </w:tblGrid>
      <w:tr>
        <w:tblPrEx>
          <w:shd w:val="clear" w:color="auto" w:fill="auto"/>
          <w:tblCellMar>
            <w:top w:w="0" w:type="dxa"/>
            <w:left w:w="108" w:type="dxa"/>
            <w:bottom w:w="0" w:type="dxa"/>
            <w:right w:w="108" w:type="dxa"/>
          </w:tblCellMar>
        </w:tblPrEx>
        <w:trPr>
          <w:trHeight w:val="390" w:hRule="atLeast"/>
        </w:trPr>
        <w:tc>
          <w:tcPr>
            <w:tcW w:w="8205" w:type="dxa"/>
            <w:gridSpan w:val="7"/>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810"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1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24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15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CellMar>
            <w:top w:w="0" w:type="dxa"/>
            <w:left w:w="108" w:type="dxa"/>
            <w:bottom w:w="0" w:type="dxa"/>
            <w:right w:w="108" w:type="dxa"/>
          </w:tblCellMar>
        </w:tblPrEx>
        <w:trPr>
          <w:trHeight w:val="277"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1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4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1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4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1,741.34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1,034.06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707.28</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951.59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951.59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894.58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894.58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统计信息事务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2010502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2010602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34.37</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公共卫生</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2100409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重大公共卫生服务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计划生育服务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310.91</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67.91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67.91</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水体</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64.41</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自然生态保护</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2110402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农村环境保护</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380.22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对村级一事一议的补助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农村综合改革示范试点补助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r>
      <w:tr>
        <w:tblPrEx>
          <w:tblCellMar>
            <w:top w:w="0" w:type="dxa"/>
            <w:left w:w="108" w:type="dxa"/>
            <w:bottom w:w="0" w:type="dxa"/>
            <w:right w:w="108" w:type="dxa"/>
          </w:tblCellMar>
        </w:tblPrEx>
        <w:trPr>
          <w:trHeight w:val="308" w:hRule="atLeast"/>
        </w:trPr>
        <w:tc>
          <w:tcPr>
            <w:tcW w:w="0" w:type="auto"/>
            <w:gridSpan w:val="7"/>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tbl>
      <w:tblPr>
        <w:tblStyle w:val="5"/>
        <w:tblW w:w="11430" w:type="dxa"/>
        <w:tblInd w:w="93" w:type="dxa"/>
        <w:shd w:val="clear" w:color="auto" w:fill="auto"/>
        <w:tblLayout w:type="autofit"/>
        <w:tblCellMar>
          <w:top w:w="0" w:type="dxa"/>
          <w:left w:w="108" w:type="dxa"/>
          <w:bottom w:w="0" w:type="dxa"/>
          <w:right w:w="108" w:type="dxa"/>
        </w:tblCellMar>
      </w:tblPr>
      <w:tblGrid>
        <w:gridCol w:w="2536"/>
        <w:gridCol w:w="2344"/>
        <w:gridCol w:w="642"/>
        <w:gridCol w:w="571"/>
        <w:gridCol w:w="1634"/>
        <w:gridCol w:w="642"/>
        <w:gridCol w:w="571"/>
        <w:gridCol w:w="2911"/>
        <w:gridCol w:w="1028"/>
      </w:tblGrid>
      <w:tr>
        <w:tblPrEx>
          <w:shd w:val="clear" w:color="auto" w:fill="auto"/>
          <w:tblCellMar>
            <w:top w:w="0" w:type="dxa"/>
            <w:left w:w="108" w:type="dxa"/>
            <w:bottom w:w="0" w:type="dxa"/>
            <w:right w:w="108" w:type="dxa"/>
          </w:tblCellMar>
        </w:tblPrEx>
        <w:trPr>
          <w:trHeight w:val="390" w:hRule="atLeast"/>
        </w:trPr>
        <w:tc>
          <w:tcPr>
            <w:tcW w:w="11430" w:type="dxa"/>
            <w:gridSpan w:val="9"/>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公开06表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0" w:type="auto"/>
            <w:gridSpan w:val="6"/>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CellMar>
            <w:top w:w="0" w:type="dxa"/>
            <w:left w:w="108" w:type="dxa"/>
            <w:bottom w:w="0" w:type="dxa"/>
            <w:right w:w="108" w:type="dxa"/>
          </w:tblCellMar>
        </w:tblPrEx>
        <w:trPr>
          <w:trHeight w:val="308" w:hRule="atLeast"/>
        </w:trPr>
        <w:tc>
          <w:tcPr>
            <w:tcW w:w="735"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08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6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3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65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0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3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53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9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CellMar>
            <w:top w:w="0" w:type="dxa"/>
            <w:left w:w="108" w:type="dxa"/>
            <w:bottom w:w="0" w:type="dxa"/>
            <w:right w:w="108" w:type="dxa"/>
          </w:tblCellMar>
        </w:tblPrEx>
        <w:trPr>
          <w:trHeight w:val="308" w:hRule="atLeast"/>
        </w:trPr>
        <w:tc>
          <w:tcPr>
            <w:tcW w:w="735"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08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6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3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5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0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3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53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9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559.63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450.79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129.68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44.54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159.31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6.96</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43.85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219.35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赠与</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19.75</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10.61</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2"/>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572.56</w:t>
            </w:r>
          </w:p>
        </w:tc>
        <w:tc>
          <w:tcPr>
            <w:tcW w:w="0" w:type="auto"/>
            <w:gridSpan w:val="5"/>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461.50</w:t>
            </w:r>
          </w:p>
        </w:tc>
      </w:tr>
    </w:tbl>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tbl>
      <w:tblPr>
        <w:tblStyle w:val="5"/>
        <w:tblW w:w="11325" w:type="dxa"/>
        <w:tblInd w:w="93" w:type="dxa"/>
        <w:shd w:val="clear" w:color="auto" w:fill="auto"/>
        <w:tblLayout w:type="autofit"/>
        <w:tblCellMar>
          <w:top w:w="0" w:type="dxa"/>
          <w:left w:w="108" w:type="dxa"/>
          <w:bottom w:w="0" w:type="dxa"/>
          <w:right w:w="108" w:type="dxa"/>
        </w:tblCellMar>
      </w:tblPr>
      <w:tblGrid>
        <w:gridCol w:w="3816"/>
        <w:gridCol w:w="876"/>
        <w:gridCol w:w="656"/>
        <w:gridCol w:w="656"/>
        <w:gridCol w:w="656"/>
        <w:gridCol w:w="656"/>
        <w:gridCol w:w="656"/>
        <w:gridCol w:w="876"/>
        <w:gridCol w:w="656"/>
        <w:gridCol w:w="656"/>
        <w:gridCol w:w="656"/>
        <w:gridCol w:w="1616"/>
      </w:tblGrid>
      <w:tr>
        <w:tblPrEx>
          <w:shd w:val="clear" w:color="auto" w:fill="auto"/>
          <w:tblCellMar>
            <w:top w:w="0" w:type="dxa"/>
            <w:left w:w="108" w:type="dxa"/>
            <w:bottom w:w="0" w:type="dxa"/>
            <w:right w:w="108" w:type="dxa"/>
          </w:tblCellMar>
        </w:tblPrEx>
        <w:trPr>
          <w:trHeight w:val="540" w:hRule="atLeast"/>
        </w:trPr>
        <w:tc>
          <w:tcPr>
            <w:tcW w:w="11325" w:type="dxa"/>
            <w:gridSpan w:val="12"/>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一般公共预算财政拨款“三公”经费支出决算表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5580"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5745" w:type="dxa"/>
            <w:gridSpan w:val="6"/>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CellMar>
            <w:top w:w="0" w:type="dxa"/>
            <w:left w:w="108" w:type="dxa"/>
            <w:bottom w:w="0" w:type="dxa"/>
            <w:right w:w="108" w:type="dxa"/>
          </w:tblCellMar>
        </w:tblPrEx>
        <w:trPr>
          <w:trHeight w:val="308" w:hRule="atLeast"/>
        </w:trPr>
        <w:tc>
          <w:tcPr>
            <w:tcW w:w="810"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3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2850" w:type="dxa"/>
            <w:gridSpan w:val="3"/>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88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87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2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2880" w:type="dxa"/>
            <w:gridSpan w:val="3"/>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97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tblPrEx>
          <w:tblCellMar>
            <w:top w:w="0" w:type="dxa"/>
            <w:left w:w="108" w:type="dxa"/>
            <w:bottom w:w="0" w:type="dxa"/>
            <w:right w:w="108" w:type="dxa"/>
          </w:tblCellMar>
        </w:tblPrEx>
        <w:trPr>
          <w:trHeight w:val="960" w:hRule="atLeast"/>
        </w:trPr>
        <w:tc>
          <w:tcPr>
            <w:tcW w:w="810"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96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99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88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6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99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93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97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8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3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6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9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8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87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6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9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3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9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bl>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p>
      <w:pPr>
        <w:tabs>
          <w:tab w:val="left" w:pos="682"/>
        </w:tabs>
        <w:jc w:val="left"/>
      </w:pPr>
    </w:p>
    <w:tbl>
      <w:tblPr>
        <w:tblStyle w:val="5"/>
        <w:tblW w:w="9870" w:type="dxa"/>
        <w:tblInd w:w="93" w:type="dxa"/>
        <w:shd w:val="clear" w:color="auto" w:fill="auto"/>
        <w:tblLayout w:type="autofit"/>
        <w:tblCellMar>
          <w:top w:w="0" w:type="dxa"/>
          <w:left w:w="108" w:type="dxa"/>
          <w:bottom w:w="0" w:type="dxa"/>
          <w:right w:w="108" w:type="dxa"/>
        </w:tblCellMar>
      </w:tblPr>
      <w:tblGrid>
        <w:gridCol w:w="3696"/>
        <w:gridCol w:w="222"/>
        <w:gridCol w:w="222"/>
        <w:gridCol w:w="3620"/>
        <w:gridCol w:w="645"/>
        <w:gridCol w:w="753"/>
        <w:gridCol w:w="753"/>
        <w:gridCol w:w="645"/>
        <w:gridCol w:w="753"/>
        <w:gridCol w:w="1570"/>
      </w:tblGrid>
      <w:tr>
        <w:tblPrEx>
          <w:shd w:val="clear" w:color="auto" w:fill="auto"/>
          <w:tblCellMar>
            <w:top w:w="0" w:type="dxa"/>
            <w:left w:w="108" w:type="dxa"/>
            <w:bottom w:w="0" w:type="dxa"/>
            <w:right w:w="108" w:type="dxa"/>
          </w:tblCellMar>
        </w:tblPrEx>
        <w:trPr>
          <w:trHeight w:val="390" w:hRule="atLeast"/>
        </w:trPr>
        <w:tc>
          <w:tcPr>
            <w:tcW w:w="9870" w:type="dxa"/>
            <w:gridSpan w:val="10"/>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00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02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2490"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03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0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1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84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84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03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3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bl>
    <w:p>
      <w:pPr>
        <w:tabs>
          <w:tab w:val="left" w:pos="682"/>
        </w:tabs>
        <w:jc w:val="left"/>
      </w:pPr>
    </w:p>
    <w:p>
      <w:pPr>
        <w:tabs>
          <w:tab w:val="left" w:pos="682"/>
        </w:tabs>
        <w:jc w:val="left"/>
      </w:pPr>
    </w:p>
    <w:p>
      <w:pPr>
        <w:tabs>
          <w:tab w:val="left" w:pos="682"/>
        </w:tabs>
        <w:jc w:val="left"/>
      </w:pPr>
    </w:p>
    <w:p>
      <w:pPr>
        <w:tabs>
          <w:tab w:val="left" w:pos="682"/>
        </w:tabs>
        <w:jc w:val="left"/>
      </w:pPr>
    </w:p>
    <w:tbl>
      <w:tblPr>
        <w:tblStyle w:val="5"/>
        <w:tblW w:w="11745" w:type="dxa"/>
        <w:tblInd w:w="93" w:type="dxa"/>
        <w:shd w:val="clear" w:color="auto" w:fill="auto"/>
        <w:tblLayout w:type="autofit"/>
        <w:tblCellMar>
          <w:top w:w="0" w:type="dxa"/>
          <w:left w:w="108" w:type="dxa"/>
          <w:bottom w:w="0" w:type="dxa"/>
          <w:right w:w="108" w:type="dxa"/>
        </w:tblCellMar>
      </w:tblPr>
      <w:tblGrid>
        <w:gridCol w:w="4621"/>
        <w:gridCol w:w="269"/>
        <w:gridCol w:w="269"/>
        <w:gridCol w:w="1327"/>
        <w:gridCol w:w="1654"/>
        <w:gridCol w:w="1608"/>
        <w:gridCol w:w="1997"/>
      </w:tblGrid>
      <w:tr>
        <w:tblPrEx>
          <w:shd w:val="clear" w:color="auto" w:fill="auto"/>
          <w:tblCellMar>
            <w:top w:w="0" w:type="dxa"/>
            <w:left w:w="108" w:type="dxa"/>
            <w:bottom w:w="0" w:type="dxa"/>
            <w:right w:w="108" w:type="dxa"/>
          </w:tblCellMar>
        </w:tblPrEx>
        <w:trPr>
          <w:trHeight w:val="390" w:hRule="atLeast"/>
        </w:trPr>
        <w:tc>
          <w:tcPr>
            <w:tcW w:w="11745" w:type="dxa"/>
            <w:gridSpan w:val="7"/>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tblPrEx>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部门：石家庄市鹿泉区黄壁庄镇人民政府</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6195"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29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22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68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229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229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bl>
    <w:p>
      <w:pPr>
        <w:tabs>
          <w:tab w:val="left" w:pos="682"/>
        </w:tabs>
        <w:jc w:val="left"/>
        <w:rPr>
          <w:rFonts w:hint="eastAsia" w:eastAsiaTheme="minorEastAsia"/>
          <w:lang w:eastAsia="zh-CN"/>
        </w:rPr>
        <w:sectPr>
          <w:pgSz w:w="16838" w:h="11906" w:orient="landscape"/>
          <w:pgMar w:top="1417" w:right="2098" w:bottom="1531" w:left="1984" w:header="851" w:footer="992" w:gutter="0"/>
          <w:pgNumType w:fmt="numberInDash"/>
          <w:cols w:space="0" w:num="1"/>
          <w:titlePg/>
          <w:docGrid w:type="lines" w:linePitch="312" w:charSpace="0"/>
        </w:sectPr>
      </w:pPr>
      <w:r>
        <w:rPr>
          <w:rFonts w:hint="eastAsia"/>
          <w:lang w:eastAsia="zh-CN"/>
        </w:rPr>
        <w:t>本年度本部门无相关支出情况，按要求空表列示。</w:t>
      </w: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4384;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3MGQzZDAxYmY5NDgyOTRjZTNkNWI5NThlNzk0MGUifQ=="/>
  </w:docVars>
  <w:rsids>
    <w:rsidRoot w:val="34C45458"/>
    <w:rsid w:val="00034C82"/>
    <w:rsid w:val="00061A05"/>
    <w:rsid w:val="00087F85"/>
    <w:rsid w:val="00143BDC"/>
    <w:rsid w:val="0018668E"/>
    <w:rsid w:val="0019505E"/>
    <w:rsid w:val="001B73D2"/>
    <w:rsid w:val="001E62BF"/>
    <w:rsid w:val="002456F4"/>
    <w:rsid w:val="0028799F"/>
    <w:rsid w:val="00293E7B"/>
    <w:rsid w:val="002A0161"/>
    <w:rsid w:val="002D1F4F"/>
    <w:rsid w:val="0035305D"/>
    <w:rsid w:val="00366D90"/>
    <w:rsid w:val="00395714"/>
    <w:rsid w:val="003A2E79"/>
    <w:rsid w:val="003C3809"/>
    <w:rsid w:val="003D678E"/>
    <w:rsid w:val="00437412"/>
    <w:rsid w:val="00492C18"/>
    <w:rsid w:val="00514E14"/>
    <w:rsid w:val="0058638E"/>
    <w:rsid w:val="005C2F48"/>
    <w:rsid w:val="005E3541"/>
    <w:rsid w:val="005E633C"/>
    <w:rsid w:val="00685E2C"/>
    <w:rsid w:val="006B77D7"/>
    <w:rsid w:val="006E108F"/>
    <w:rsid w:val="00786562"/>
    <w:rsid w:val="00801F66"/>
    <w:rsid w:val="00887CEA"/>
    <w:rsid w:val="008B172C"/>
    <w:rsid w:val="008C7BAC"/>
    <w:rsid w:val="009334BF"/>
    <w:rsid w:val="00940246"/>
    <w:rsid w:val="0097264C"/>
    <w:rsid w:val="009A0182"/>
    <w:rsid w:val="009A06EE"/>
    <w:rsid w:val="00AA1F5D"/>
    <w:rsid w:val="00AA253A"/>
    <w:rsid w:val="00AA447C"/>
    <w:rsid w:val="00AC7E4B"/>
    <w:rsid w:val="00B80015"/>
    <w:rsid w:val="00BE2CFD"/>
    <w:rsid w:val="00C92D00"/>
    <w:rsid w:val="00CD6330"/>
    <w:rsid w:val="00DD2F52"/>
    <w:rsid w:val="00DD72E7"/>
    <w:rsid w:val="00E20C3F"/>
    <w:rsid w:val="00E460DD"/>
    <w:rsid w:val="00E57E8D"/>
    <w:rsid w:val="00FA0DC5"/>
    <w:rsid w:val="02E6396D"/>
    <w:rsid w:val="086E76C4"/>
    <w:rsid w:val="0AFB2DBF"/>
    <w:rsid w:val="0C8214F0"/>
    <w:rsid w:val="0EA325C9"/>
    <w:rsid w:val="12CE46C1"/>
    <w:rsid w:val="14D6070D"/>
    <w:rsid w:val="15AB5DC8"/>
    <w:rsid w:val="15C15F3D"/>
    <w:rsid w:val="15EC54DE"/>
    <w:rsid w:val="165C42F2"/>
    <w:rsid w:val="174148CB"/>
    <w:rsid w:val="174B6716"/>
    <w:rsid w:val="19E00DC1"/>
    <w:rsid w:val="1A494581"/>
    <w:rsid w:val="1AF714B4"/>
    <w:rsid w:val="1FD61320"/>
    <w:rsid w:val="1FF50AAB"/>
    <w:rsid w:val="24733641"/>
    <w:rsid w:val="2551060E"/>
    <w:rsid w:val="25E011F4"/>
    <w:rsid w:val="2803445A"/>
    <w:rsid w:val="2F357F0B"/>
    <w:rsid w:val="31665861"/>
    <w:rsid w:val="319D3366"/>
    <w:rsid w:val="349F5221"/>
    <w:rsid w:val="34C45458"/>
    <w:rsid w:val="34C75097"/>
    <w:rsid w:val="368F0ACC"/>
    <w:rsid w:val="3B304753"/>
    <w:rsid w:val="3CB26AC1"/>
    <w:rsid w:val="409F3AF2"/>
    <w:rsid w:val="483112B7"/>
    <w:rsid w:val="49250C2D"/>
    <w:rsid w:val="4B5F29CD"/>
    <w:rsid w:val="4D512649"/>
    <w:rsid w:val="4EE620BA"/>
    <w:rsid w:val="4F25045A"/>
    <w:rsid w:val="51B46F58"/>
    <w:rsid w:val="56363E9B"/>
    <w:rsid w:val="566E2A83"/>
    <w:rsid w:val="5A2A08EF"/>
    <w:rsid w:val="5B1B2C38"/>
    <w:rsid w:val="5DA05D93"/>
    <w:rsid w:val="5F6308F5"/>
    <w:rsid w:val="615A2A2A"/>
    <w:rsid w:val="62CE3501"/>
    <w:rsid w:val="64681A4A"/>
    <w:rsid w:val="64E02004"/>
    <w:rsid w:val="661A2B55"/>
    <w:rsid w:val="6840519A"/>
    <w:rsid w:val="6CFA5B76"/>
    <w:rsid w:val="6E8976DC"/>
    <w:rsid w:val="77092371"/>
    <w:rsid w:val="78E702C6"/>
    <w:rsid w:val="7A2743C8"/>
    <w:rsid w:val="7AED3D0F"/>
    <w:rsid w:val="7BBA53C6"/>
    <w:rsid w:val="7BBB7EAF"/>
    <w:rsid w:val="7BE826E4"/>
    <w:rsid w:val="7CE870DF"/>
    <w:rsid w:val="7E091A91"/>
    <w:rsid w:val="7E1D57AD"/>
    <w:rsid w:val="7E2867BE"/>
    <w:rsid w:val="7FF218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4.emf"/><Relationship Id="rId18" Type="http://schemas.openxmlformats.org/officeDocument/2006/relationships/oleObject" Target="embeddings/oleObject1.bin"/><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image" Target="media/image3.png"/><Relationship Id="rId12" Type="http://schemas.openxmlformats.org/officeDocument/2006/relationships/chart" Target="charts/chart1.xml"/><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36516264428"/>
          <c:y val="0.105349746215087"/>
          <c:w val="0.778757141191559"/>
          <c:h val="0.69557257612553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1900.7</c:v>
                </c:pt>
                <c:pt idx="1">
                  <c:v>2100.76</c:v>
                </c:pt>
              </c:numCache>
            </c:numRef>
          </c:val>
        </c:ser>
        <c:dLbls>
          <c:showLegendKey val="0"/>
          <c:showVal val="1"/>
          <c:showCatName val="0"/>
          <c:showSerName val="0"/>
          <c:showPercent val="0"/>
          <c:showBubbleSize val="0"/>
        </c:dLbls>
        <c:gapWidth val="219"/>
        <c:overlap val="-27"/>
        <c:axId val="401101568"/>
        <c:axId val="401109376"/>
      </c:barChart>
      <c:catAx>
        <c:axId val="40110156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01109376"/>
        <c:crosses val="autoZero"/>
        <c:auto val="1"/>
        <c:lblAlgn val="ctr"/>
        <c:lblOffset val="100"/>
        <c:noMultiLvlLbl val="0"/>
      </c:catAx>
      <c:valAx>
        <c:axId val="401109376"/>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01101568"/>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收入决算明细（万元）</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支出金额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Pt>
            <c:idx val="5"/>
            <c:bubble3D val="0"/>
            <c:spPr>
              <a:solidFill>
                <a:schemeClr val="accent6"/>
              </a:solidFill>
              <a:ln w="25400">
                <a:solidFill>
                  <a:schemeClr val="lt1"/>
                </a:solidFill>
              </a:ln>
              <a:effectLst/>
              <a:scene3d>
                <a:camera prst="orthographicFront"/>
                <a:lightRig rig="threePt" dir="t"/>
              </a:scene3d>
              <a:sp3d contourW="25400"/>
            </c:spPr>
          </c:dPt>
          <c:dPt>
            <c:idx val="6"/>
            <c:bubble3D val="0"/>
            <c:spPr>
              <a:solidFill>
                <a:schemeClr val="accent1">
                  <a:lumMod val="60000"/>
                </a:schemeClr>
              </a:solidFill>
              <a:ln w="25400">
                <a:solidFill>
                  <a:schemeClr val="lt1"/>
                </a:solidFill>
              </a:ln>
              <a:effectLst/>
              <a:scene3d>
                <a:camera prst="orthographicFront"/>
                <a:lightRig rig="threePt" dir="t"/>
              </a:scene3d>
              <a:sp3d contourW="25400"/>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034125"/>
                  <c:y val="-0.016"/>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dLblPos val="bestFit"/>
              <c:showLegendKey val="0"/>
              <c:showVal val="1"/>
              <c:showCatName val="0"/>
              <c:showSerName val="0"/>
              <c:showPercent val="0"/>
              <c:showBubbleSize val="0"/>
              <c:extLst>
                <c:ext xmlns:c15="http://schemas.microsoft.com/office/drawing/2012/chart" uri="{CE6537A1-D6FC-4f65-9D91-7224C49458BB}"/>
              </c:extLst>
            </c:dLbl>
            <c:dLbl>
              <c:idx val="3"/>
              <c:layout/>
              <c:dLblPos val="bestFit"/>
              <c:showLegendKey val="0"/>
              <c:showVal val="1"/>
              <c:showCatName val="0"/>
              <c:showSerName val="0"/>
              <c:showPercent val="0"/>
              <c:showBubbleSize val="0"/>
              <c:extLst>
                <c:ext xmlns:c15="http://schemas.microsoft.com/office/drawing/2012/chart" uri="{CE6537A1-D6FC-4f65-9D91-7224C49458BB}"/>
              </c:extLst>
            </c:dLbl>
            <c:dLbl>
              <c:idx val="4"/>
              <c:layout/>
              <c:dLblPos val="bestFit"/>
              <c:showLegendKey val="0"/>
              <c:showVal val="1"/>
              <c:showCatName val="0"/>
              <c:showSerName val="0"/>
              <c:showPercent val="0"/>
              <c:showBubbleSize val="0"/>
              <c:extLst>
                <c:ext xmlns:c15="http://schemas.microsoft.com/office/drawing/2012/chart" uri="{CE6537A1-D6FC-4f65-9D91-7224C49458BB}"/>
              </c:extLst>
            </c:dLbl>
            <c:dLbl>
              <c:idx val="5"/>
              <c:layout/>
              <c:dLblPos val="bestFit"/>
              <c:showLegendKey val="0"/>
              <c:showVal val="1"/>
              <c:showCatName val="0"/>
              <c:showSerName val="0"/>
              <c:showPercent val="0"/>
              <c:showBubbleSize val="0"/>
              <c:extLst>
                <c:ext xmlns:c15="http://schemas.microsoft.com/office/drawing/2012/chart" uri="{CE6537A1-D6FC-4f65-9D91-7224C49458BB}"/>
              </c:extLst>
            </c:dLbl>
            <c:dLbl>
              <c:idx val="6"/>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一般公共服务支出</c:v>
                </c:pt>
                <c:pt idx="1">
                  <c:v>社会保障和就业</c:v>
                </c:pt>
                <c:pt idx="2">
                  <c:v>卫生健康</c:v>
                </c:pt>
                <c:pt idx="3">
                  <c:v>节能环保</c:v>
                </c:pt>
                <c:pt idx="4">
                  <c:v>城乡社区</c:v>
                </c:pt>
                <c:pt idx="5">
                  <c:v>农林水</c:v>
                </c:pt>
                <c:pt idx="6">
                  <c:v>资源勘探工业信息</c:v>
                </c:pt>
              </c:strCache>
            </c:strRef>
          </c:cat>
          <c:val>
            <c:numRef>
              <c:f>Sheet1!$B$2:$B$8</c:f>
              <c:numCache>
                <c:formatCode>General</c:formatCode>
                <c:ptCount val="7"/>
                <c:pt idx="0">
                  <c:v>978.74</c:v>
                </c:pt>
                <c:pt idx="1">
                  <c:v>34.37</c:v>
                </c:pt>
                <c:pt idx="2">
                  <c:v>64.26</c:v>
                </c:pt>
                <c:pt idx="3">
                  <c:v>410.47</c:v>
                </c:pt>
                <c:pt idx="4">
                  <c:v>90.26</c:v>
                </c:pt>
                <c:pt idx="5">
                  <c:v>505.22</c:v>
                </c:pt>
                <c:pt idx="6">
                  <c:v>17.43</c:v>
                </c:pt>
              </c:numCache>
            </c:numRef>
          </c:val>
        </c:ser>
        <c:dLbls>
          <c:showLegendKey val="0"/>
          <c:showVal val="0"/>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支出决算构成情况（万元）</a:t>
            </a:r>
          </a:p>
        </c:rich>
      </c:tx>
      <c:layout/>
      <c:overlay val="0"/>
      <c:spPr>
        <a:noFill/>
        <a:ln>
          <a:noFill/>
        </a:ln>
        <a:effectLst/>
      </c:spPr>
    </c:title>
    <c:autoTitleDeleted val="0"/>
    <c:plotArea>
      <c:layout>
        <c:manualLayout>
          <c:layoutTarget val="inner"/>
          <c:xMode val="edge"/>
          <c:yMode val="edge"/>
          <c:x val="0.0617"/>
          <c:y val="0.127"/>
          <c:w val="0.927925"/>
          <c:h val="0.716566666666667"/>
        </c:manualLayout>
      </c:layout>
      <c:barChart>
        <c:barDir val="col"/>
        <c:grouping val="clustered"/>
        <c:varyColors val="0"/>
        <c:ser>
          <c:idx val="0"/>
          <c:order val="0"/>
          <c:tx>
            <c:strRef>
              <c:f>Sheet1!$B$1</c:f>
              <c:strCache>
                <c:ptCount val="1"/>
                <c:pt idx="0">
                  <c:v>支出合计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人员经费（基本支出）</c:v>
                </c:pt>
                <c:pt idx="1">
                  <c:v>公用经费（基本支出）</c:v>
                </c:pt>
                <c:pt idx="2">
                  <c:v>项目支出</c:v>
                </c:pt>
              </c:strCache>
            </c:strRef>
          </c:cat>
          <c:val>
            <c:numRef>
              <c:f>Sheet1!$B$2:$B$4</c:f>
              <c:numCache>
                <c:formatCode>General</c:formatCode>
                <c:ptCount val="3"/>
                <c:pt idx="0">
                  <c:v>572.56</c:v>
                </c:pt>
                <c:pt idx="1">
                  <c:v>461.5</c:v>
                </c:pt>
                <c:pt idx="2">
                  <c:v>1042.12</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Sheet1!$A$2:$A$4</c:f>
              <c:strCache>
                <c:ptCount val="3"/>
                <c:pt idx="0">
                  <c:v>人员经费（基本支出）</c:v>
                </c:pt>
                <c:pt idx="1">
                  <c:v>公用经费（基本支出）</c:v>
                </c:pt>
                <c:pt idx="2">
                  <c:v>项目支出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Sheet1!$A$2:$A$4</c:f>
              <c:strCache>
                <c:ptCount val="3"/>
                <c:pt idx="0">
                  <c:v>人员经费（基本支出）</c:v>
                </c:pt>
                <c:pt idx="1">
                  <c:v>公用经费（基本支出）</c:v>
                </c:pt>
                <c:pt idx="2">
                  <c:v>项目支出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434681606"/>
        <c:axId val="959552401"/>
      </c:barChart>
      <c:catAx>
        <c:axId val="43468160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59552401"/>
        <c:crosses val="autoZero"/>
        <c:auto val="1"/>
        <c:lblAlgn val="ctr"/>
        <c:lblOffset val="100"/>
        <c:noMultiLvlLbl val="0"/>
      </c:catAx>
      <c:valAx>
        <c:axId val="95955240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4681606"/>
        <c:crosses val="autoZero"/>
        <c:crossBetween val="between"/>
      </c:valAx>
      <c:spPr>
        <a:noFill/>
        <a:ln>
          <a:noFill/>
        </a:ln>
        <a:effectLst/>
      </c:spPr>
    </c:plotArea>
    <c:legend>
      <c:legendPos val="b"/>
      <c:legendEntry>
        <c:idx val="1"/>
        <c:delete val="1"/>
      </c:legendEntry>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2019-2020</a:t>
            </a:r>
            <a:r>
              <a:rPr altLang="en-US"/>
              <a:t>年财政拨款收支情况对比（万元）</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2020年收入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本年支出</c:v>
                </c:pt>
              </c:strCache>
            </c:strRef>
          </c:cat>
          <c:val>
            <c:numRef>
              <c:f>Sheet1!$B$2:$B$3</c:f>
              <c:numCache>
                <c:formatCode>General</c:formatCode>
                <c:ptCount val="2"/>
                <c:pt idx="0">
                  <c:v>1854.35</c:v>
                </c:pt>
                <c:pt idx="1">
                  <c:v>1829.77</c:v>
                </c:pt>
              </c:numCache>
            </c:numRef>
          </c:val>
        </c:ser>
        <c:ser>
          <c:idx val="1"/>
          <c:order val="1"/>
          <c:tx>
            <c:strRef>
              <c:f>Sheet1!$C$1</c:f>
              <c:strCache>
                <c:ptCount val="1"/>
                <c:pt idx="0">
                  <c:v>2019年收入</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本年支出</c:v>
                </c:pt>
              </c:strCache>
            </c:strRef>
          </c:cat>
          <c:val>
            <c:numRef>
              <c:f>Sheet1!$C$2:$C$3</c:f>
              <c:numCache>
                <c:formatCode>General</c:formatCode>
                <c:ptCount val="2"/>
                <c:pt idx="0">
                  <c:v>1835.26</c:v>
                </c:pt>
              </c:numCache>
            </c:numRef>
          </c:val>
        </c:ser>
        <c:ser>
          <c:idx val="2"/>
          <c:order val="2"/>
          <c:tx>
            <c:strRef>
              <c:f>Sheet1!$D$1</c:f>
              <c:strCache>
                <c:ptCount val="1"/>
                <c:pt idx="0">
                  <c:v>2019年支出</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本年支出</c:v>
                </c:pt>
              </c:strCache>
            </c:strRef>
          </c:cat>
          <c:val>
            <c:numRef>
              <c:f>Sheet1!$D$2:$D$3</c:f>
              <c:numCache>
                <c:formatCode>General</c:formatCode>
                <c:ptCount val="2"/>
                <c:pt idx="1">
                  <c:v>1835.24</c:v>
                </c:pt>
              </c:numCache>
            </c:numRef>
          </c:val>
        </c:ser>
        <c:dLbls>
          <c:showLegendKey val="0"/>
          <c:showVal val="1"/>
          <c:showCatName val="0"/>
          <c:showSerName val="0"/>
          <c:showPercent val="0"/>
          <c:showBubbleSize val="0"/>
        </c:dLbls>
        <c:gapWidth val="219"/>
        <c:overlap val="-27"/>
        <c:axId val="607407658"/>
        <c:axId val="33214190"/>
      </c:barChart>
      <c:catAx>
        <c:axId val="60740765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214190"/>
        <c:crosses val="autoZero"/>
        <c:auto val="1"/>
        <c:lblAlgn val="ctr"/>
        <c:lblOffset val="100"/>
        <c:noMultiLvlLbl val="0"/>
      </c:catAx>
      <c:valAx>
        <c:axId val="332141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0740765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2020</a:t>
            </a:r>
            <a:r>
              <a:rPr altLang="en-US"/>
              <a:t>年支出构成情况（万元）</a:t>
            </a:r>
            <a:endParaRPr altLang="en-US"/>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775"/>
          <c:y val="0.102666666666667"/>
          <c:w val="0.945"/>
          <c:h val="0.760833333333333"/>
        </c:manualLayout>
      </c:layout>
      <c:pie3DChart>
        <c:varyColors val="1"/>
        <c:ser>
          <c:idx val="0"/>
          <c:order val="0"/>
          <c:tx>
            <c:strRef>
              <c:f>Sheet1!$B$1</c:f>
              <c:strCache>
                <c:ptCount val="1"/>
                <c:pt idx="0">
                  <c:v>支出总额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Pt>
            <c:idx val="5"/>
            <c:bubble3D val="0"/>
            <c:spPr>
              <a:solidFill>
                <a:schemeClr val="accent6"/>
              </a:solidFill>
              <a:ln w="25400">
                <a:solidFill>
                  <a:schemeClr val="lt1"/>
                </a:solidFill>
              </a:ln>
              <a:effectLst/>
              <a:scene3d>
                <a:camera prst="orthographicFront"/>
                <a:lightRig rig="threePt" dir="t"/>
              </a:scene3d>
              <a:sp3d contourW="25400"/>
            </c:spPr>
          </c:dPt>
          <c:dPt>
            <c:idx val="6"/>
            <c:bubble3D val="0"/>
            <c:spPr>
              <a:solidFill>
                <a:schemeClr val="accent1">
                  <a:lumMod val="60000"/>
                </a:schemeClr>
              </a:solidFill>
              <a:ln w="25400">
                <a:solidFill>
                  <a:schemeClr val="lt1"/>
                </a:solidFill>
              </a:ln>
              <a:effectLst/>
              <a:scene3d>
                <a:camera prst="orthographicFront"/>
                <a:lightRig rig="threePt" dir="t"/>
              </a:scene3d>
              <a:sp3d contourW="25400"/>
            </c:spPr>
          </c:dPt>
          <c:dPt>
            <c:idx val="7"/>
            <c:bubble3D val="0"/>
            <c:spPr>
              <a:solidFill>
                <a:schemeClr val="accent2">
                  <a:lumMod val="60000"/>
                </a:schemeClr>
              </a:solidFill>
              <a:ln w="25400">
                <a:solidFill>
                  <a:schemeClr val="lt1"/>
                </a:solidFill>
              </a:ln>
              <a:effectLst/>
              <a:scene3d>
                <a:camera prst="orthographicFront"/>
                <a:lightRig rig="threePt" dir="t"/>
              </a:scene3d>
              <a:sp3d contourW="25400"/>
            </c:spPr>
          </c:dPt>
          <c:dPt>
            <c:idx val="8"/>
            <c:bubble3D val="0"/>
            <c:spPr>
              <a:solidFill>
                <a:schemeClr val="accent3">
                  <a:lumMod val="60000"/>
                </a:schemeClr>
              </a:solidFill>
              <a:ln w="25400">
                <a:solidFill>
                  <a:schemeClr val="lt1"/>
                </a:solidFill>
              </a:ln>
              <a:effectLst/>
              <a:scene3d>
                <a:camera prst="orthographicFront"/>
                <a:lightRig rig="threePt" dir="t"/>
              </a:scene3d>
              <a:sp3d contourW="25400"/>
            </c:spPr>
          </c:dPt>
          <c:dPt>
            <c:idx val="9"/>
            <c:bubble3D val="0"/>
            <c:spPr>
              <a:solidFill>
                <a:schemeClr val="accent4">
                  <a:lumMod val="60000"/>
                </a:schemeClr>
              </a:solidFill>
              <a:ln w="25400">
                <a:solidFill>
                  <a:schemeClr val="lt1"/>
                </a:solidFill>
              </a:ln>
              <a:effectLst/>
              <a:scene3d>
                <a:camera prst="orthographicFront"/>
                <a:lightRig rig="threePt" dir="t"/>
              </a:scene3d>
              <a:sp3d contourW="25400"/>
            </c:spPr>
          </c:dPt>
          <c:dPt>
            <c:idx val="10"/>
            <c:bubble3D val="0"/>
            <c:spPr>
              <a:solidFill>
                <a:schemeClr val="accent5">
                  <a:lumMod val="60000"/>
                </a:schemeClr>
              </a:solidFill>
              <a:ln w="25400">
                <a:solidFill>
                  <a:schemeClr val="lt1"/>
                </a:solidFill>
              </a:ln>
              <a:effectLst/>
              <a:scene3d>
                <a:camera prst="orthographicFront"/>
                <a:lightRig rig="threePt" dir="t"/>
              </a:scene3d>
              <a:sp3d contourW="25400"/>
            </c:spPr>
          </c:dPt>
          <c:dPt>
            <c:idx val="11"/>
            <c:bubble3D val="0"/>
            <c:spPr>
              <a:solidFill>
                <a:schemeClr val="accent6">
                  <a:lumMod val="60000"/>
                </a:schemeClr>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Sheet1!$A$2:$A$13</c:f>
              <c:strCache>
                <c:ptCount val="12"/>
                <c:pt idx="0">
                  <c:v>一般公共服务</c:v>
                </c:pt>
                <c:pt idx="1">
                  <c:v>社会保障和就业</c:v>
                </c:pt>
                <c:pt idx="2">
                  <c:v>卫生健康</c:v>
                </c:pt>
                <c:pt idx="3">
                  <c:v>节能环保</c:v>
                </c:pt>
                <c:pt idx="4">
                  <c:v>城乡社区</c:v>
                </c:pt>
                <c:pt idx="5">
                  <c:v>农林水</c:v>
                </c:pt>
              </c:strCache>
            </c:strRef>
          </c:cat>
          <c:val>
            <c:numRef>
              <c:f>Sheet1!$B$2:$B$13</c:f>
              <c:numCache>
                <c:formatCode>General</c:formatCode>
                <c:ptCount val="12"/>
                <c:pt idx="0">
                  <c:v>951.59</c:v>
                </c:pt>
                <c:pt idx="1">
                  <c:v>34.37</c:v>
                </c:pt>
                <c:pt idx="2">
                  <c:v>64.26</c:v>
                </c:pt>
                <c:pt idx="3">
                  <c:v>310.91</c:v>
                </c:pt>
                <c:pt idx="4">
                  <c:v>88.43</c:v>
                </c:pt>
                <c:pt idx="5">
                  <c:v>380.22</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946</Words>
  <Characters>5396</Characters>
  <Lines>44</Lines>
  <Paragraphs>12</Paragraphs>
  <TotalTime>5</TotalTime>
  <ScaleCrop>false</ScaleCrop>
  <LinksUpToDate>false</LinksUpToDate>
  <CharactersWithSpaces>6330</CharactersWithSpaces>
  <Application>WPS Office_12.1.0.15398_F1E327BC-269C-435d-A152-05C5408002CA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dcterms:modified xsi:type="dcterms:W3CDTF">2023-09-14T02:57:13Z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2052-12.1.0.15398</vt:lpwstr>
  </property>
  <property fmtid="{D5CDD505-2E9C-101B-9397-08002B2CF9AE}" pid="3" name="ICV">
    <vt:lpwstr>EEB0AF1058714613A8329AFD3B1DD3FB</vt:lpwstr>
  </property>
</Properties>
</file>