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_GB2312" w:hAnsi="楷体_GB2312" w:eastAsia="楷体_GB2312" w:cs="楷体_GB2312"/>
          <w:sz w:val="44"/>
          <w:szCs w:val="52"/>
        </w:rPr>
      </w:pPr>
      <w:r>
        <w:drawing>
          <wp:anchor distT="0" distB="0" distL="114300" distR="114300" simplePos="0" relativeHeight="251666432" behindDoc="1" locked="0" layoutInCell="1" allowOverlap="1">
            <wp:simplePos x="0" y="0"/>
            <wp:positionH relativeFrom="column">
              <wp:posOffset>-894715</wp:posOffset>
            </wp:positionH>
            <wp:positionV relativeFrom="paragraph">
              <wp:posOffset>-1867535</wp:posOffset>
            </wp:positionV>
            <wp:extent cx="7117080" cy="10058400"/>
            <wp:effectExtent l="0" t="0" r="7620" b="0"/>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4"/>
                    <a:srcRect/>
                    <a:stretch>
                      <a:fillRect/>
                    </a:stretch>
                  </pic:blipFill>
                  <pic:spPr>
                    <a:xfrm>
                      <a:off x="0" y="0"/>
                      <a:ext cx="7117233" cy="10058400"/>
                    </a:xfrm>
                    <a:prstGeom prst="rect">
                      <a:avLst/>
                    </a:prstGeom>
                    <a:solidFill>
                      <a:schemeClr val="accent1"/>
                    </a:solidFill>
                  </pic:spPr>
                </pic:pic>
              </a:graphicData>
            </a:graphic>
          </wp:anchor>
        </w:drawing>
      </w:r>
      <w:r>
        <w:br w:type="page"/>
      </w:r>
    </w:p>
    <w:p/>
    <w:p>
      <w:pPr>
        <w:rPr>
          <w:rFonts w:ascii="黑体" w:hAnsi="黑体" w:eastAsia="黑体" w:cs="黑体"/>
          <w:sz w:val="72"/>
          <w:szCs w:val="96"/>
        </w:rPr>
      </w:pP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石家庄市鹿泉区李村镇人民政府</w:t>
      </w: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r>
        <w:rPr>
          <w:rFonts w:hint="eastAsia" w:ascii="黑体" w:hAnsi="黑体" w:eastAsia="黑体" w:cs="黑体"/>
          <w:sz w:val="72"/>
          <w:szCs w:val="96"/>
          <w:lang w:val="en-US" w:eastAsia="zh-CN"/>
        </w:rPr>
        <w:t>李村镇</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6" w:type="first"/>
          <w:headerReference r:id="rId3" w:type="default"/>
          <w:footerReference r:id="rId5" w:type="default"/>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hint="eastAsia"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fill type="pattern" on="t" color2="#FFFFFF [3212]" o:title="5%" focussize="0,0" r:id="rId15"/>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60" w:lineRule="exact"/>
        <w:ind w:firstLine="562" w:firstLineChars="200"/>
        <w:outlineLvl w:val="1"/>
        <w:rPr>
          <w:rFonts w:ascii="仿宋_GB2312" w:hAnsi="宋体" w:eastAsia="仿宋_GB2312"/>
          <w:b/>
          <w:bCs/>
          <w:kern w:val="2"/>
          <w:sz w:val="28"/>
          <w:szCs w:val="28"/>
          <w:lang w:eastAsia="zh-CN" w:bidi="ar-SA"/>
        </w:rPr>
      </w:pPr>
      <w:r>
        <w:rPr>
          <w:rFonts w:hint="eastAsia" w:ascii="仿宋_GB2312" w:hAnsi="仿宋" w:eastAsia="仿宋_GB2312" w:cs="宋体"/>
          <w:b/>
          <w:sz w:val="28"/>
          <w:szCs w:val="28"/>
          <w:lang w:eastAsia="zh-CN"/>
        </w:rPr>
        <w:t>本</w:t>
      </w:r>
      <w:bookmarkStart w:id="0" w:name="_Toc68271413"/>
      <w:r>
        <w:rPr>
          <w:rFonts w:hint="eastAsia" w:ascii="仿宋_GB2312" w:hAnsi="宋体" w:eastAsia="仿宋_GB2312"/>
          <w:b/>
          <w:bCs/>
          <w:kern w:val="2"/>
          <w:sz w:val="28"/>
          <w:szCs w:val="28"/>
          <w:lang w:eastAsia="zh-CN" w:bidi="ar-SA"/>
        </w:rPr>
        <w:t>部门职责</w:t>
      </w:r>
      <w:bookmarkEnd w:id="0"/>
      <w:r>
        <w:rPr>
          <w:rFonts w:hint="eastAsia" w:ascii="仿宋_GB2312" w:hAnsi="宋体" w:eastAsia="仿宋_GB2312"/>
          <w:b/>
          <w:bCs/>
          <w:kern w:val="2"/>
          <w:sz w:val="28"/>
          <w:szCs w:val="28"/>
          <w:lang w:eastAsia="zh-CN" w:bidi="ar-SA"/>
        </w:rPr>
        <w:t>，</w:t>
      </w:r>
      <w:r>
        <w:rPr>
          <w:rFonts w:hint="eastAsia" w:ascii="仿宋_GB2312" w:hAnsi="宋体" w:eastAsia="仿宋_GB2312"/>
          <w:kern w:val="2"/>
          <w:sz w:val="28"/>
          <w:szCs w:val="28"/>
          <w:lang w:eastAsia="zh-CN" w:bidi="ar-SA"/>
        </w:rPr>
        <w:t>根据《石家庄市鹿泉区李村镇人民政府职能配置、内设机构和人员编制规定》， 石家庄市鹿泉区李村镇人民政府的主要职责是：</w:t>
      </w:r>
      <w:bookmarkStart w:id="1" w:name="_Toc68166421"/>
    </w:p>
    <w:bookmarkEnd w:id="1"/>
    <w:p>
      <w:pPr>
        <w:widowControl w:val="0"/>
        <w:spacing w:line="560" w:lineRule="exact"/>
        <w:rPr>
          <w:rFonts w:hint="eastAsia" w:ascii="仿宋_GB2312" w:hAnsi="宋体" w:eastAsia="仿宋_GB2312"/>
          <w:kern w:val="2"/>
          <w:sz w:val="28"/>
          <w:szCs w:val="28"/>
          <w:lang w:eastAsia="zh-CN" w:bidi="ar-SA"/>
        </w:rPr>
      </w:pPr>
      <w:r>
        <w:rPr>
          <w:rFonts w:hint="eastAsia" w:ascii="仿宋_GB2312" w:hAnsi="宋体" w:eastAsia="仿宋_GB2312"/>
          <w:kern w:val="2"/>
          <w:sz w:val="28"/>
          <w:szCs w:val="28"/>
          <w:lang w:eastAsia="zh-CN" w:bidi="ar-SA"/>
        </w:rPr>
        <w:t>根据中共石家庄市鹿泉区委办公室石家庄市鹿泉区人民政府办公室关于印发《石家庄市鹿泉区李村镇党委、人大、政府职能配置、内设机构和人员编制规定》， 石家庄市鹿泉区李村镇人民政府的主要职责是：李村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widowControl w:val="0"/>
        <w:spacing w:line="560" w:lineRule="exact"/>
        <w:ind w:firstLine="560" w:firstLineChars="200"/>
        <w:rPr>
          <w:rFonts w:hint="eastAsia" w:ascii="仿宋_GB2312" w:hAnsi="宋体" w:eastAsia="仿宋_GB2312"/>
          <w:kern w:val="2"/>
          <w:sz w:val="28"/>
          <w:szCs w:val="28"/>
          <w:lang w:eastAsia="zh-CN" w:bidi="ar-SA"/>
        </w:rPr>
      </w:pPr>
      <w:r>
        <w:rPr>
          <w:rFonts w:hint="eastAsia" w:ascii="仿宋_GB2312" w:hAnsi="宋体" w:eastAsia="仿宋_GB2312"/>
          <w:kern w:val="2"/>
          <w:sz w:val="28"/>
          <w:szCs w:val="28"/>
          <w:lang w:eastAsia="zh-CN" w:bidi="ar-SA"/>
        </w:rPr>
        <w:t>李村镇党委、人大、政府设8个工作机构。（一）、内设机构4个：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防治工作，自然灾害救助相关工作，护林和森林草原防火相关工作。负责基层治理综合指挥巩工作，建立健全综合指挥协调机制和工作流程，透出协调指挥各类民生诉求事项、各类政府服务热线交办事项的受理、研判、转办、落实、反馈工作；负责基层网络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负责指导基层自治和居民区建设工作，负责直达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4个，规格为股级，所属类别为公益一类，经费形式为财政性资金基本保障：5、综合行政执法队。核定财政性资金基本保障事业编制15名，股级职数1正2副。根据有关法律法规和上级部门授权、委托，承担城乡建设、生态环境、文化市场、农业农村、安全生产、民族宗教等领域行政执法工作。6、行政综合服务中心(挂综合文化服务站、财政所牌子)。核定财政性资金基本保障事业编制9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9名，股级职数1正两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8、退役军人服务站。核定财政性资金基本保障事业编制3名，股级职数1名。负责退役军人就业创业扶持、拥军优属、优抚帮扶、走访慰问、信访接待、权益保障等工作；配合武装部做好征兵、民兵、预备役、国防教育、国民经济动员、人民防空、国防交通、国防设施保护等相关工作。镇纪委（监察办公室）。核定行政编制4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作等情况；负责组织协调全镇党风廉政建设和发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tbl>
      <w:tblPr>
        <w:tblStyle w:val="9"/>
        <w:tblpPr w:leftFromText="180" w:rightFromText="180" w:vertAnchor="text" w:horzAnchor="page" w:tblpX="1689" w:tblpY="1429"/>
        <w:tblOverlap w:val="never"/>
        <w:tblW w:w="87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3239"/>
        <w:gridCol w:w="2272"/>
        <w:gridCol w:w="2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787"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23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27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47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787" w:type="dxa"/>
          </w:tcPr>
          <w:p>
            <w:pPr>
              <w:spacing w:line="560" w:lineRule="exact"/>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1</w:t>
            </w:r>
          </w:p>
        </w:tc>
        <w:tc>
          <w:tcPr>
            <w:tcW w:w="3239" w:type="dxa"/>
            <w:vAlign w:val="center"/>
          </w:tcPr>
          <w:p>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仿宋_GB2312" w:eastAsia="仿宋_GB2312" w:cs="仿宋_GB2312"/>
                <w:sz w:val="21"/>
                <w:szCs w:val="21"/>
                <w:lang w:val="en-US" w:eastAsia="zh-CN"/>
              </w:rPr>
              <w:t>石家庄市鹿泉区李村镇人民政府</w:t>
            </w:r>
          </w:p>
        </w:tc>
        <w:tc>
          <w:tcPr>
            <w:tcW w:w="2272" w:type="dxa"/>
            <w:vAlign w:val="center"/>
          </w:tcPr>
          <w:p>
            <w:pPr>
              <w:spacing w:line="300" w:lineRule="exact"/>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sz w:val="21"/>
                <w:szCs w:val="21"/>
              </w:rPr>
              <w:t>行政</w:t>
            </w:r>
          </w:p>
        </w:tc>
        <w:tc>
          <w:tcPr>
            <w:tcW w:w="2479" w:type="dxa"/>
            <w:vAlign w:val="center"/>
          </w:tcPr>
          <w:p>
            <w:pPr>
              <w:spacing w:line="300" w:lineRule="exact"/>
              <w:jc w:val="center"/>
              <w:rPr>
                <w:rFonts w:hint="eastAsia" w:ascii="仿宋_GB2312" w:hAnsi="仿宋_GB2312" w:eastAsia="仿宋_GB2312" w:cs="仿宋_GB2312"/>
                <w:kern w:val="2"/>
                <w:sz w:val="21"/>
                <w:szCs w:val="21"/>
                <w:lang w:val="en-US" w:eastAsia="zh-CN" w:bidi="ar-SA"/>
              </w:rPr>
            </w:pPr>
            <w:r>
              <w:rPr>
                <w:rFonts w:hint="eastAsia" w:ascii="仿宋_GB2312" w:hAnsi="仿宋_GB2312" w:eastAsia="仿宋_GB2312" w:cs="仿宋_GB2312"/>
                <w:sz w:val="21"/>
                <w:szCs w:val="21"/>
              </w:rPr>
              <w:t>财政拨款</w:t>
            </w:r>
          </w:p>
        </w:tc>
      </w:tr>
    </w:tbl>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w:t>
      </w:r>
      <w:r>
        <w:rPr>
          <w:rFonts w:hint="eastAsia" w:ascii="仿宋_GB2312" w:hAnsi="Calibri" w:eastAsia="仿宋_GB2312" w:cs="Arial Black"/>
          <w:kern w:val="0"/>
          <w:sz w:val="32"/>
          <w:szCs w:val="32"/>
          <w:lang w:val="en-US" w:eastAsia="zh-CN"/>
        </w:rPr>
        <w:t>李村镇</w:t>
      </w:r>
      <w:r>
        <w:rPr>
          <w:rFonts w:hint="eastAsia" w:ascii="仿宋_GB2312" w:hAnsi="Calibri" w:eastAsia="仿宋_GB2312" w:cs="Arial Black"/>
          <w:kern w:val="0"/>
          <w:sz w:val="32"/>
          <w:szCs w:val="32"/>
          <w:lang w:eastAsia="zh-CN"/>
        </w:rPr>
        <w:t>部门</w:t>
      </w:r>
      <w:r>
        <w:rPr>
          <w:rFonts w:hint="eastAsia" w:ascii="仿宋_GB2312" w:hAnsi="Calibri" w:eastAsia="仿宋_GB2312" w:cs="Arial Black"/>
          <w:kern w:val="0"/>
          <w:sz w:val="32"/>
          <w:szCs w:val="32"/>
        </w:rPr>
        <w:t>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p/>
    <w:p>
      <w:pPr>
        <w:widowControl/>
        <w:spacing w:after="160" w:line="580" w:lineRule="exact"/>
        <w:ind w:firstLine="1440" w:firstLineChars="200"/>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131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2336;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fill type="pattern" on="t" color2="#FFFFFF [3212]" o:title="5%" focussize="0,0" r:id="rId15"/>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outlineLvl w:val="1"/>
        <w:rPr>
          <w:rFonts w:ascii="黑体" w:hAnsi="Calibri" w:eastAsia="黑体" w:cs="Times New Roman"/>
          <w:sz w:val="32"/>
          <w:szCs w:val="32"/>
        </w:rPr>
      </w:pPr>
      <w:r>
        <w:br w:type="page"/>
      </w:r>
      <w:r>
        <w:rPr>
          <w:rFonts w:hint="eastAsia"/>
          <w:lang w:val="en-US" w:eastAsia="zh-CN"/>
        </w:rPr>
        <w:t xml:space="preserve">      </w:t>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hint="default" w:ascii="仿宋_GB2312" w:hAnsi="Times New Roman" w:eastAsia="仿宋_GB2312" w:cs="Wingdings"/>
          <w:sz w:val="32"/>
          <w:szCs w:val="32"/>
          <w:highlight w:val="yellow"/>
          <w:lang w:val="en-US" w:eastAsia="zh-CN"/>
        </w:rPr>
      </w:pPr>
      <w:r>
        <w:rPr>
          <w:rFonts w:hint="eastAsia" w:ascii="仿宋_GB2312" w:hAnsi="Times New Roman" w:eastAsia="仿宋_GB2312" w:cs="Wingdings"/>
          <w:sz w:val="32"/>
          <w:szCs w:val="32"/>
        </w:rPr>
        <w:t>本部门2020年度收</w:t>
      </w:r>
      <w:r>
        <w:rPr>
          <w:rFonts w:hint="eastAsia" w:ascii="仿宋_GB2312" w:hAnsi="Times New Roman" w:eastAsia="仿宋_GB2312" w:cs="Wingdings"/>
          <w:sz w:val="32"/>
          <w:szCs w:val="32"/>
          <w:lang w:val="en-US" w:eastAsia="zh-CN"/>
        </w:rPr>
        <w:t>入4189.12万元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支</w:t>
      </w:r>
      <w:r>
        <w:rPr>
          <w:rFonts w:hint="eastAsia" w:ascii="仿宋_GB2312" w:hAnsi="Times New Roman" w:eastAsia="仿宋_GB2312" w:cs="Wingdings"/>
          <w:sz w:val="32"/>
          <w:szCs w:val="32"/>
          <w:lang w:val="en-US" w:eastAsia="zh-CN"/>
        </w:rPr>
        <w:t>出4430.8万元，</w:t>
      </w:r>
      <w:r>
        <w:rPr>
          <w:rFonts w:hint="eastAsia" w:ascii="仿宋_GB2312" w:hAnsi="Times New Roman" w:eastAsia="仿宋_GB2312" w:cs="Wingdings"/>
          <w:sz w:val="32"/>
          <w:szCs w:val="32"/>
        </w:rPr>
        <w:t>结余</w:t>
      </w:r>
      <w:r>
        <w:rPr>
          <w:rFonts w:hint="eastAsia" w:ascii="仿宋_GB2312" w:hAnsi="Times New Roman" w:eastAsia="仿宋_GB2312" w:cs="Wingdings"/>
          <w:sz w:val="32"/>
          <w:szCs w:val="32"/>
          <w:lang w:val="en-US" w:eastAsia="zh-CN"/>
        </w:rPr>
        <w:t>516.67</w:t>
      </w:r>
      <w:r>
        <w:rPr>
          <w:rFonts w:hint="eastAsia" w:ascii="仿宋_GB2312" w:hAnsi="Times New Roman" w:eastAsia="仿宋_GB2312" w:cs="Wingdings"/>
          <w:sz w:val="32"/>
          <w:szCs w:val="32"/>
        </w:rPr>
        <w:t>万元。与2019年度决算相比，收</w:t>
      </w:r>
      <w:r>
        <w:rPr>
          <w:rFonts w:hint="eastAsia" w:ascii="仿宋_GB2312" w:hAnsi="Times New Roman" w:eastAsia="仿宋_GB2312" w:cs="Wingdings"/>
          <w:sz w:val="32"/>
          <w:szCs w:val="32"/>
          <w:lang w:val="en-US" w:eastAsia="zh-CN"/>
        </w:rPr>
        <w:t>入</w:t>
      </w:r>
      <w:r>
        <w:rPr>
          <w:rFonts w:hint="eastAsia" w:ascii="仿宋_GB2312" w:hAnsi="Times New Roman" w:eastAsia="仿宋_GB2312" w:cs="Wingdings"/>
          <w:sz w:val="32"/>
          <w:szCs w:val="32"/>
        </w:rPr>
        <w:t>减少</w:t>
      </w:r>
      <w:r>
        <w:rPr>
          <w:rFonts w:hint="eastAsia" w:ascii="仿宋_GB2312" w:hAnsi="Times New Roman" w:eastAsia="仿宋_GB2312" w:cs="Wingdings"/>
          <w:sz w:val="32"/>
          <w:szCs w:val="32"/>
          <w:lang w:val="en-US" w:eastAsia="zh-CN"/>
        </w:rPr>
        <w:t>了477.54</w:t>
      </w:r>
      <w:r>
        <w:rPr>
          <w:rFonts w:hint="eastAsia" w:ascii="仿宋_GB2312" w:hAnsi="Times New Roman" w:eastAsia="仿宋_GB2312" w:cs="Wingdings"/>
          <w:sz w:val="32"/>
          <w:szCs w:val="32"/>
        </w:rPr>
        <w:t>万元，下降</w:t>
      </w:r>
      <w:r>
        <w:rPr>
          <w:rFonts w:hint="eastAsia" w:ascii="仿宋_GB2312" w:hAnsi="Times New Roman" w:eastAsia="仿宋_GB2312" w:cs="Wingdings"/>
          <w:sz w:val="32"/>
          <w:szCs w:val="32"/>
          <w:lang w:val="en-US" w:eastAsia="zh-CN"/>
        </w:rPr>
        <w:t>10.2</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双同路拓宽专项资金的减少450万元，南许营至李村等五条道路项目工程专项资金减少了20万元。支出增加了522.49万元，增长了13.4%，主要原因是支出了2019年结余资金中的环境卫生整治资金，革命老区项目资金等。</w:t>
      </w:r>
    </w:p>
    <w:p>
      <w:pPr>
        <w:adjustRightInd w:val="0"/>
        <w:snapToGrid w:val="0"/>
        <w:spacing w:line="600" w:lineRule="exact"/>
        <w:rPr>
          <w:rFonts w:ascii="仿宋_GB2312" w:hAnsi="Times New Roman" w:eastAsia="仿宋_GB2312" w:cs="Wingdings"/>
          <w:sz w:val="32"/>
          <w:szCs w:val="32"/>
        </w:rPr>
      </w:pPr>
      <w:r>
        <w:rPr>
          <w:sz w:val="32"/>
        </w:rPr>
        <mc:AlternateContent>
          <mc:Choice Requires="wpg">
            <w:drawing>
              <wp:anchor distT="0" distB="0" distL="114300" distR="114300" simplePos="0" relativeHeight="251665408" behindDoc="0" locked="0" layoutInCell="1" allowOverlap="1">
                <wp:simplePos x="0" y="0"/>
                <wp:positionH relativeFrom="column">
                  <wp:posOffset>-161925</wp:posOffset>
                </wp:positionH>
                <wp:positionV relativeFrom="paragraph">
                  <wp:posOffset>278765</wp:posOffset>
                </wp:positionV>
                <wp:extent cx="5560695" cy="2595245"/>
                <wp:effectExtent l="0" t="0" r="1905" b="14605"/>
                <wp:wrapNone/>
                <wp:docPr id="34" name="组合 34"/>
                <wp:cNvGraphicFramePr/>
                <a:graphic xmlns:a="http://schemas.openxmlformats.org/drawingml/2006/main">
                  <a:graphicData uri="http://schemas.microsoft.com/office/word/2010/wordprocessingGroup">
                    <wpg:wgp>
                      <wpg:cNvGrpSpPr/>
                      <wpg:grpSpPr>
                        <a:xfrm>
                          <a:off x="0" y="0"/>
                          <a:ext cx="5560695" cy="2595341"/>
                          <a:chOff x="6806" y="126201"/>
                          <a:chExt cx="8894" cy="4875"/>
                        </a:xfrm>
                      </wpg:grpSpPr>
                      <wpg:graphicFrame>
                        <wpg:cNvPr id="27" name="图表 27"/>
                        <wpg:cNvFrPr/>
                        <wpg:xfrm>
                          <a:off x="6806" y="126201"/>
                          <a:ext cx="8894" cy="4716"/>
                        </wpg:xfrm>
                        <a:graphic>
                          <a:graphicData uri="http://schemas.openxmlformats.org/drawingml/2006/chart">
                            <c:chart xmlns:c="http://schemas.openxmlformats.org/drawingml/2006/chart" xmlns:r="http://schemas.openxmlformats.org/officeDocument/2006/relationships" r:id="rId16"/>
                          </a:graphicData>
                        </a:graphic>
                      </wpg:graphicFrame>
                      <wps:wsp>
                        <wps:cNvPr id="33" name="文本框 33"/>
                        <wps:cNvSpPr txBox="1"/>
                        <wps:spPr>
                          <a:xfrm>
                            <a:off x="7418" y="130461"/>
                            <a:ext cx="6629"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12.75pt;margin-top:21.95pt;height:204.35pt;width:437.85pt;z-index:251665408;mso-width-relative:page;mso-height-relative:page;" coordorigin="6806,126201" coordsize="8894,4875" o:gfxdata="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">
                <o:lock v:ext="edit" aspectratio="f"/>
                <v:rect id="_x0000_s1026" o:spid="_x0000_s1026" o:spt="75" style="position:absolute;left:6806;top:126201;height:4716;width:8894;" coordsize="21600,21600" o:gfxdata="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SwfZvQAA&#10;ANsAAAAPAAAAAAAAAAEAIAAAACIAAABkcnMvZG93bnJldi54bWxQSwECFAAUAAAACACHTuJAMy8F&#10;njsAAAA5AAAAEAAAAAAAAAABACAAAAAMAQAAZHJzL3NoYXBleG1sLnhtbFBLBQYAAAAABgAGAFsB&#10;AAC2AwAAAAA=&#10;">
                  <v:imagedata r:id="rId17" o:title=""/>
                  <o:lock v:ext="edit"/>
                </v:rect>
                <v:shape id="_x0000_s1026" o:spid="_x0000_s1026" o:spt="202" type="#_x0000_t202" style="position:absolute;left:7418;top:130461;height:615;width:6629;" fillcolor="#FFFFFF" filled="t" stroked="f" coordsize="21600,21600" o:gfxdata="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XaKG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rPr>
          <w:rFonts w:hint="eastAsia" w:ascii="黑体" w:hAnsi="Calibri" w:eastAsia="黑体" w:cs="Times New Roman"/>
          <w:sz w:val="32"/>
          <w:szCs w:val="32"/>
        </w:rPr>
      </w:pPr>
    </w:p>
    <w:p>
      <w:pPr>
        <w:keepNext/>
        <w:keepLines/>
        <w:snapToGrid w:val="0"/>
        <w:spacing w:line="600" w:lineRule="exact"/>
        <w:outlineLvl w:val="1"/>
        <w:rPr>
          <w:rFonts w:hint="eastAsia"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4189.12</w:t>
      </w:r>
      <w:r>
        <w:rPr>
          <w:rFonts w:hint="eastAsia" w:ascii="仿宋_GB2312" w:hAnsi="Times New Roman" w:eastAsia="仿宋_GB2312" w:cs="Wingdings"/>
          <w:sz w:val="32"/>
          <w:szCs w:val="32"/>
        </w:rPr>
        <w:t>万元，</w:t>
      </w:r>
      <w:r>
        <w:rPr>
          <w:rFonts w:hint="eastAsia" w:ascii="仿宋_GB2312" w:hAnsi="Times New Roman" w:eastAsia="仿宋_GB2312" w:cs="Wingdings"/>
          <w:color w:val="000000" w:themeColor="text1"/>
          <w:sz w:val="32"/>
          <w:szCs w:val="32"/>
          <w14:textFill>
            <w14:solidFill>
              <w14:schemeClr w14:val="tx1"/>
            </w14:solidFill>
          </w14:textFill>
        </w:rPr>
        <w:t>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3489.92</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83.3</w:t>
      </w:r>
      <w:r>
        <w:rPr>
          <w:rFonts w:hint="eastAsia" w:ascii="仿宋_GB2312" w:hAnsi="Times New Roman" w:eastAsia="仿宋_GB2312" w:cs="Wingdings"/>
          <w:color w:val="000000" w:themeColor="text1"/>
          <w:sz w:val="32"/>
          <w:szCs w:val="32"/>
          <w14:textFill>
            <w14:solidFill>
              <w14:schemeClr w14:val="tx1"/>
            </w14:solidFill>
          </w14:textFill>
        </w:rPr>
        <w:t>%；其他收入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699.2</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16.7</w:t>
      </w:r>
      <w:r>
        <w:rPr>
          <w:rFonts w:hint="eastAsia" w:ascii="仿宋_GB2312" w:hAnsi="Times New Roman" w:eastAsia="仿宋_GB2312" w:cs="Wingdings"/>
          <w:color w:val="000000" w:themeColor="text1"/>
          <w:sz w:val="32"/>
          <w:szCs w:val="32"/>
          <w14:textFill>
            <w14:solidFill>
              <w14:schemeClr w14:val="tx1"/>
            </w14:solidFill>
          </w14:textFill>
        </w:rPr>
        <w:t>%。</w:t>
      </w:r>
      <w:r>
        <w:rPr>
          <w:rFonts w:hint="eastAsia" w:ascii="仿宋_GB2312" w:hAnsi="Times New Roman" w:eastAsia="仿宋_GB2312" w:cs="Wingdings"/>
          <w:sz w:val="32"/>
          <w:szCs w:val="32"/>
          <w:lang w:val="en-US" w:eastAsia="zh-CN"/>
        </w:rPr>
        <w:t>按功能分类看：行政运行993.48万元，占总支出的23.7%；教育支出160万元，占3.8%；文化旅游体育与传媒支出9.28万元，占0.2%；社会保障和就业支出199.69万元，占4.8%；卫生健康支出147.67万元，占3.5%；节能环保支出418.36万元，占10%，城乡社区支出965.3万元，占23%；农林水支出992.97万元，占23.7%；自然资源海洋气象支出220万元，占5.3%；住房保障支出82.37万元，占2%（见图2）。</w:t>
      </w:r>
    </w:p>
    <w:p>
      <w:pPr>
        <w:pStyle w:val="3"/>
        <w:bidi w:val="0"/>
        <w:rPr>
          <w:rFonts w:hint="eastAsia"/>
          <w:lang w:eastAsia="zh-CN"/>
        </w:rPr>
      </w:pPr>
      <w:r>
        <w:rPr>
          <w:rFonts w:hint="eastAsia"/>
          <w:lang w:val="en-US" w:eastAsia="zh-CN"/>
        </w:rPr>
        <w:t xml:space="preserve">     </w:t>
      </w:r>
      <w:r>
        <w:rPr>
          <w:rFonts w:hint="eastAsia"/>
          <w:lang w:val="en-US" w:eastAsia="zh-CN"/>
        </w:rPr>
        <w:drawing>
          <wp:inline distT="0" distB="0" distL="114300" distR="114300">
            <wp:extent cx="4772025" cy="4629150"/>
            <wp:effectExtent l="0" t="0" r="9525" b="0"/>
            <wp:docPr id="10" name="图片 10" descr="微信截图_20210927170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微信截图_20210927170715"/>
                    <pic:cNvPicPr>
                      <a:picLocks noChangeAspect="1"/>
                    </pic:cNvPicPr>
                  </pic:nvPicPr>
                  <pic:blipFill>
                    <a:blip r:embed="rId18"/>
                    <a:stretch>
                      <a:fillRect/>
                    </a:stretch>
                  </pic:blipFill>
                  <pic:spPr>
                    <a:xfrm>
                      <a:off x="0" y="0"/>
                      <a:ext cx="4772025" cy="4629150"/>
                    </a:xfrm>
                    <a:prstGeom prst="rect">
                      <a:avLst/>
                    </a:prstGeom>
                  </pic:spPr>
                </pic:pic>
              </a:graphicData>
            </a:graphic>
          </wp:inline>
        </w:drawing>
      </w:r>
      <w:r>
        <w:rPr>
          <w:rFonts w:hint="eastAsia"/>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after="160" w:line="400" w:lineRule="exact"/>
        <w:ind w:firstLine="1680" w:firstLineChars="600"/>
        <w:jc w:val="both"/>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pPr>
        <w:numPr>
          <w:ilvl w:val="0"/>
          <w:numId w:val="0"/>
        </w:numPr>
        <w:spacing w:after="160" w:line="480" w:lineRule="auto"/>
        <w:rPr>
          <w:rFonts w:hint="eastAsia" w:ascii="黑体" w:hAnsi="Calibri" w:eastAsia="黑体" w:cs="Times New Roman"/>
          <w:sz w:val="32"/>
          <w:szCs w:val="32"/>
        </w:rPr>
      </w:pPr>
      <w:r>
        <w:rPr>
          <w:rFonts w:hint="eastAsia" w:ascii="黑体" w:hAnsi="Calibri" w:eastAsia="黑体" w:cs="Times New Roman"/>
          <w:sz w:val="32"/>
          <w:szCs w:val="32"/>
          <w:lang w:val="en-US" w:eastAsia="zh-CN"/>
        </w:rPr>
        <w:t xml:space="preserve">    三、</w:t>
      </w:r>
      <w:r>
        <w:rPr>
          <w:rFonts w:hint="eastAsia" w:ascii="黑体" w:hAnsi="Calibri" w:eastAsia="黑体" w:cs="Times New Roman"/>
          <w:sz w:val="32"/>
          <w:szCs w:val="32"/>
        </w:rPr>
        <w:t>支出决算情况说明</w:t>
      </w:r>
    </w:p>
    <w:p>
      <w:pPr>
        <w:numPr>
          <w:ilvl w:val="0"/>
          <w:numId w:val="0"/>
        </w:numPr>
        <w:spacing w:after="160" w:line="480" w:lineRule="auto"/>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李村镇</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2020年度本年支出合计</w:t>
      </w:r>
      <w:r>
        <w:rPr>
          <w:rFonts w:hint="eastAsia" w:ascii="仿宋_GB2312" w:hAnsi="Times New Roman" w:eastAsia="仿宋_GB2312" w:cs="Wingdings"/>
          <w:sz w:val="32"/>
          <w:szCs w:val="32"/>
          <w:lang w:val="en-US" w:eastAsia="zh-CN"/>
        </w:rPr>
        <w:t>4430.8</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1406.4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全部支出的31.7</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其中人员经费支出1180.3万元，占26.6%，公用经费支出226.1万元，占5.1%；</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3024.4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68.3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其中行政事业类项目3024.4万元，占68.3%（见</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w:t>
      </w:r>
    </w:p>
    <w:p>
      <w:pPr>
        <w:adjustRightInd w:val="0"/>
        <w:snapToGrid w:val="0"/>
        <w:spacing w:line="240" w:lineRule="auto"/>
        <w:jc w:val="center"/>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drawing>
          <wp:inline distT="0" distB="0" distL="114300" distR="114300">
            <wp:extent cx="4190365" cy="3091180"/>
            <wp:effectExtent l="0" t="0" r="635" b="13970"/>
            <wp:docPr id="9" name="图片 9" descr="微信截图_20210927154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微信截图_20210927154401"/>
                    <pic:cNvPicPr>
                      <a:picLocks noChangeAspect="1"/>
                    </pic:cNvPicPr>
                  </pic:nvPicPr>
                  <pic:blipFill>
                    <a:blip r:embed="rId19"/>
                    <a:stretch>
                      <a:fillRect/>
                    </a:stretch>
                  </pic:blipFill>
                  <pic:spPr>
                    <a:xfrm>
                      <a:off x="0" y="0"/>
                      <a:ext cx="4190365" cy="309118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after="160" w:line="400" w:lineRule="exact"/>
        <w:ind w:firstLine="1680" w:firstLineChars="600"/>
        <w:jc w:val="both"/>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keepNext w:val="0"/>
        <w:keepLines w:val="0"/>
        <w:pageBreakBefore w:val="0"/>
        <w:widowControl w:val="0"/>
        <w:kinsoku/>
        <w:wordWrap/>
        <w:overflowPunct/>
        <w:topLinePunct w:val="0"/>
        <w:autoSpaceDE/>
        <w:autoSpaceDN/>
        <w:bidi w:val="0"/>
        <w:adjustRightInd w:val="0"/>
        <w:snapToGrid w:val="0"/>
        <w:spacing w:after="160" w:line="400" w:lineRule="exact"/>
        <w:ind w:firstLine="640" w:firstLineChars="200"/>
        <w:jc w:val="both"/>
        <w:textAlignment w:val="auto"/>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lang w:eastAsia="zh-CN"/>
        </w:rPr>
        <w:t>（</w:t>
      </w:r>
      <w:r>
        <w:rPr>
          <w:rFonts w:hint="eastAsia" w:ascii="楷体_GB2312" w:hAnsi="Times New Roman" w:eastAsia="楷体_GB2312" w:cs="Mongolian Baiti"/>
          <w:b/>
          <w:bCs/>
          <w:sz w:val="32"/>
          <w:szCs w:val="32"/>
          <w:lang w:val="en-US" w:eastAsia="zh-CN"/>
        </w:rPr>
        <w:t>一</w:t>
      </w:r>
      <w:r>
        <w:rPr>
          <w:rFonts w:hint="eastAsia" w:ascii="楷体_GB2312" w:hAnsi="Times New Roman" w:eastAsia="楷体_GB2312" w:cs="Mongolian Baiti"/>
          <w:b/>
          <w:bCs/>
          <w:sz w:val="32"/>
          <w:szCs w:val="32"/>
          <w:lang w:eastAsia="zh-CN"/>
        </w:rPr>
        <w:t>）</w:t>
      </w:r>
      <w:r>
        <w:rPr>
          <w:rFonts w:hint="eastAsia" w:ascii="楷体_GB2312" w:hAnsi="Times New Roman" w:eastAsia="楷体_GB2312" w:cs="Mongolian Baiti"/>
          <w:b/>
          <w:bCs/>
          <w:sz w:val="32"/>
          <w:szCs w:val="32"/>
        </w:rPr>
        <w:t>财政拨款收支与2019年度决算对比情况</w:t>
      </w:r>
    </w:p>
    <w:p>
      <w:pPr>
        <w:adjustRightInd w:val="0"/>
        <w:snapToGrid w:val="0"/>
        <w:spacing w:line="600" w:lineRule="exact"/>
        <w:ind w:firstLine="640" w:firstLineChars="200"/>
        <w:rPr>
          <w:rFonts w:hint="eastAsia" w:ascii="楷体_GB2312" w:hAnsi="Times New Roman" w:eastAsia="楷体_GB2312" w:cs="Mongolian Baiti"/>
          <w:b/>
          <w:bCs/>
          <w:sz w:val="32"/>
          <w:szCs w:val="32"/>
        </w:rPr>
      </w:pPr>
      <w:r>
        <w:rPr>
          <w:rFonts w:hint="eastAsia" w:ascii="仿宋_GB2312" w:hAnsi="Times New Roman" w:eastAsia="仿宋_GB2312" w:cs="Wingdings"/>
          <w:sz w:val="32"/>
          <w:szCs w:val="32"/>
          <w:lang w:val="en-US" w:eastAsia="zh-CN"/>
        </w:rPr>
        <w:t>李村镇</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2020年度形成的财政拨款收支</w:t>
      </w:r>
      <w:r>
        <w:rPr>
          <w:rFonts w:hint="eastAsia" w:ascii="仿宋_GB2312" w:hAnsi="Times New Roman" w:eastAsia="仿宋_GB2312" w:cs="Wingdings"/>
          <w:sz w:val="32"/>
          <w:szCs w:val="32"/>
          <w:lang w:val="en-US" w:eastAsia="zh-CN"/>
        </w:rPr>
        <w:t>为</w:t>
      </w:r>
      <w:r>
        <w:rPr>
          <w:rFonts w:hint="eastAsia" w:ascii="仿宋_GB2312" w:hAnsi="Times New Roman" w:eastAsia="仿宋_GB2312" w:cs="Wingdings"/>
          <w:sz w:val="32"/>
          <w:szCs w:val="32"/>
        </w:rPr>
        <w:t>一般公共预算财政拨款</w:t>
      </w:r>
      <w:r>
        <w:rPr>
          <w:rFonts w:hint="eastAsia" w:ascii="仿宋_GB2312" w:hAnsi="Times New Roman" w:eastAsia="仿宋_GB2312" w:cs="Wingdings"/>
          <w:sz w:val="32"/>
          <w:szCs w:val="32"/>
          <w:lang w:val="en-US" w:eastAsia="zh-CN"/>
        </w:rPr>
        <w:t>和政府性基金预算拨款。其中</w:t>
      </w:r>
      <w:r>
        <w:rPr>
          <w:rFonts w:hint="eastAsia" w:ascii="仿宋_GB2312" w:hAnsi="Times New Roman" w:eastAsia="仿宋_GB2312" w:cs="Wingdings"/>
          <w:sz w:val="32"/>
          <w:szCs w:val="32"/>
        </w:rPr>
        <w:t>本年收入</w:t>
      </w:r>
      <w:r>
        <w:rPr>
          <w:rFonts w:hint="eastAsia" w:ascii="仿宋_GB2312" w:hAnsi="Times New Roman" w:eastAsia="仿宋_GB2312" w:cs="Wingdings"/>
          <w:sz w:val="32"/>
          <w:szCs w:val="32"/>
          <w:lang w:val="en-US" w:eastAsia="zh-CN"/>
        </w:rPr>
        <w:t>3489.92</w:t>
      </w:r>
      <w:r>
        <w:rPr>
          <w:rFonts w:hint="eastAsia" w:ascii="仿宋_GB2312" w:hAnsi="Times New Roman" w:eastAsia="仿宋_GB2312" w:cs="Wingdings"/>
          <w:sz w:val="32"/>
          <w:szCs w:val="32"/>
        </w:rPr>
        <w:t>万元,比2019年度</w:t>
      </w:r>
      <w:r>
        <w:rPr>
          <w:rFonts w:hint="eastAsia" w:ascii="仿宋_GB2312" w:hAnsi="Times New Roman" w:eastAsia="仿宋_GB2312" w:cs="Wingdings"/>
          <w:sz w:val="32"/>
          <w:szCs w:val="32"/>
          <w:lang w:val="en-US" w:eastAsia="zh-CN"/>
        </w:rPr>
        <w:t>4304.44万元减少了814.52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18.9</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双同路拓宽专项资金的减少450万元，南许营至李村等五条道路项目工程专项资金减少了20万元等</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3731.61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比2019年度支出3546.09万元增加了185.52万元，增长了5.2%，主要原因是支出了2019年结余资金中的环境卫生整治资金，革命老区项目资金等（见图4）</w:t>
      </w:r>
    </w:p>
    <w:p>
      <w:pPr>
        <w:snapToGrid w:val="0"/>
        <w:spacing w:line="240" w:lineRule="auto"/>
        <w:ind w:firstLine="643" w:firstLineChars="200"/>
        <w:rPr>
          <w:rFonts w:hint="eastAsia" w:ascii="楷体_GB2312" w:hAnsi="Times New Roman" w:eastAsia="楷体_GB2312" w:cs="Mongolian Baiti"/>
          <w:b/>
          <w:bCs/>
          <w:sz w:val="32"/>
          <w:szCs w:val="32"/>
          <w:lang w:eastAsia="zh-CN"/>
        </w:rPr>
      </w:pPr>
      <w:r>
        <w:rPr>
          <w:rFonts w:hint="eastAsia" w:ascii="楷体_GB2312" w:hAnsi="Times New Roman" w:eastAsia="楷体_GB2312" w:cs="Mongolian Baiti"/>
          <w:b/>
          <w:bCs/>
          <w:sz w:val="32"/>
          <w:szCs w:val="32"/>
          <w:lang w:val="en-US" w:eastAsia="zh-CN"/>
        </w:rPr>
        <w:t xml:space="preserve">   </w:t>
      </w:r>
      <w:r>
        <w:rPr>
          <w:rFonts w:hint="eastAsia" w:ascii="楷体_GB2312" w:hAnsi="Times New Roman" w:eastAsia="楷体_GB2312" w:cs="Mongolian Baiti"/>
          <w:b/>
          <w:bCs/>
          <w:sz w:val="32"/>
          <w:szCs w:val="32"/>
          <w:lang w:eastAsia="zh-CN"/>
        </w:rPr>
        <w:drawing>
          <wp:inline distT="0" distB="0" distL="114300" distR="114300">
            <wp:extent cx="4035425" cy="3042285"/>
            <wp:effectExtent l="0" t="0" r="3175" b="5715"/>
            <wp:docPr id="7" name="图片 7" descr="微信截图_20210927153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微信截图_20210927153544"/>
                    <pic:cNvPicPr>
                      <a:picLocks noChangeAspect="1"/>
                    </pic:cNvPicPr>
                  </pic:nvPicPr>
                  <pic:blipFill>
                    <a:blip r:embed="rId20"/>
                    <a:stretch>
                      <a:fillRect/>
                    </a:stretch>
                  </pic:blipFill>
                  <pic:spPr>
                    <a:xfrm>
                      <a:off x="0" y="0"/>
                      <a:ext cx="4035425" cy="304228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after="160" w:line="400" w:lineRule="exact"/>
        <w:ind w:firstLine="1400" w:firstLineChars="500"/>
        <w:jc w:val="both"/>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numPr>
          <w:ilvl w:val="0"/>
          <w:numId w:val="1"/>
        </w:numPr>
        <w:snapToGrid w:val="0"/>
        <w:spacing w:line="600" w:lineRule="exact"/>
        <w:ind w:left="519" w:leftChars="0" w:firstLine="321" w:firstLineChars="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财政拨款收支与年初预算数对比情况</w:t>
      </w:r>
    </w:p>
    <w:p>
      <w:pPr>
        <w:numPr>
          <w:ilvl w:val="0"/>
          <w:numId w:val="0"/>
        </w:numPr>
        <w:snapToGrid w:val="0"/>
        <w:spacing w:line="600" w:lineRule="exact"/>
        <w:ind w:firstLine="640" w:firstLineChars="200"/>
        <w:rPr>
          <w:rFonts w:ascii="仿宋_GB2312" w:hAnsi="Times New Roman" w:eastAsia="仿宋_GB2312" w:cs="Mongolian Baiti"/>
          <w:b/>
          <w:bCs/>
          <w:sz w:val="32"/>
          <w:szCs w:val="32"/>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3489.92</w:t>
      </w:r>
      <w:r>
        <w:rPr>
          <w:rFonts w:hint="eastAsia" w:ascii="仿宋_GB2312" w:hAnsi="Times New Roman" w:eastAsia="仿宋_GB2312" w:cs="Wingdings"/>
          <w:sz w:val="32"/>
          <w:szCs w:val="32"/>
        </w:rPr>
        <w:t>万元，完成年初预算</w:t>
      </w:r>
      <w:r>
        <w:rPr>
          <w:rFonts w:hint="eastAsia" w:ascii="仿宋_GB2312" w:hAnsi="Times New Roman" w:eastAsia="仿宋_GB2312" w:cs="Wingdings"/>
          <w:sz w:val="32"/>
          <w:szCs w:val="32"/>
          <w:lang w:val="en-US" w:eastAsia="zh-CN"/>
        </w:rPr>
        <w:t>3048.32万元</w:t>
      </w:r>
      <w:r>
        <w:rPr>
          <w:rFonts w:hint="eastAsia" w:ascii="仿宋_GB2312" w:hAnsi="Times New Roman" w:eastAsia="仿宋_GB2312" w:cs="Wingdings"/>
          <w:sz w:val="32"/>
          <w:szCs w:val="32"/>
        </w:rPr>
        <w:t>的</w:t>
      </w:r>
      <w:r>
        <w:rPr>
          <w:rFonts w:hint="eastAsia" w:ascii="仿宋_GB2312" w:hAnsi="Times New Roman" w:eastAsia="仿宋_GB2312" w:cs="Wingdings"/>
          <w:sz w:val="32"/>
          <w:szCs w:val="32"/>
          <w:lang w:val="en-US" w:eastAsia="zh-CN"/>
        </w:rPr>
        <w:t>114.5</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441.6</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val="en-US" w:eastAsia="zh-CN"/>
        </w:rPr>
        <w:t>追加预算污水管网项目资金360万元，追加耕地占补指标经费资金220万元</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3731.61</w:t>
      </w:r>
      <w:r>
        <w:rPr>
          <w:rFonts w:hint="eastAsia" w:ascii="仿宋_GB2312" w:hAnsi="Times New Roman" w:eastAsia="仿宋_GB2312" w:cs="Wingdings"/>
          <w:sz w:val="32"/>
          <w:szCs w:val="32"/>
        </w:rPr>
        <w:t>万元，完成年初预算</w:t>
      </w:r>
      <w:r>
        <w:rPr>
          <w:rFonts w:hint="eastAsia" w:ascii="仿宋_GB2312" w:hAnsi="Times New Roman" w:eastAsia="仿宋_GB2312" w:cs="Wingdings"/>
          <w:sz w:val="32"/>
          <w:szCs w:val="32"/>
          <w:lang w:val="en-US" w:eastAsia="zh-CN"/>
        </w:rPr>
        <w:t>3048.32万元</w:t>
      </w:r>
      <w:r>
        <w:rPr>
          <w:rFonts w:hint="eastAsia" w:ascii="仿宋_GB2312" w:hAnsi="Times New Roman" w:eastAsia="仿宋_GB2312" w:cs="Wingdings"/>
          <w:sz w:val="32"/>
          <w:szCs w:val="32"/>
        </w:rPr>
        <w:t>的</w:t>
      </w:r>
      <w:r>
        <w:rPr>
          <w:rFonts w:hint="eastAsia" w:ascii="仿宋_GB2312" w:hAnsi="Times New Roman" w:eastAsia="仿宋_GB2312" w:cs="Wingdings"/>
          <w:sz w:val="32"/>
          <w:szCs w:val="32"/>
          <w:lang w:val="en-US" w:eastAsia="zh-CN"/>
        </w:rPr>
        <w:t>122.4</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683.29</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val="en-US" w:eastAsia="zh-CN"/>
        </w:rPr>
        <w:t>追加预算污水管网项目资金360万元，追加耕地占补指标经费资金220万元和支出了2019年结余资金中的环境卫生整治资金，革命老区项目资金等</w:t>
      </w:r>
      <w:r>
        <w:rPr>
          <w:rFonts w:hint="eastAsia" w:ascii="仿宋_GB2312" w:hAnsi="Times New Roman" w:eastAsia="仿宋_GB2312" w:cs="Wingdings"/>
          <w:sz w:val="32"/>
          <w:szCs w:val="32"/>
        </w:rPr>
        <w:t>。</w:t>
      </w:r>
    </w:p>
    <w:p>
      <w:pPr>
        <w:numPr>
          <w:ilvl w:val="0"/>
          <w:numId w:val="2"/>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3731.61</w:t>
      </w:r>
      <w:r>
        <w:rPr>
          <w:rFonts w:hint="eastAsia" w:ascii="仿宋_GB2312" w:hAnsi="Times New Roman" w:eastAsia="仿宋_GB2312" w:cs="Wingdings"/>
          <w:sz w:val="32"/>
          <w:szCs w:val="32"/>
        </w:rPr>
        <w:t>万元，主要用于以下方面</w:t>
      </w:r>
      <w:r>
        <w:rPr>
          <w:rFonts w:hint="eastAsia" w:ascii="仿宋_GB2312" w:hAnsi="Times New Roman" w:eastAsia="仿宋_GB2312" w:cs="Wingdings"/>
          <w:sz w:val="32"/>
          <w:szCs w:val="32"/>
          <w:lang w:val="en-US" w:eastAsia="zh-CN"/>
        </w:rPr>
        <w:t>支出，其中行政运行1135.84万元，占总支出的30.4%；教育支出160万元，占4.3%；文化旅游体育与传媒支出9.28万元 ，占0.2%；社会保障和就业支出199.69万元，占5.4%；卫生健康支出147.67万元，占4%；节能环保支出392.56万元，占10.5%；城乡社区支出946.97万元，占25.4%；农林水支出657.23万元，占17.6%；住房保障支出82.37万元，占2.2%。</w:t>
      </w:r>
    </w:p>
    <w:p>
      <w:pPr>
        <w:adjustRightInd w:val="0"/>
        <w:snapToGrid w:val="0"/>
        <w:spacing w:line="240" w:lineRule="auto"/>
        <w:ind w:firstLine="480" w:firstLineChars="200"/>
        <w:rPr>
          <w:rFonts w:hint="eastAsia" w:ascii="仿宋_GB2312" w:hAnsi="Times New Roman" w:eastAsia="仿宋_GB2312" w:cs="Wingdings"/>
          <w:sz w:val="24"/>
          <w:szCs w:val="24"/>
          <w:lang w:eastAsia="zh-CN"/>
        </w:rPr>
      </w:pPr>
    </w:p>
    <w:p>
      <w:pPr>
        <w:adjustRightInd w:val="0"/>
        <w:snapToGrid w:val="0"/>
        <w:spacing w:line="240" w:lineRule="auto"/>
        <w:rPr>
          <w:rFonts w:hint="eastAsia" w:ascii="仿宋_GB2312" w:hAnsi="Times New Roman" w:eastAsia="仿宋_GB2312" w:cs="Wingdings"/>
          <w:sz w:val="24"/>
          <w:szCs w:val="24"/>
          <w:lang w:val="en-US" w:eastAsia="zh-CN"/>
        </w:rPr>
      </w:pPr>
      <w:r>
        <w:rPr>
          <w:rFonts w:hint="eastAsia" w:ascii="仿宋_GB2312" w:hAnsi="Times New Roman" w:eastAsia="仿宋_GB2312" w:cs="Wingdings"/>
          <w:sz w:val="24"/>
          <w:szCs w:val="24"/>
          <w:lang w:val="en-US" w:eastAsia="zh-CN"/>
        </w:rPr>
        <w:t xml:space="preserve">            </w:t>
      </w:r>
    </w:p>
    <w:p>
      <w:pPr>
        <w:adjustRightInd w:val="0"/>
        <w:snapToGrid w:val="0"/>
        <w:spacing w:line="240" w:lineRule="auto"/>
        <w:jc w:val="center"/>
        <w:rPr>
          <w:rFonts w:hint="eastAsia" w:ascii="仿宋_GB2312" w:hAnsi="Times New Roman" w:eastAsia="仿宋_GB2312" w:cs="Wingdings"/>
          <w:sz w:val="24"/>
          <w:szCs w:val="24"/>
          <w:lang w:eastAsia="zh-CN"/>
        </w:rPr>
      </w:pPr>
      <w:r>
        <w:rPr>
          <w:rFonts w:hint="eastAsia" w:ascii="仿宋_GB2312" w:hAnsi="Times New Roman" w:eastAsia="仿宋_GB2312" w:cs="Wingdings"/>
          <w:sz w:val="28"/>
          <w:szCs w:val="28"/>
          <w:lang w:eastAsia="zh-CN"/>
        </w:rPr>
        <w:drawing>
          <wp:inline distT="0" distB="0" distL="114300" distR="114300">
            <wp:extent cx="3926840" cy="3246120"/>
            <wp:effectExtent l="0" t="0" r="16510" b="11430"/>
            <wp:docPr id="12" name="图片 12" descr="微信截图_20210927172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微信截图_20210927172502"/>
                    <pic:cNvPicPr>
                      <a:picLocks noChangeAspect="1"/>
                    </pic:cNvPicPr>
                  </pic:nvPicPr>
                  <pic:blipFill>
                    <a:blip r:embed="rId21"/>
                    <a:stretch>
                      <a:fillRect/>
                    </a:stretch>
                  </pic:blipFill>
                  <pic:spPr>
                    <a:xfrm>
                      <a:off x="0" y="0"/>
                      <a:ext cx="3926840" cy="3246120"/>
                    </a:xfrm>
                    <a:prstGeom prst="rect">
                      <a:avLst/>
                    </a:prstGeom>
                  </pic:spPr>
                </pic:pic>
              </a:graphicData>
            </a:graphic>
          </wp:inline>
        </w:drawing>
      </w:r>
    </w:p>
    <w:p>
      <w:pPr>
        <w:adjustRightInd w:val="0"/>
        <w:snapToGrid w:val="0"/>
        <w:spacing w:line="600" w:lineRule="exact"/>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按经济分类看：工资福利支出941.14万元、商品和服务支出226.09万元、对个人和家庭的补助868.48万元、资本性支出1695.9万元（见图5）。</w:t>
      </w: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1406.37</w:t>
      </w:r>
      <w:r>
        <w:rPr>
          <w:rFonts w:hint="eastAsia" w:ascii="仿宋_GB2312" w:hAnsi="Times New Roman" w:eastAsia="仿宋_GB2312" w:cs="Wingdings"/>
          <w:sz w:val="32"/>
          <w:szCs w:val="32"/>
        </w:rPr>
        <w:t>万元，其中：人员经费</w:t>
      </w:r>
      <w:r>
        <w:rPr>
          <w:rFonts w:hint="eastAsia" w:ascii="仿宋_GB2312" w:hAnsi="Times New Roman" w:eastAsia="仿宋_GB2312" w:cs="Wingdings"/>
          <w:sz w:val="32"/>
          <w:szCs w:val="32"/>
          <w:lang w:val="en-US" w:eastAsia="zh-CN"/>
        </w:rPr>
        <w:t>1180.28</w:t>
      </w:r>
      <w:r>
        <w:rPr>
          <w:rFonts w:hint="eastAsia" w:ascii="仿宋_GB2312" w:hAnsi="Times New Roman" w:eastAsia="仿宋_GB2312" w:cs="Wingdings"/>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Wingdings"/>
          <w:sz w:val="32"/>
          <w:szCs w:val="32"/>
          <w:lang w:val="en-US" w:eastAsia="zh-CN"/>
        </w:rPr>
        <w:t>226.09</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pageBreakBefore w:val="0"/>
        <w:widowControl w:val="0"/>
        <w:kinsoku/>
        <w:wordWrap/>
        <w:overflowPunct/>
        <w:topLinePunct w:val="0"/>
        <w:bidi w:val="0"/>
        <w:snapToGrid w:val="0"/>
        <w:spacing w:line="620" w:lineRule="exact"/>
        <w:ind w:left="0" w:leftChars="0" w:right="0" w:rightChars="0" w:firstLine="640" w:firstLineChars="200"/>
        <w:textAlignment w:val="auto"/>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近年来，李村镇</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2020年度“三公”经费财政拨款支出预算为</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5.15</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95.4</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0.25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下降4.6</w:t>
      </w:r>
      <w:r>
        <w:rPr>
          <w:rFonts w:hint="eastAsia" w:ascii="仿宋_GB2312" w:hAnsi="Times New Roman" w:eastAsia="仿宋_GB2312" w:cs="Wingdings"/>
          <w:sz w:val="32"/>
          <w:szCs w:val="32"/>
        </w:rPr>
        <w:t>%，</w:t>
      </w:r>
      <w:r>
        <w:rPr>
          <w:rFonts w:hint="eastAsia" w:ascii="仿宋_GB2312" w:hAnsi="仿宋" w:eastAsia="仿宋_GB2312"/>
          <w:sz w:val="32"/>
          <w:szCs w:val="32"/>
        </w:rPr>
        <w:t>主要是认真贯彻落实中央</w:t>
      </w:r>
      <w:bookmarkStart w:id="2" w:name="_GoBack"/>
      <w:bookmarkEnd w:id="2"/>
      <w:r>
        <w:rPr>
          <w:rFonts w:hint="eastAsia" w:ascii="仿宋_GB2312" w:hAnsi="仿宋" w:eastAsia="仿宋_GB2312"/>
          <w:sz w:val="32"/>
          <w:szCs w:val="32"/>
        </w:rPr>
        <w:t>八项规定精神和厉行节约要求，从严控制“三公”经费开支，全年实际支出比预算有所节约</w:t>
      </w:r>
      <w:r>
        <w:rPr>
          <w:rFonts w:hint="eastAsia" w:ascii="仿宋_GB2312" w:hAnsi="Times New Roman" w:eastAsia="仿宋_GB2312" w:cs="Wingdings"/>
          <w:sz w:val="32"/>
          <w:szCs w:val="32"/>
          <w:lang w:val="en-US" w:eastAsia="zh-CN"/>
        </w:rPr>
        <w:t>，公务接待费支出0万，较预算少0万元。</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与上年决算相比，本年“三公”经费支出减少0.07</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下降1.34</w:t>
      </w:r>
      <w:r>
        <w:rPr>
          <w:rFonts w:hint="eastAsia" w:ascii="仿宋_GB2312" w:hAnsi="Times New Roman" w:eastAsia="仿宋_GB2312" w:cs="Wingdings"/>
          <w:sz w:val="32"/>
          <w:szCs w:val="32"/>
        </w:rPr>
        <w:t>%，主要是</w:t>
      </w:r>
      <w:r>
        <w:rPr>
          <w:rFonts w:hint="eastAsia" w:ascii="仿宋_GB2312" w:hAnsi="仿宋" w:eastAsia="仿宋_GB2312"/>
          <w:sz w:val="32"/>
          <w:szCs w:val="32"/>
        </w:rPr>
        <w:t>认真贯彻落实中央八项规定精神和厉行节约要求，从严控制“三公”经费开支</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公务用车维护费用减少0.07万元</w:t>
      </w:r>
      <w:r>
        <w:rPr>
          <w:rFonts w:hint="eastAsia" w:ascii="仿宋_GB2312" w:hAnsi="Times New Roman" w:eastAsia="仿宋_GB2312" w:cs="Wingdings"/>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540" w:lineRule="exact"/>
        <w:ind w:firstLine="630" w:firstLineChars="196"/>
        <w:rPr>
          <w:rFonts w:ascii="仿宋_GB2312" w:hAnsi="Times New Roman" w:eastAsia="仿宋_GB2312" w:cs="DengXian-Regular"/>
          <w:sz w:val="32"/>
          <w:szCs w:val="32"/>
        </w:rPr>
      </w:pPr>
      <w:r>
        <w:rPr>
          <w:rFonts w:hint="eastAsia" w:ascii="楷体_GB2312" w:hAnsi="Times New Roman" w:eastAsia="楷体_GB2312" w:cs="DengXian-Bold"/>
          <w:b/>
          <w:bCs/>
          <w:sz w:val="32"/>
          <w:szCs w:val="32"/>
          <w:lang w:val="en-US" w:eastAsia="zh-CN"/>
        </w:rPr>
        <w:t>1.</w:t>
      </w: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年度因公出国（境）团组0个、共0人，参加其他单位组织的因公出国（境）团组0个、共0人，无本单位组织的出国（境）团组。因公出国（境）费支出较年初预算无增减变化，较201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年决算无增减变化。</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DengXian-Regular"/>
          <w:b/>
          <w:sz w:val="32"/>
          <w:szCs w:val="32"/>
        </w:rPr>
        <w:t>公务用车购置及运行维护费支出5.</w:t>
      </w:r>
      <w:r>
        <w:rPr>
          <w:rFonts w:hint="eastAsia" w:ascii="仿宋_GB2312" w:hAnsi="Times New Roman" w:eastAsia="仿宋_GB2312" w:cs="DengXian-Regular"/>
          <w:b/>
          <w:sz w:val="32"/>
          <w:szCs w:val="32"/>
          <w:lang w:val="en-US" w:eastAsia="zh-CN"/>
        </w:rPr>
        <w:t>15</w:t>
      </w:r>
      <w:r>
        <w:rPr>
          <w:rFonts w:hint="eastAsia" w:ascii="仿宋_GB2312" w:hAnsi="Times New Roman" w:eastAsia="仿宋_GB2312" w:cs="DengXian-Regular"/>
          <w:b/>
          <w:sz w:val="32"/>
          <w:szCs w:val="32"/>
        </w:rPr>
        <w:t>万元。</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年度公务用车购置及运行维护费较预算减少0.</w:t>
      </w:r>
      <w:r>
        <w:rPr>
          <w:rFonts w:hint="eastAsia" w:ascii="仿宋_GB2312" w:hAnsi="Times New Roman" w:eastAsia="仿宋_GB2312" w:cs="DengXian-Regular"/>
          <w:sz w:val="32"/>
          <w:szCs w:val="32"/>
          <w:lang w:val="en-US" w:eastAsia="zh-CN"/>
        </w:rPr>
        <w:t>25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4.6</w:t>
      </w:r>
      <w:r>
        <w:rPr>
          <w:rFonts w:hint="eastAsia" w:ascii="仿宋_GB2312" w:hAnsi="Times New Roman" w:eastAsia="仿宋_GB2312" w:cs="DengXian-Regular"/>
          <w:sz w:val="32"/>
          <w:szCs w:val="32"/>
        </w:rPr>
        <w:t>%,</w:t>
      </w:r>
      <w:r>
        <w:rPr>
          <w:rFonts w:hint="eastAsia" w:ascii="仿宋_GB2312" w:hAnsi="仿宋" w:eastAsia="仿宋_GB2312"/>
          <w:sz w:val="32"/>
          <w:szCs w:val="32"/>
        </w:rPr>
        <w:t>主要是加强对公务车辆的管理。规范和控制公务用车修理、用油等行为，最大限度提高单车使用效率</w:t>
      </w:r>
      <w:r>
        <w:rPr>
          <w:rFonts w:hint="eastAsia" w:ascii="仿宋_GB2312" w:hAnsi="Times New Roman" w:eastAsia="仿宋_GB2312" w:cs="DengXian-Regular"/>
          <w:sz w:val="32"/>
          <w:szCs w:val="32"/>
        </w:rPr>
        <w:t>；较20</w:t>
      </w:r>
      <w:r>
        <w:rPr>
          <w:rFonts w:hint="eastAsia" w:ascii="仿宋_GB2312" w:hAnsi="Times New Roman" w:eastAsia="仿宋_GB2312" w:cs="DengXian-Regular"/>
          <w:sz w:val="32"/>
          <w:szCs w:val="32"/>
          <w:lang w:val="en-US" w:eastAsia="zh-CN"/>
        </w:rPr>
        <w:t>19</w:t>
      </w:r>
      <w:r>
        <w:rPr>
          <w:rFonts w:hint="eastAsia" w:ascii="仿宋_GB2312" w:hAnsi="Times New Roman" w:eastAsia="仿宋_GB2312" w:cs="DengXian-Regular"/>
          <w:sz w:val="32"/>
          <w:szCs w:val="32"/>
        </w:rPr>
        <w:t>年度减少0.</w:t>
      </w:r>
      <w:r>
        <w:rPr>
          <w:rFonts w:hint="eastAsia" w:ascii="仿宋_GB2312" w:hAnsi="Times New Roman" w:eastAsia="仿宋_GB2312" w:cs="DengXian-Regular"/>
          <w:sz w:val="32"/>
          <w:szCs w:val="32"/>
          <w:lang w:val="en-US" w:eastAsia="zh-CN"/>
        </w:rPr>
        <w:t>07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1.34</w:t>
      </w:r>
      <w:r>
        <w:rPr>
          <w:rFonts w:hint="eastAsia" w:ascii="仿宋_GB2312" w:hAnsi="Times New Roman" w:eastAsia="仿宋_GB2312" w:cs="DengXian-Regular"/>
          <w:sz w:val="32"/>
          <w:szCs w:val="32"/>
        </w:rPr>
        <w:t>%,主要是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DengXian-Regular"/>
          <w:sz w:val="32"/>
          <w:szCs w:val="32"/>
        </w:rPr>
        <w:t>。</w:t>
      </w:r>
      <w:r>
        <w:rPr>
          <w:rFonts w:hint="eastAsia" w:ascii="仿宋_GB2312" w:hAnsi="Times New Roman" w:eastAsia="仿宋_GB2312" w:cs="Mongolian Baiti"/>
          <w:b/>
          <w:bCs/>
          <w:sz w:val="32"/>
          <w:szCs w:val="32"/>
        </w:rPr>
        <w:t>其中：</w:t>
      </w:r>
    </w:p>
    <w:p>
      <w:pPr>
        <w:adjustRightInd w:val="0"/>
        <w:snapToGrid w:val="0"/>
        <w:spacing w:line="540" w:lineRule="exact"/>
        <w:ind w:firstLine="797" w:firstLineChars="248"/>
        <w:rPr>
          <w:rFonts w:ascii="仿宋_GB2312" w:hAnsi="Times New Roman" w:eastAsia="仿宋_GB2312" w:cs="DengXian-Regular"/>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年度公务用车购置量0辆，发生“公务用车购置”经费支出0万元。公务用车购置费支出较预算增加0万元，无增减变化；较20</w:t>
      </w:r>
      <w:r>
        <w:rPr>
          <w:rFonts w:hint="eastAsia" w:ascii="仿宋_GB2312" w:hAnsi="Times New Roman" w:eastAsia="仿宋_GB2312" w:cs="DengXian-Regular"/>
          <w:sz w:val="32"/>
          <w:szCs w:val="32"/>
          <w:lang w:val="en-US" w:eastAsia="zh-CN"/>
        </w:rPr>
        <w:t>19</w:t>
      </w:r>
      <w:r>
        <w:rPr>
          <w:rFonts w:hint="eastAsia" w:ascii="仿宋_GB2312" w:hAnsi="Times New Roman" w:eastAsia="仿宋_GB2312" w:cs="DengXian-Regular"/>
          <w:sz w:val="32"/>
          <w:szCs w:val="32"/>
        </w:rPr>
        <w:t>年增加0万元，无增减变化。</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b/>
          <w:sz w:val="32"/>
          <w:szCs w:val="32"/>
          <w:lang w:eastAsia="zh-CN"/>
        </w:rPr>
        <w:t>：</w:t>
      </w:r>
      <w:r>
        <w:rPr>
          <w:rFonts w:hint="eastAsia" w:ascii="仿宋_GB2312" w:hAnsi="Times New Roman" w:eastAsia="仿宋_GB2312" w:cs="Wingdings"/>
          <w:sz w:val="32"/>
          <w:szCs w:val="32"/>
          <w:lang w:val="en-US" w:eastAsia="zh-CN"/>
        </w:rPr>
        <w:t>本部门</w:t>
      </w:r>
      <w:r>
        <w:rPr>
          <w:rFonts w:hint="eastAsia" w:ascii="仿宋_GB2312" w:hAnsi="Times New Roman" w:eastAsia="仿宋_GB2312" w:cs="Wingdings"/>
          <w:sz w:val="32"/>
          <w:szCs w:val="32"/>
        </w:rPr>
        <w:t>2020年度公务用车保有量</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公务用车运维费支出5.15万元。</w:t>
      </w:r>
      <w:r>
        <w:rPr>
          <w:rFonts w:hint="eastAsia" w:ascii="仿宋_GB2312" w:hAnsi="Times New Roman" w:eastAsia="仿宋_GB2312" w:cs="Wingdings"/>
          <w:sz w:val="32"/>
          <w:szCs w:val="32"/>
        </w:rPr>
        <w:t>公车运行维护费支出较预算减少</w:t>
      </w:r>
      <w:r>
        <w:rPr>
          <w:rFonts w:hint="eastAsia" w:ascii="仿宋_GB2312" w:hAnsi="Times New Roman" w:eastAsia="仿宋_GB2312" w:cs="Wingdings"/>
          <w:sz w:val="32"/>
          <w:szCs w:val="32"/>
          <w:lang w:val="en-US" w:eastAsia="zh-CN"/>
        </w:rPr>
        <w:t>0.25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下降4.6</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val="en-US" w:eastAsia="zh-CN"/>
        </w:rPr>
        <w:t>决算减少了</w:t>
      </w:r>
      <w:r>
        <w:rPr>
          <w:rFonts w:hint="eastAsia" w:ascii="仿宋_GB2312" w:hAnsi="Times New Roman" w:eastAsia="仿宋_GB2312" w:cs="DengXian-Regular"/>
          <w:sz w:val="32"/>
          <w:szCs w:val="32"/>
        </w:rPr>
        <w:t>0.</w:t>
      </w:r>
      <w:r>
        <w:rPr>
          <w:rFonts w:hint="eastAsia" w:ascii="仿宋_GB2312" w:hAnsi="Times New Roman" w:eastAsia="仿宋_GB2312" w:cs="DengXian-Regular"/>
          <w:sz w:val="32"/>
          <w:szCs w:val="32"/>
          <w:lang w:val="en-US" w:eastAsia="zh-CN"/>
        </w:rPr>
        <w:t>07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1.34</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主要是</w:t>
      </w:r>
      <w:r>
        <w:rPr>
          <w:rFonts w:hint="eastAsia" w:ascii="仿宋_GB2312" w:hAnsi="仿宋" w:eastAsia="仿宋_GB2312"/>
          <w:sz w:val="32"/>
          <w:szCs w:val="32"/>
        </w:rPr>
        <w:t>从严控制“三公”经费开支</w:t>
      </w:r>
      <w:r>
        <w:rPr>
          <w:rFonts w:hint="eastAsia" w:ascii="仿宋_GB2312" w:hAnsi="Times New Roman" w:eastAsia="仿宋_GB2312" w:cs="Wingdings"/>
          <w:sz w:val="32"/>
          <w:szCs w:val="32"/>
        </w:rPr>
        <w:t>。</w:t>
      </w:r>
    </w:p>
    <w:p>
      <w:pPr>
        <w:adjustRightInd w:val="0"/>
        <w:snapToGrid w:val="0"/>
        <w:spacing w:line="54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lang w:val="en-US" w:eastAsia="zh-CN"/>
        </w:rPr>
        <w:t>3.</w:t>
      </w:r>
      <w:r>
        <w:rPr>
          <w:rFonts w:hint="eastAsia" w:ascii="楷体_GB2312" w:hAnsi="Times New Roman" w:eastAsia="楷体_GB2312" w:cs="DengXian-Bold"/>
          <w:b/>
          <w:bCs/>
          <w:sz w:val="32"/>
          <w:szCs w:val="32"/>
        </w:rPr>
        <w:t>公务接待费支出0万元。</w:t>
      </w:r>
      <w:r>
        <w:rPr>
          <w:rFonts w:hint="eastAsia" w:ascii="仿宋_GB2312" w:hAnsi="Times New Roman" w:eastAsia="仿宋_GB2312" w:cs="DengXian-Regular"/>
          <w:sz w:val="32"/>
          <w:szCs w:val="32"/>
        </w:rPr>
        <w:t>李村镇20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年度公务接待共0批次、0人次。公务接待费支出较年初预算无增减变化，较20</w:t>
      </w:r>
      <w:r>
        <w:rPr>
          <w:rFonts w:hint="eastAsia" w:ascii="仿宋_GB2312" w:hAnsi="Times New Roman" w:eastAsia="仿宋_GB2312" w:cs="DengXian-Regular"/>
          <w:sz w:val="32"/>
          <w:szCs w:val="32"/>
          <w:lang w:val="en-US" w:eastAsia="zh-CN"/>
        </w:rPr>
        <w:t>19</w:t>
      </w:r>
      <w:r>
        <w:rPr>
          <w:rFonts w:hint="eastAsia" w:ascii="仿宋_GB2312" w:hAnsi="Times New Roman" w:eastAsia="仿宋_GB2312" w:cs="DengXian-Regular"/>
          <w:sz w:val="32"/>
          <w:szCs w:val="32"/>
        </w:rPr>
        <w:t>年度无增减变化。</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组织对2020年度</w:t>
      </w:r>
      <w:r>
        <w:rPr>
          <w:rFonts w:hint="eastAsia" w:ascii="仿宋_GB2312" w:hAnsi="Times New Roman" w:eastAsia="仿宋_GB2312" w:cs="Wingdings"/>
          <w:sz w:val="32"/>
          <w:szCs w:val="32"/>
          <w:lang w:val="en-US" w:eastAsia="zh-CN"/>
        </w:rPr>
        <w:t>14</w:t>
      </w:r>
      <w:r>
        <w:rPr>
          <w:rFonts w:hint="eastAsia" w:ascii="仿宋_GB2312" w:hAnsi="Times New Roman" w:eastAsia="仿宋_GB2312" w:cs="Wingdings"/>
          <w:sz w:val="32"/>
          <w:szCs w:val="32"/>
        </w:rPr>
        <w:t>个一级项目全面开展绩效自评</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共涉及资金</w:t>
      </w:r>
      <w:r>
        <w:rPr>
          <w:rFonts w:hint="eastAsia" w:ascii="仿宋_GB2312" w:hAnsi="Times New Roman" w:eastAsia="仿宋_GB2312" w:cs="Wingdings"/>
          <w:sz w:val="32"/>
          <w:szCs w:val="32"/>
          <w:lang w:val="en-US" w:eastAsia="zh-CN"/>
        </w:rPr>
        <w:t>1693.62</w:t>
      </w:r>
      <w:r>
        <w:rPr>
          <w:rFonts w:hint="eastAsia" w:ascii="仿宋_GB2312" w:hAnsi="Times New Roman" w:eastAsia="仿宋_GB2312" w:cs="Wingdings"/>
          <w:sz w:val="32"/>
          <w:szCs w:val="32"/>
        </w:rPr>
        <w:t>万元。</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2020年</w:t>
      </w:r>
      <w:r>
        <w:rPr>
          <w:rFonts w:hint="eastAsia" w:ascii="仿宋_GB2312" w:hAnsi="宋体" w:eastAsia="仿宋_GB2312"/>
          <w:sz w:val="32"/>
          <w:szCs w:val="32"/>
          <w:lang w:val="en-US" w:eastAsia="zh-CN"/>
        </w:rPr>
        <w:t>本</w:t>
      </w:r>
      <w:r>
        <w:rPr>
          <w:rFonts w:hint="eastAsia" w:ascii="仿宋_GB2312" w:hAnsi="宋体" w:eastAsia="仿宋_GB2312"/>
          <w:sz w:val="32"/>
          <w:szCs w:val="32"/>
          <w:lang w:eastAsia="zh-CN"/>
        </w:rPr>
        <w:t>部门</w:t>
      </w:r>
      <w:r>
        <w:rPr>
          <w:rFonts w:hint="eastAsia" w:ascii="仿宋_GB2312" w:hAnsi="宋体" w:eastAsia="仿宋_GB2312"/>
          <w:sz w:val="32"/>
          <w:szCs w:val="32"/>
        </w:rPr>
        <w:t>绩效自评项目共</w:t>
      </w:r>
      <w:r>
        <w:rPr>
          <w:rFonts w:hint="eastAsia" w:ascii="仿宋_GB2312" w:hAnsi="宋体" w:eastAsia="仿宋_GB2312"/>
          <w:sz w:val="32"/>
          <w:szCs w:val="32"/>
          <w:lang w:val="en-US" w:eastAsia="zh-CN"/>
        </w:rPr>
        <w:t>13</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9</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69.2</w:t>
      </w:r>
      <w:r>
        <w:rPr>
          <w:rFonts w:hint="eastAsia" w:ascii="仿宋_GB2312" w:hAnsi="仿宋" w:eastAsia="仿宋_GB2312"/>
          <w:sz w:val="32"/>
          <w:szCs w:val="32"/>
        </w:rPr>
        <w:t>%</w:t>
      </w:r>
      <w:r>
        <w:rPr>
          <w:rFonts w:hint="eastAsia" w:ascii="仿宋_GB2312" w:hAnsi="仿宋" w:eastAsia="仿宋_GB2312"/>
          <w:sz w:val="32"/>
          <w:szCs w:val="32"/>
          <w:lang w:val="en-US" w:eastAsia="zh-CN"/>
        </w:rPr>
        <w:t>以上</w:t>
      </w:r>
      <w:r>
        <w:rPr>
          <w:rFonts w:hint="eastAsia" w:ascii="仿宋_GB2312" w:hAnsi="仿宋" w:eastAsia="仿宋_GB2312"/>
          <w:sz w:val="32"/>
          <w:szCs w:val="32"/>
        </w:rPr>
        <w:t>；评价等级为“良”的项目</w:t>
      </w:r>
      <w:r>
        <w:rPr>
          <w:rFonts w:hint="eastAsia" w:ascii="仿宋_GB2312" w:hAnsi="仿宋" w:eastAsia="仿宋_GB2312"/>
          <w:sz w:val="32"/>
          <w:szCs w:val="32"/>
          <w:lang w:val="en-US" w:eastAsia="zh-CN"/>
        </w:rPr>
        <w:t>3</w:t>
      </w:r>
      <w:r>
        <w:rPr>
          <w:rFonts w:hint="eastAsia" w:ascii="仿宋_GB2312" w:hAnsi="仿宋" w:eastAsia="仿宋_GB2312"/>
          <w:sz w:val="32"/>
          <w:szCs w:val="32"/>
        </w:rPr>
        <w:t>个，评良率为</w:t>
      </w:r>
      <w:r>
        <w:rPr>
          <w:rFonts w:hint="eastAsia" w:ascii="仿宋_GB2312" w:hAnsi="仿宋" w:eastAsia="仿宋_GB2312"/>
          <w:sz w:val="32"/>
          <w:szCs w:val="32"/>
          <w:lang w:val="en-US" w:eastAsia="zh-CN"/>
        </w:rPr>
        <w:t>23.1</w:t>
      </w:r>
      <w:r>
        <w:rPr>
          <w:rFonts w:hint="eastAsia" w:ascii="仿宋_GB2312" w:hAnsi="仿宋" w:eastAsia="仿宋_GB2312"/>
          <w:sz w:val="32"/>
          <w:szCs w:val="32"/>
        </w:rPr>
        <w:t>%</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评价级别为差的项目1个，评差率为7.7</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wordWrap/>
        <w:adjustRightInd/>
        <w:snapToGrid w:val="0"/>
        <w:spacing w:before="0" w:after="0" w:line="360" w:lineRule="auto"/>
        <w:ind w:right="-105" w:rightChars="-50" w:firstLine="2570" w:firstLineChars="800"/>
        <w:jc w:val="both"/>
        <w:textAlignment w:val="auto"/>
        <w:outlineLvl w:val="9"/>
        <w:rPr>
          <w:rFonts w:hint="eastAsia" w:ascii="仿宋_GB2312" w:hAnsi="宋体" w:eastAsia="仿宋_GB2312"/>
          <w:b/>
          <w:sz w:val="32"/>
          <w:szCs w:val="32"/>
          <w:lang w:val="en-US" w:eastAsia="zh-CN"/>
        </w:rPr>
      </w:pPr>
    </w:p>
    <w:p>
      <w:pPr>
        <w:wordWrap/>
        <w:adjustRightInd/>
        <w:snapToGrid w:val="0"/>
        <w:spacing w:before="0" w:after="0" w:line="360" w:lineRule="auto"/>
        <w:ind w:right="-105" w:rightChars="-50" w:firstLine="2570" w:firstLineChars="800"/>
        <w:jc w:val="both"/>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李村部门</w:t>
      </w:r>
      <w:r>
        <w:rPr>
          <w:rFonts w:hint="eastAsia" w:ascii="仿宋_GB2312" w:hAnsi="宋体" w:eastAsia="仿宋_GB2312"/>
          <w:b/>
          <w:sz w:val="32"/>
          <w:szCs w:val="32"/>
        </w:rPr>
        <w:t>绩效自评结果统计表</w:t>
      </w:r>
    </w:p>
    <w:tbl>
      <w:tblPr>
        <w:tblStyle w:val="8"/>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退役军人工资</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97</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南许营-李村（通镇公路）等五条道路工程</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91</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部队退还地2019年承包费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97</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2020年一事一议专项资金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97</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李村镇疫情防控工作经费补助</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92</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李村镇2019年环境卫生整治资金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水源保护区分类处置企业评估费用</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97</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石家庄鹿泉区水源保护区生态经济林发展补贴</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97</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大气污染综合治理考核奖励资金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95</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10</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2020年革命老区转移支付资金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89</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val="en-US" w:eastAsia="zh-CN"/>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2"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11</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firstLine="273" w:firstLineChars="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双同路拓宽升级工程</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82</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12</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农村污水治理专项资金</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85</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1"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13</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同阁工业区拆迁补偿款</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50</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差</w:t>
            </w:r>
          </w:p>
        </w:tc>
      </w:tr>
    </w:tbl>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 xml:space="preserve">在今年部门决算公开中反映 </w:t>
      </w:r>
      <w:r>
        <w:rPr>
          <w:rFonts w:hint="eastAsia" w:ascii="仿宋_GB2312" w:hAnsi="仿宋_GB2312" w:eastAsia="仿宋_GB2312" w:cs="仿宋_GB2312"/>
          <w:sz w:val="32"/>
          <w:szCs w:val="32"/>
          <w:lang w:val="en-US" w:eastAsia="zh-CN"/>
        </w:rPr>
        <w:t>13个</w:t>
      </w:r>
      <w:r>
        <w:rPr>
          <w:rFonts w:hint="eastAsia" w:ascii="仿宋_GB2312" w:hAnsi="仿宋_GB2312" w:eastAsia="仿宋_GB2312" w:cs="仿宋_GB2312"/>
          <w:sz w:val="32"/>
          <w:szCs w:val="32"/>
        </w:rPr>
        <w:t>项目绩效自评结果。</w:t>
      </w:r>
    </w:p>
    <w:p>
      <w:pPr>
        <w:spacing w:line="578" w:lineRule="exact"/>
        <w:ind w:firstLine="640" w:firstLineChars="200"/>
        <w:rPr>
          <w:rFonts w:ascii="仿宋_GB2312" w:eastAsia="仿宋_GB2312"/>
          <w:sz w:val="32"/>
          <w:szCs w:val="32"/>
        </w:rPr>
      </w:pPr>
      <w:r>
        <w:rPr>
          <w:rFonts w:hint="eastAsia" w:ascii="仿宋_GB2312" w:hAnsi="仿宋_GB2312" w:eastAsia="仿宋_GB2312" w:cs="仿宋_GB2312"/>
          <w:sz w:val="32"/>
          <w:szCs w:val="32"/>
          <w:lang w:val="en-US" w:eastAsia="zh-CN"/>
        </w:rPr>
        <w:t>（1）13</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val="en-US" w:eastAsia="zh-CN"/>
        </w:rPr>
        <w:t>以上，3个项目绩效自评得分为80分以上，1个项目绩效自评得分为50分。</w:t>
      </w:r>
      <w:r>
        <w:rPr>
          <w:rFonts w:hint="eastAsia" w:ascii="仿宋_GB2312" w:hAnsi="仿宋_GB2312" w:eastAsia="仿宋_GB2312" w:cs="仿宋_GB2312"/>
          <w:sz w:val="32"/>
          <w:szCs w:val="32"/>
        </w:rPr>
        <w:t>（绩效自评表附后）。全年预算数为</w:t>
      </w:r>
      <w:r>
        <w:rPr>
          <w:rFonts w:hint="eastAsia" w:ascii="仿宋_GB2312" w:hAnsi="仿宋_GB2312" w:eastAsia="仿宋_GB2312" w:cs="仿宋_GB2312"/>
          <w:sz w:val="32"/>
          <w:szCs w:val="32"/>
          <w:lang w:val="en-US" w:eastAsia="zh-CN"/>
        </w:rPr>
        <w:t>2615.03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1693.62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65%</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val="en-US" w:eastAsia="zh-CN"/>
        </w:rPr>
        <w:t>退役军人工资预算85.52万元，执行85.52万元，完成率100%</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2020年革命老区转移支付资金预算342万元，执行273万元，完成率80%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三是南许营-李村（通镇公路）等五条道路工程预算25万元，执行25万元，完成率100%；四是双同路拓宽升级工程预算696.51万元，执行140万元，完成率20%，工程已完工总体自评82%；五是同阁工业区拆迁补偿款预算282.59万元，执行0万元，项目已完工，总体自评50%；六是部队退还地2019年承包费预算381.92万元，执行381.92万元，完成率100%；七是2020年一事一议专项资金预算204.81万元，执行204.81万元，完成率100%；八是李村疫情防控工作费工作预算40万元，执行26.69万元，财政局收回13.31万元，完成率100%；九是李村镇2019年环境卫生整治资金170万元，执行170万元，完成率100%；十是水源保护区分类处置企业评估费用5.78万元，执行5.78万元，完成率100%；十一是石家庄鹿泉去水源保护区生态经济林发展补贴15.9万元，执行15.9万元，完成率100%；十二是大气污染综合治理考核奖励资金5万元，执行5万元，完成率100%；十三是农村污水治理专项资金360万元，执行360万元，完成率100%。没有</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val="en-US" w:eastAsia="zh-CN"/>
        </w:rPr>
        <w:t>年初项目具有不确定性，</w:t>
      </w:r>
      <w:r>
        <w:rPr>
          <w:rFonts w:hint="eastAsia" w:ascii="仿宋_GB2312" w:hAnsi="仿宋_GB2312" w:eastAsia="仿宋_GB2312" w:cs="仿宋_GB2312"/>
          <w:color w:val="333333"/>
          <w:sz w:val="32"/>
          <w:szCs w:val="32"/>
          <w:shd w:val="clear" w:fill="FFFFFF"/>
        </w:rPr>
        <w:t>致使当年预算执行率不高，年底剩余资金较多。今后要提前研判，科学编制预算，合理确定预算规模，切实提高资金使用效益。</w:t>
      </w:r>
      <w:r>
        <w:rPr>
          <w:rFonts w:hint="eastAsia" w:ascii="仿宋_GB2312" w:hAnsi="仿宋_GB2312" w:eastAsia="仿宋_GB2312" w:cs="仿宋_GB2312"/>
          <w:sz w:val="32"/>
          <w:szCs w:val="32"/>
        </w:rPr>
        <w:t>二是</w:t>
      </w:r>
      <w:r>
        <w:rPr>
          <w:rFonts w:hint="eastAsia" w:ascii="仿宋_GB2312" w:hAnsi="仿宋_GB2312" w:eastAsia="仿宋_GB2312" w:cs="仿宋_GB2312"/>
          <w:color w:val="333333"/>
          <w:sz w:val="32"/>
          <w:szCs w:val="32"/>
          <w:shd w:val="clear" w:fill="FFFFFF"/>
        </w:rPr>
        <w:t>项目安排的科学性、前瞻性不够，资金使用的统筹性、时效性不足</w:t>
      </w:r>
      <w:r>
        <w:rPr>
          <w:rFonts w:hint="eastAsia" w:ascii="仿宋_GB2312" w:hAnsi="仿宋_GB2312" w:eastAsia="仿宋_GB2312" w:cs="仿宋_GB2312"/>
          <w:sz w:val="32"/>
          <w:szCs w:val="32"/>
        </w:rPr>
        <w:t>。下一步改进措施：</w:t>
      </w:r>
      <w:r>
        <w:rPr>
          <w:rFonts w:hint="eastAsia" w:ascii="仿宋_GB2312" w:eastAsia="仿宋_GB2312"/>
          <w:sz w:val="32"/>
          <w:szCs w:val="32"/>
          <w:lang w:val="en-US" w:eastAsia="zh-CN"/>
        </w:rPr>
        <w:t>一是</w:t>
      </w:r>
      <w:r>
        <w:rPr>
          <w:rFonts w:hint="eastAsia" w:ascii="仿宋_GB2312" w:eastAsia="仿宋_GB2312"/>
          <w:sz w:val="32"/>
          <w:szCs w:val="32"/>
        </w:rPr>
        <w:t>对于绩效目标执行正常项目，提出下半年保障目标实现的具体措施；对于执行出现偏差的项目，结合原因分析，提出整改措施；对于预计年底无法实现的项目，提出调整意见；对于执行中出现重大问题的，提出绩效问责处理意见。</w:t>
      </w:r>
      <w:r>
        <w:rPr>
          <w:rFonts w:hint="eastAsia" w:ascii="仿宋_GB2312" w:eastAsia="仿宋_GB2312"/>
          <w:sz w:val="32"/>
          <w:szCs w:val="32"/>
          <w:lang w:val="en-US" w:eastAsia="zh-CN"/>
        </w:rPr>
        <w:t>二是</w:t>
      </w:r>
      <w:r>
        <w:rPr>
          <w:rFonts w:hint="eastAsia" w:ascii="仿宋_GB2312" w:eastAsia="仿宋_GB2312"/>
          <w:sz w:val="32"/>
          <w:szCs w:val="32"/>
        </w:rPr>
        <w:t>加强日常监控工作。我镇将继续做好与区财政局主管科室的沟通对接，对项目实施进行日常全程跟踪监控，充分利用跟踪监控手段，开展项目执行分析，确保项目按照年度计划，绩效目标和项目预算组织实施。同时，通过跟踪监控，加快项目支出进度合理控制结余结转资金规模。日常监控具体内容包括：项目是否按计划进度完成，并分析项目进度滞后的主要原因；项目要求是否发生本质性变化；项目设计或实施方案是否发生了调整；针对变化和调整，是否及时修改完善绩效目标和绩效指标；项目管理和资金管理制度是否健全，是否落实到位；项目实施单位是否采取节约成本的具体措施以及措施效果是否明显。</w:t>
      </w:r>
    </w:p>
    <w:p>
      <w:pPr>
        <w:spacing w:line="578" w:lineRule="exact"/>
        <w:ind w:firstLine="640" w:firstLineChars="200"/>
        <w:rPr>
          <w:rFonts w:ascii="仿宋_GB2312" w:eastAsia="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项目绩效自评综述：</w:t>
      </w:r>
      <w:r>
        <w:rPr>
          <w:rFonts w:hint="eastAsia" w:ascii="仿宋_GB2312" w:eastAsia="仿宋_GB2312"/>
          <w:sz w:val="32"/>
          <w:szCs w:val="32"/>
        </w:rPr>
        <w:t>重点监控</w:t>
      </w:r>
      <w:r>
        <w:rPr>
          <w:rFonts w:hint="eastAsia" w:ascii="仿宋_GB2312" w:eastAsia="仿宋_GB2312"/>
          <w:sz w:val="32"/>
          <w:szCs w:val="32"/>
          <w:lang w:val="en-US" w:eastAsia="zh-CN"/>
        </w:rPr>
        <w:t>13</w:t>
      </w:r>
      <w:r>
        <w:rPr>
          <w:rFonts w:hint="eastAsia" w:ascii="仿宋_GB2312" w:eastAsia="仿宋_GB2312"/>
          <w:sz w:val="32"/>
          <w:szCs w:val="32"/>
        </w:rPr>
        <w:t>个专项资金绩效运行的整体质量较好，资金绩效正在释放。</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299.2</w:t>
      </w:r>
      <w:r>
        <w:rPr>
          <w:rFonts w:hint="eastAsia" w:ascii="仿宋_GB2312" w:hAnsi="仿宋_GB2312" w:eastAsia="仿宋_GB2312" w:cs="仿宋_GB2312"/>
          <w:sz w:val="32"/>
          <w:szCs w:val="32"/>
        </w:rPr>
        <w:t>万元，比2019年度减少</w:t>
      </w:r>
      <w:r>
        <w:rPr>
          <w:rFonts w:hint="eastAsia" w:ascii="仿宋_GB2312" w:hAnsi="仿宋_GB2312" w:eastAsia="仿宋_GB2312" w:cs="仿宋_GB2312"/>
          <w:sz w:val="32"/>
          <w:szCs w:val="32"/>
          <w:lang w:val="en-US" w:eastAsia="zh-CN"/>
        </w:rPr>
        <w:t>31.5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下</w:t>
      </w:r>
      <w:r>
        <w:rPr>
          <w:rFonts w:hint="eastAsia" w:ascii="仿宋_GB2312" w:hAnsi="仿宋_GB2312" w:eastAsia="仿宋_GB2312" w:cs="仿宋_GB2312"/>
          <w:sz w:val="32"/>
          <w:szCs w:val="32"/>
        </w:rPr>
        <w:t>降低</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主要是严格贯彻落实党和政府“过紧日子”要求，压缩“三公”经费费等非急需非刚性支出。</w:t>
      </w:r>
    </w:p>
    <w:p>
      <w:pPr>
        <w:keepNext/>
        <w:keepLines/>
        <w:snapToGrid w:val="0"/>
        <w:spacing w:line="60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sz w:val="32"/>
          <w:szCs w:val="32"/>
          <w:lang w:val="en-US" w:eastAsia="zh-CN"/>
        </w:rPr>
        <w:t>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2020年度政府采购</w:t>
      </w:r>
      <w:r>
        <w:rPr>
          <w:rFonts w:hint="eastAsia" w:ascii="仿宋_GB2312" w:hAnsi="仿宋_GB2312" w:eastAsia="仿宋_GB2312" w:cs="仿宋_GB2312"/>
          <w:sz w:val="32"/>
          <w:szCs w:val="32"/>
          <w:lang w:val="en-US" w:eastAsia="zh-CN"/>
        </w:rPr>
        <w:t>支出总额0万元，从采购类型来看，政府采购货物支出0万元，政府采购服务支出0万元，授予中小企业合同金额0万元，其中授予小微企业合同金额0万元。</w:t>
      </w:r>
    </w:p>
    <w:p>
      <w:pPr>
        <w:spacing w:line="540" w:lineRule="exact"/>
        <w:ind w:firstLine="640" w:firstLineChars="200"/>
        <w:outlineLvl w:val="0"/>
        <w:rPr>
          <w:rFonts w:hint="eastAsia" w:ascii="仿宋_GB2312" w:hAnsi="仿宋" w:eastAsia="仿宋_GB2312"/>
          <w:sz w:val="28"/>
          <w:szCs w:val="28"/>
          <w:lang w:eastAsia="zh-CN"/>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截至2020年12月31日，</w:t>
      </w:r>
      <w:r>
        <w:rPr>
          <w:rFonts w:hint="eastAsia" w:ascii="仿宋_GB2312" w:hAnsi="仿宋_GB2312" w:eastAsia="仿宋_GB2312" w:cs="仿宋_GB2312"/>
          <w:sz w:val="32"/>
          <w:szCs w:val="32"/>
          <w:lang w:val="en-US" w:eastAsia="zh-CN"/>
        </w:rPr>
        <w:t>固定资产503.9万元，其中：房屋及构筑物227万元，通用设备226.6万元，专用设备28.7万元，家具、用具、装具21.6万元。本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辆，其中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公务用车2辆，与上年持平</w:t>
      </w:r>
      <w:r>
        <w:rPr>
          <w:rFonts w:hint="eastAsia" w:ascii="仿宋_GB2312" w:hAnsi="仿宋_GB2312" w:eastAsia="仿宋_GB2312" w:cs="仿宋_GB2312"/>
          <w:sz w:val="32"/>
          <w:szCs w:val="32"/>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本部门没有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1. </w:t>
      </w:r>
      <w:r>
        <w:rPr>
          <w:rFonts w:hint="eastAsia" w:ascii="仿宋_GB2312" w:hAnsi="仿宋_GB2312" w:eastAsia="仿宋_GB2312" w:cs="仿宋_GB2312"/>
          <w:sz w:val="32"/>
          <w:szCs w:val="32"/>
          <w:highlight w:val="none"/>
          <w:lang w:val="en-US" w:eastAsia="zh-CN"/>
        </w:rPr>
        <w:t>本</w:t>
      </w:r>
      <w:r>
        <w:rPr>
          <w:rFonts w:hint="eastAsia" w:ascii="仿宋_GB2312" w:hAnsi="仿宋_GB2312" w:eastAsia="仿宋_GB2312" w:cs="仿宋_GB2312"/>
          <w:sz w:val="32"/>
          <w:szCs w:val="32"/>
          <w:highlight w:val="none"/>
          <w:lang w:eastAsia="zh-CN"/>
        </w:rPr>
        <w:t>部门</w:t>
      </w:r>
      <w:r>
        <w:rPr>
          <w:rFonts w:hint="eastAsia" w:ascii="仿宋_GB2312" w:hAnsi="仿宋_GB2312" w:eastAsia="仿宋_GB2312" w:cs="仿宋_GB2312"/>
          <w:sz w:val="32"/>
          <w:szCs w:val="32"/>
          <w:highlight w:val="none"/>
        </w:rPr>
        <w:t>2020年度政府性基金预算</w:t>
      </w:r>
      <w:r>
        <w:rPr>
          <w:rFonts w:hint="eastAsia" w:ascii="仿宋_GB2312" w:hAnsi="仿宋_GB2312" w:eastAsia="仿宋_GB2312" w:cs="仿宋_GB2312"/>
          <w:sz w:val="32"/>
          <w:szCs w:val="32"/>
          <w:highlight w:val="none"/>
          <w:lang w:val="en-US" w:eastAsia="zh-CN"/>
        </w:rPr>
        <w:t>拨款165万元，支出165万元，其中：用于农村基础设施建设资金165万元。</w:t>
      </w:r>
      <w:r>
        <w:rPr>
          <w:rFonts w:hint="eastAsia" w:ascii="仿宋_GB2312" w:hAnsi="仿宋_GB2312" w:eastAsia="仿宋_GB2312" w:cs="仿宋_GB2312"/>
          <w:sz w:val="32"/>
          <w:szCs w:val="32"/>
          <w:highlight w:val="none"/>
        </w:rPr>
        <w:t>未发生国有资金经营预算收支及结转结余情况，故国有资金经营预算</w:t>
      </w:r>
      <w:r>
        <w:rPr>
          <w:rFonts w:hint="eastAsia" w:ascii="仿宋_GB2312" w:hAnsi="仿宋_GB2312" w:eastAsia="仿宋_GB2312" w:cs="仿宋_GB2312"/>
          <w:sz w:val="32"/>
          <w:szCs w:val="32"/>
          <w:highlight w:val="none"/>
          <w:lang w:val="en-US" w:eastAsia="zh-CN"/>
        </w:rPr>
        <w:t>支出表（09表）</w:t>
      </w:r>
      <w:r>
        <w:rPr>
          <w:rFonts w:hint="eastAsia" w:ascii="仿宋_GB2312" w:hAnsi="仿宋_GB2312" w:eastAsia="仿宋_GB2312" w:cs="仿宋_GB2312"/>
          <w:sz w:val="32"/>
          <w:szCs w:val="32"/>
          <w:highlight w:val="none"/>
        </w:rPr>
        <w:t>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600" w:lineRule="exact"/>
        <w:ind w:firstLine="640" w:firstLineChars="200"/>
        <w:rPr>
          <w:rFonts w:hint="eastAsia"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rPr>
          <w:sz w:val="72"/>
        </w:rPr>
        <mc:AlternateContent>
          <mc:Choice Requires="wps">
            <w:drawing>
              <wp:anchor distT="0" distB="0" distL="114300" distR="114300" simplePos="0" relativeHeight="251660288" behindDoc="0" locked="0" layoutInCell="1" allowOverlap="1">
                <wp:simplePos x="0" y="0"/>
                <wp:positionH relativeFrom="column">
                  <wp:posOffset>-1022350</wp:posOffset>
                </wp:positionH>
                <wp:positionV relativeFrom="paragraph">
                  <wp:posOffset>201930</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0288;v-text-anchor:middle;mso-width-relative:page;mso-height-relative:page;" fillcolor="#7F7F7F [1612]" filled="t" stroked="t" coordsize="21600,21600" o:gfxdata="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P/0jT7ZAAAADAEAAA8A&#10;AAAAAAAAAQAgAAAAIgAAAGRycy9kb3ducmV2LnhtbFBLAQIUABQAAAAIAIdO4kDBnZ8JiAIAAEwF&#10;AAAOAAAAAAAAAAEAIAAAACgBAABkcnMvZTJvRG9jLnhtbFBLBQYAAAAABgAGAFkBAAAiBgAAAAA=&#10;">
                <v:fill type="pattern" on="t" color2="#FFFFFF [3212]" o:title="5%" focussize="0,0" r:id="rId15"/>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cs="Times New Roman"/>
          <w:sz w:val="32"/>
          <w:szCs w:val="32"/>
        </w:rPr>
      </w:pPr>
      <w:r>
        <w:rPr>
          <w:rFonts w:ascii="Times New Roman" w:hAnsi="Times New Roman" w:eastAsia="黑体" w:cs="Times New Roman"/>
          <w:sz w:val="32"/>
          <w:szCs w:val="32"/>
        </w:rPr>
        <w:br w:type="page"/>
      </w:r>
    </w:p>
    <w:p>
      <w:pPr>
        <w:widowControl/>
        <w:spacing w:after="160" w:line="580" w:lineRule="exact"/>
        <w:rPr>
          <w:rFonts w:ascii="Times New Roman" w:hAnsi="Times New Roman" w:eastAsia="黑体" w:cs="Times New Roman"/>
          <w:sz w:val="32"/>
          <w:szCs w:val="32"/>
        </w:rPr>
        <w:sectPr>
          <w:headerReference r:id="rId12" w:type="default"/>
          <w:pgSz w:w="11906" w:h="16838"/>
          <w:pgMar w:top="2098" w:right="1531" w:bottom="1984" w:left="1531" w:header="851" w:footer="992" w:gutter="0"/>
          <w:pgNumType w:fmt="numberInDash"/>
          <w:cols w:space="0" w:num="1"/>
          <w:titlePg/>
          <w:docGrid w:type="lines" w:linePitch="312" w:charSpace="0"/>
        </w:sectPr>
      </w:pPr>
    </w:p>
    <w:p>
      <w:pPr>
        <w:rPr>
          <w:sz w:val="72"/>
        </w:rPr>
      </w:pPr>
      <w:r>
        <w:rPr>
          <w:sz w:val="72"/>
        </w:rPr>
        <mc:AlternateContent>
          <mc:Choice Requires="wps">
            <w:drawing>
              <wp:anchor distT="0" distB="0" distL="114300" distR="114300" simplePos="0" relativeHeight="251664384"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4384;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ANhBuPcAAAADQEAAA8AAAAAAAAAAQAgAAAAIgAAAGRycy9kb3du&#10;cmV2LnhtbFBLAQIUABQAAAAIAIdO4kAJY6zCpgIAAKkFAAAOAAAAAAAAAAEAIAAAACsBAABkcnMv&#10;ZTJvRG9jLnhtbFBLBQYAAAAABgAGAFkBAABDBgAAAAA=&#10;">
                <v:fill type="pattern" on="t" color2="#FFFFFF" o:title="5%" focussize="0,0" r:id="rId15"/>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bidi w:val="0"/>
        <w:rPr>
          <w:rFonts w:asciiTheme="minorHAnsi" w:hAnsiTheme="minorHAnsi" w:eastAsiaTheme="minorEastAsia" w:cstheme="minorBidi"/>
          <w:kern w:val="2"/>
          <w:sz w:val="21"/>
          <w:szCs w:val="24"/>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rPr>
          <w:lang w:val="en-US" w:eastAsia="zh-CN"/>
        </w:rPr>
      </w:pPr>
      <w:r>
        <w:rPr>
          <w:lang w:val="en-US" w:eastAsia="zh-CN"/>
        </w:rPr>
        <w:br w:type="page"/>
      </w:r>
    </w:p>
    <w:p>
      <w:pPr>
        <w:bidi w:val="0"/>
        <w:rPr>
          <w:sz w:val="72"/>
          <w:szCs w:val="144"/>
          <w:lang w:val="en-US" w:eastAsia="zh-CN"/>
        </w:rPr>
      </w:pPr>
    </w:p>
    <w:p>
      <w:pPr>
        <w:bidi w:val="0"/>
        <w:jc w:val="both"/>
        <w:rPr>
          <w:rFonts w:hint="eastAsia"/>
          <w:sz w:val="72"/>
          <w:szCs w:val="144"/>
          <w:lang w:val="en-US" w:eastAsia="zh-CN"/>
        </w:rPr>
      </w:pPr>
    </w:p>
    <w:p>
      <w:pPr>
        <w:bidi w:val="0"/>
        <w:jc w:val="both"/>
        <w:rPr>
          <w:rFonts w:hint="eastAsia"/>
          <w:sz w:val="72"/>
          <w:szCs w:val="144"/>
          <w:lang w:val="en-US" w:eastAsia="zh-CN"/>
        </w:rPr>
      </w:pPr>
    </w:p>
    <w:p>
      <w:pPr>
        <w:bidi w:val="0"/>
        <w:jc w:val="center"/>
        <w:rPr>
          <w:rFonts w:hint="eastAsia"/>
          <w:sz w:val="44"/>
          <w:szCs w:val="44"/>
          <w:lang w:val="en-US" w:eastAsia="zh-CN"/>
        </w:rPr>
      </w:pPr>
      <w:r>
        <w:rPr>
          <w:rFonts w:hint="eastAsia"/>
          <w:sz w:val="44"/>
          <w:szCs w:val="44"/>
          <w:lang w:val="en-US" w:eastAsia="zh-CN"/>
        </w:rPr>
        <w:t>见附件</w:t>
      </w:r>
    </w:p>
    <w:p>
      <w:pPr>
        <w:bidi w:val="0"/>
        <w:jc w:val="center"/>
        <w:rPr>
          <w:rFonts w:hint="eastAsia"/>
          <w:sz w:val="44"/>
          <w:szCs w:val="44"/>
          <w:lang w:val="en-US" w:eastAsia="zh-CN"/>
        </w:rPr>
      </w:pPr>
      <w:r>
        <w:rPr>
          <w:rFonts w:hint="eastAsia"/>
          <w:sz w:val="44"/>
          <w:szCs w:val="44"/>
          <w:lang w:val="en-US" w:eastAsia="zh-CN"/>
        </w:rPr>
        <w:t>（石家庄市鹿泉区李村镇人民政府</w:t>
      </w:r>
    </w:p>
    <w:p>
      <w:pPr>
        <w:bidi w:val="0"/>
        <w:jc w:val="center"/>
        <w:rPr>
          <w:rFonts w:ascii="仿宋_GB2312" w:hAnsi="Cambria" w:eastAsia="仿宋_GB2312" w:cs="Arial Black"/>
          <w:kern w:val="0"/>
          <w:sz w:val="44"/>
          <w:szCs w:val="44"/>
        </w:rPr>
      </w:pPr>
      <w:r>
        <w:rPr>
          <w:rFonts w:hint="eastAsia"/>
          <w:sz w:val="44"/>
          <w:szCs w:val="44"/>
          <w:lang w:val="en-US" w:eastAsia="zh-CN"/>
        </w:rPr>
        <w:t>2020年决算公开表共9张</w:t>
      </w:r>
      <w:r>
        <w:rPr>
          <w:sz w:val="44"/>
          <w:szCs w:val="44"/>
        </w:rPr>
        <mc:AlternateContent>
          <mc:Choice Requires="wps">
            <w:drawing>
              <wp:anchor distT="0" distB="0" distL="114300" distR="114300" simplePos="0" relativeHeight="251663360"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3360;v-text-anchor:middle;mso-width-relative:page;mso-height-relative:page;" filled="f" stroked="f" coordsize="21600,21600" o:gfxdata="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cOa2d9wAAAAPAQAADwAAAAAAAAABACAAAAAiAAAAZHJzL2Rvd25yZXYueG1sUEsB&#10;AhQAFAAAAAgAh07iQBj8Mg9jAgAArwQAAA4AAAAAAAAAAQAgAAAAKwEAAGRycy9lMm9Eb2MueG1s&#10;UEsFBgAAAAAGAAYAWQEAAAAGAAAAAA==&#10;">
                <v:fill on="f" focussize="0,0"/>
                <v:stroke on="f" weight="1pt" miterlimit="8" joinstyle="miter"/>
                <v:imagedata o:title=""/>
                <o:lock v:ext="edit" aspectratio="f"/>
              </v:rect>
            </w:pict>
          </mc:Fallback>
        </mc:AlternateContent>
      </w:r>
      <w:r>
        <w:rPr>
          <w:rFonts w:hint="eastAsia"/>
          <w:sz w:val="44"/>
          <w:szCs w:val="44"/>
          <w:lang w:val="en-US" w:eastAsia="zh-CN"/>
        </w:rPr>
        <w:t>）</w: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ascii="楷体_GB2312" w:hAnsi="楷体_GB2312" w:eastAsia="楷体_GB2312" w:cs="楷体_GB2312"/>
        <w:color w:val="000000" w:themeColor="text1"/>
        <w:sz w:val="44"/>
        <w:szCs w:val="52"/>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sz w:val="44"/>
        <w:szCs w:val="52"/>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2021年</w:t>
    </w:r>
    <w:r>
      <w:rPr>
        <w:rFonts w:hint="eastAsia" w:ascii="楷体_GB2312" w:hAnsi="楷体_GB2312" w:eastAsia="楷体_GB2312" w:cs="楷体_GB2312"/>
        <w:color w:val="000000" w:themeColor="text1"/>
        <w:sz w:val="44"/>
        <w:szCs w:val="52"/>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10</w:t>
    </w:r>
    <w:r>
      <w:rPr>
        <w:rFonts w:hint="eastAsia" w:ascii="楷体_GB2312" w:hAnsi="楷体_GB2312" w:eastAsia="楷体_GB2312" w:cs="楷体_GB2312"/>
        <w:color w:val="000000" w:themeColor="text1"/>
        <w:sz w:val="44"/>
        <w:szCs w:val="52"/>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月</w:t>
    </w:r>
  </w:p>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9C7F11E"/>
    <w:multiLevelType w:val="singleLevel"/>
    <w:tmpl w:val="49C7F11E"/>
    <w:lvl w:ilvl="0" w:tentative="0">
      <w:start w:val="2"/>
      <w:numFmt w:val="chineseCounting"/>
      <w:suff w:val="nothing"/>
      <w:lvlText w:val="（%1）"/>
      <w:lvlJc w:val="left"/>
      <w:pPr>
        <w:ind w:left="519"/>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doNotDisplayPageBoundaries w:val="1"/>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FhN2M5YjRhMGIzYzY3NzJiMGMzOWE0ZDBmMDVmN2YifQ=="/>
  </w:docVars>
  <w:rsids>
    <w:rsidRoot w:val="34C45458"/>
    <w:rsid w:val="00061A05"/>
    <w:rsid w:val="0018668E"/>
    <w:rsid w:val="001B73D2"/>
    <w:rsid w:val="001E62BF"/>
    <w:rsid w:val="00293E7B"/>
    <w:rsid w:val="002D1F4F"/>
    <w:rsid w:val="00366D90"/>
    <w:rsid w:val="003D678E"/>
    <w:rsid w:val="00801F66"/>
    <w:rsid w:val="00855E5F"/>
    <w:rsid w:val="008B172C"/>
    <w:rsid w:val="009334BF"/>
    <w:rsid w:val="00E20C3F"/>
    <w:rsid w:val="07AA3C65"/>
    <w:rsid w:val="086E76C4"/>
    <w:rsid w:val="09771F3D"/>
    <w:rsid w:val="09C449C8"/>
    <w:rsid w:val="09D91F7A"/>
    <w:rsid w:val="0AAC45FC"/>
    <w:rsid w:val="0D1A6175"/>
    <w:rsid w:val="0EA1091F"/>
    <w:rsid w:val="0EA325C9"/>
    <w:rsid w:val="0EEE5023"/>
    <w:rsid w:val="0F7E7113"/>
    <w:rsid w:val="110904EC"/>
    <w:rsid w:val="11DC794B"/>
    <w:rsid w:val="12A65815"/>
    <w:rsid w:val="12BB7DC9"/>
    <w:rsid w:val="13DE1FAB"/>
    <w:rsid w:val="14E71F0F"/>
    <w:rsid w:val="15584EDF"/>
    <w:rsid w:val="15EC54DE"/>
    <w:rsid w:val="16B71279"/>
    <w:rsid w:val="16D6236F"/>
    <w:rsid w:val="178B29AA"/>
    <w:rsid w:val="189162AA"/>
    <w:rsid w:val="1A9D4217"/>
    <w:rsid w:val="1AF714B4"/>
    <w:rsid w:val="1C921DE1"/>
    <w:rsid w:val="1E3F6B14"/>
    <w:rsid w:val="1F4E4BBA"/>
    <w:rsid w:val="1F574CFB"/>
    <w:rsid w:val="1FD61320"/>
    <w:rsid w:val="20F35BEA"/>
    <w:rsid w:val="21080108"/>
    <w:rsid w:val="25E011F4"/>
    <w:rsid w:val="2803445A"/>
    <w:rsid w:val="28D45898"/>
    <w:rsid w:val="2B137C30"/>
    <w:rsid w:val="2B5B3AFD"/>
    <w:rsid w:val="2CD73B0A"/>
    <w:rsid w:val="30914636"/>
    <w:rsid w:val="34C07485"/>
    <w:rsid w:val="34C45458"/>
    <w:rsid w:val="34F8371C"/>
    <w:rsid w:val="39C93941"/>
    <w:rsid w:val="3A96562C"/>
    <w:rsid w:val="3B304753"/>
    <w:rsid w:val="3B7E2E5E"/>
    <w:rsid w:val="3EF14662"/>
    <w:rsid w:val="447A342F"/>
    <w:rsid w:val="4493320E"/>
    <w:rsid w:val="44BA4093"/>
    <w:rsid w:val="46D405B5"/>
    <w:rsid w:val="483112B7"/>
    <w:rsid w:val="48ED085D"/>
    <w:rsid w:val="4A151928"/>
    <w:rsid w:val="4A1D03B7"/>
    <w:rsid w:val="4AAE3DD4"/>
    <w:rsid w:val="4ADF68FF"/>
    <w:rsid w:val="4B487D61"/>
    <w:rsid w:val="4C494E28"/>
    <w:rsid w:val="4CA279A0"/>
    <w:rsid w:val="4D491ED6"/>
    <w:rsid w:val="4ECC348F"/>
    <w:rsid w:val="50CE125D"/>
    <w:rsid w:val="51B46F58"/>
    <w:rsid w:val="547A740A"/>
    <w:rsid w:val="55184409"/>
    <w:rsid w:val="558C4B4D"/>
    <w:rsid w:val="56A31C17"/>
    <w:rsid w:val="5826679B"/>
    <w:rsid w:val="5B0460CD"/>
    <w:rsid w:val="5B1B2C38"/>
    <w:rsid w:val="5B261866"/>
    <w:rsid w:val="5DA574B9"/>
    <w:rsid w:val="5E243FB3"/>
    <w:rsid w:val="5E74778C"/>
    <w:rsid w:val="5E8635A6"/>
    <w:rsid w:val="5ED427B9"/>
    <w:rsid w:val="606B39FE"/>
    <w:rsid w:val="615A2A2A"/>
    <w:rsid w:val="62CE3501"/>
    <w:rsid w:val="63D1643A"/>
    <w:rsid w:val="64B90728"/>
    <w:rsid w:val="661A2B55"/>
    <w:rsid w:val="6749016F"/>
    <w:rsid w:val="69AD02AC"/>
    <w:rsid w:val="69F82F3A"/>
    <w:rsid w:val="6A9D02BA"/>
    <w:rsid w:val="6B254194"/>
    <w:rsid w:val="6D2E41B6"/>
    <w:rsid w:val="6E59448B"/>
    <w:rsid w:val="6FF93275"/>
    <w:rsid w:val="700960EA"/>
    <w:rsid w:val="708F735B"/>
    <w:rsid w:val="7119487A"/>
    <w:rsid w:val="721755AC"/>
    <w:rsid w:val="72E84189"/>
    <w:rsid w:val="74D17585"/>
    <w:rsid w:val="77C608D9"/>
    <w:rsid w:val="78E702C6"/>
    <w:rsid w:val="7B647DD5"/>
    <w:rsid w:val="7BBC5DFD"/>
    <w:rsid w:val="7C237A34"/>
    <w:rsid w:val="7C4E6030"/>
    <w:rsid w:val="7C5A7122"/>
    <w:rsid w:val="7C5E208D"/>
    <w:rsid w:val="7C700B7A"/>
    <w:rsid w:val="7C98100D"/>
    <w:rsid w:val="7FD04B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1">
    <w:name w:val="FollowedHyperlink"/>
    <w:basedOn w:val="10"/>
    <w:qFormat/>
    <w:uiPriority w:val="0"/>
    <w:rPr>
      <w:color w:val="000000"/>
      <w:u w:val="none"/>
    </w:rPr>
  </w:style>
  <w:style w:type="character" w:styleId="12">
    <w:name w:val="Hyperlink"/>
    <w:basedOn w:val="10"/>
    <w:qFormat/>
    <w:uiPriority w:val="0"/>
    <w:rPr>
      <w:color w:val="000000"/>
      <w:u w:val="none"/>
    </w:rPr>
  </w:style>
  <w:style w:type="paragraph" w:customStyle="1" w:styleId="13">
    <w:name w:val="样式1"/>
    <w:basedOn w:val="1"/>
    <w:qFormat/>
    <w:uiPriority w:val="0"/>
    <w:pPr>
      <w:adjustRightInd w:val="0"/>
      <w:snapToGrid w:val="0"/>
      <w:spacing w:line="600" w:lineRule="exact"/>
    </w:pPr>
    <w:rPr>
      <w:rFonts w:asciiTheme="minorAscii" w:hAnsiTheme="minorAscii"/>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chart" Target="charts/chart1.xml"/><Relationship Id="rId15" Type="http://schemas.openxmlformats.org/officeDocument/2006/relationships/image" Target="media/image2.bmp"/><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36516264428"/>
          <c:y val="0.102061809739367"/>
          <c:w val="0.778757141191559"/>
          <c:h val="0.695572576125537"/>
        </c:manualLayout>
      </c:layout>
      <c:barChart>
        <c:barDir val="col"/>
        <c:grouping val="clustered"/>
        <c:varyColors val="0"/>
        <c:ser>
          <c:idx val="0"/>
          <c:order val="0"/>
          <c:tx>
            <c:strRef>
              <c:f>Sheet1!$B$1</c:f>
              <c:strCache>
                <c:ptCount val="1"/>
                <c:pt idx="0">
                  <c:v>收入合计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4666.66</c:v>
                </c:pt>
                <c:pt idx="1">
                  <c:v>4189.12</c:v>
                </c:pt>
              </c:numCache>
            </c:numRef>
          </c:val>
        </c:ser>
        <c:ser>
          <c:idx val="1"/>
          <c:order val="1"/>
          <c:tx>
            <c:strRef>
              <c:f>Sheet1!$C$1</c:f>
              <c:strCache>
                <c:ptCount val="1"/>
                <c:pt idx="0">
                  <c:v>支出合计</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Sheet1!$A$2:$A$3</c:f>
              <c:strCache>
                <c:ptCount val="2"/>
                <c:pt idx="0">
                  <c:v>2019年</c:v>
                </c:pt>
                <c:pt idx="1">
                  <c:v>2020年</c:v>
                </c:pt>
              </c:strCache>
            </c:strRef>
          </c:cat>
          <c:val>
            <c:numRef>
              <c:f>Sheet1!$C$2:$C$3</c:f>
              <c:numCache>
                <c:formatCode>General</c:formatCode>
                <c:ptCount val="2"/>
                <c:pt idx="0">
                  <c:v>3908.31</c:v>
                </c:pt>
                <c:pt idx="1">
                  <c:v>4430.8</c:v>
                </c:pt>
              </c:numCache>
            </c:numRef>
          </c:val>
        </c:ser>
        <c:dLbls>
          <c:showLegendKey val="0"/>
          <c:showVal val="1"/>
          <c:showCatName val="0"/>
          <c:showSerName val="0"/>
          <c:showPercent val="0"/>
          <c:showBubbleSize val="0"/>
        </c:dLbls>
        <c:gapWidth val="219"/>
        <c:overlap val="-27"/>
        <c:axId val="462451782"/>
        <c:axId val="737457775"/>
      </c:barChart>
      <c:catAx>
        <c:axId val="46245178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737457775"/>
        <c:crosses val="autoZero"/>
        <c:auto val="1"/>
        <c:lblAlgn val="ctr"/>
        <c:lblOffset val="100"/>
        <c:noMultiLvlLbl val="0"/>
      </c:catAx>
      <c:valAx>
        <c:axId val="737457775"/>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462451782"/>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35777092611625"/>
          <c:y val="0.0419859780063517"/>
          <c:w val="0.433938563434966"/>
          <c:h val="0.1201405997169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4942</Words>
  <Characters>5518</Characters>
  <Lines>82</Lines>
  <Paragraphs>23</Paragraphs>
  <TotalTime>27</TotalTime>
  <ScaleCrop>false</ScaleCrop>
  <LinksUpToDate>false</LinksUpToDate>
  <CharactersWithSpaces>5712</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cp:lastModifiedBy>
  <dcterms:modified xsi:type="dcterms:W3CDTF">2023-09-14T03:02:53Z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EEB0AF1058714613A8329AFD3B1DD3FB</vt:lpwstr>
  </property>
</Properties>
</file>