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sz w:val="72"/>
          <w:szCs w:val="72"/>
        </w:rPr>
      </w:pPr>
    </w:p>
    <w:p>
      <w:pPr>
        <w:widowControl/>
        <w:jc w:val="center"/>
        <w:rPr>
          <w:rFonts w:hAnsi="宋体" w:asciiTheme="minorEastAsia" w:eastAsiaTheme="minorEastAsia"/>
          <w:color w:val="002060"/>
          <w:sz w:val="84"/>
          <w:szCs w:val="84"/>
        </w:rPr>
      </w:pPr>
      <w:r>
        <w:rPr>
          <w:rFonts w:hint="eastAsia" w:hAnsi="宋体" w:asciiTheme="minorEastAsia" w:eastAsiaTheme="minorEastAsia"/>
          <w:color w:val="002060"/>
          <w:sz w:val="84"/>
          <w:szCs w:val="84"/>
        </w:rPr>
        <w:t>2017年度部门决算公开</w: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宋体" w:hAnsi="宋体"/>
          <w:b/>
          <w:sz w:val="44"/>
          <w:szCs w:val="44"/>
        </w:rPr>
      </w:pPr>
      <w:r>
        <w:rPr>
          <w:rFonts w:hint="eastAsia" w:ascii="宋体" w:hAnsi="宋体"/>
          <w:b/>
          <w:sz w:val="44"/>
          <w:szCs w:val="44"/>
        </w:rPr>
        <w:t>石家庄市鹿泉区供销合作总社</w:t>
      </w:r>
    </w:p>
    <w:p>
      <w:pPr>
        <w:widowControl/>
        <w:jc w:val="center"/>
        <w:rPr>
          <w:rFonts w:ascii="宋体" w:hAnsi="宋体"/>
          <w:b/>
          <w:sz w:val="44"/>
          <w:szCs w:val="44"/>
        </w:rPr>
      </w:pPr>
      <w:r>
        <w:rPr>
          <w:rFonts w:hint="eastAsia" w:ascii="宋体" w:hAnsi="宋体"/>
          <w:b/>
          <w:sz w:val="44"/>
          <w:szCs w:val="44"/>
        </w:rPr>
        <w:t>2018年9月14日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鹿泉区供销合作总社</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鹿泉区供销合作总社</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 xml:space="preserve">  鹿泉区供销合作总社</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w:t>
      </w:r>
      <w:r>
        <w:rPr>
          <w:rFonts w:hint="eastAsia" w:eastAsia="黑体"/>
          <w:sz w:val="32"/>
          <w:szCs w:val="32"/>
        </w:rPr>
        <w:t xml:space="preserve">  </w:t>
      </w:r>
      <w:r>
        <w:rPr>
          <w:rFonts w:eastAsia="黑体"/>
          <w:sz w:val="32"/>
          <w:szCs w:val="32"/>
        </w:rPr>
        <w:t>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一、部门职责</w:t>
      </w:r>
    </w:p>
    <w:p>
      <w:pPr>
        <w:spacing w:line="500" w:lineRule="exact"/>
        <w:ind w:firstLine="560"/>
        <w:rPr>
          <w:rFonts w:ascii="方正仿宋_GBK" w:eastAsia="方正仿宋_GBK"/>
          <w:sz w:val="28"/>
        </w:rPr>
      </w:pPr>
      <w:r>
        <w:rPr>
          <w:rFonts w:ascii="方正仿宋_GBK" w:eastAsia="方正仿宋_GBK"/>
          <w:sz w:val="28"/>
        </w:rPr>
        <w:t>1、宣传、贯彻党和政府有关农村工作和社会发展的方针、政策，制订并组织实施供销合作社发展规划。</w:t>
      </w:r>
    </w:p>
    <w:p>
      <w:pPr>
        <w:spacing w:line="500" w:lineRule="exact"/>
        <w:ind w:firstLine="560"/>
        <w:rPr>
          <w:rFonts w:ascii="方正仿宋_GBK" w:eastAsia="方正仿宋_GBK"/>
          <w:sz w:val="28"/>
        </w:rPr>
      </w:pPr>
      <w:r>
        <w:rPr>
          <w:rFonts w:ascii="方正仿宋_GBK" w:eastAsia="方正仿宋_GBK"/>
          <w:sz w:val="28"/>
        </w:rPr>
        <w:t>2、协调与政府部门、社会组织的关系，维护供销合作社《章程》赋予的合法权益，促进合作经济的发展。</w:t>
      </w:r>
    </w:p>
    <w:p>
      <w:pPr>
        <w:spacing w:line="500" w:lineRule="exact"/>
        <w:ind w:firstLine="560"/>
        <w:rPr>
          <w:rFonts w:ascii="方正仿宋_GBK" w:eastAsia="方正仿宋_GBK"/>
          <w:sz w:val="28"/>
        </w:rPr>
      </w:pPr>
      <w:r>
        <w:rPr>
          <w:rFonts w:ascii="方正仿宋_GBK" w:eastAsia="方正仿宋_GBK"/>
          <w:sz w:val="28"/>
        </w:rPr>
        <w:t>3、指导农民合作经济组织联合会、供销社系统行业协会建设，增强服务功能，协助有关部门加强对农产品行业协会的管理和指导，积极领办农民专业合作社。</w:t>
      </w:r>
    </w:p>
    <w:p>
      <w:pPr>
        <w:spacing w:line="500" w:lineRule="exact"/>
        <w:ind w:firstLine="560"/>
        <w:rPr>
          <w:rFonts w:ascii="方正仿宋_GBK" w:eastAsia="方正仿宋_GBK"/>
          <w:sz w:val="28"/>
        </w:rPr>
      </w:pPr>
      <w:r>
        <w:rPr>
          <w:rFonts w:ascii="方正仿宋_GBK" w:eastAsia="方正仿宋_GBK"/>
          <w:sz w:val="28"/>
        </w:rPr>
        <w:t>4、发展农业生产资料现代经营服务网络，构建连锁经营体系，负责发展农副产品现代购销网络，创办经营各类农副产品批发市场，推动农超对接，负责发展日用消费品现代经营网络，构建现代连锁经营体系，负责再生资源回收利用体系建设。</w:t>
      </w:r>
    </w:p>
    <w:p>
      <w:pPr>
        <w:spacing w:line="500" w:lineRule="exact"/>
        <w:ind w:firstLine="560"/>
        <w:rPr>
          <w:rFonts w:ascii="方正仿宋_GBK" w:eastAsia="方正仿宋_GBK"/>
          <w:sz w:val="28"/>
        </w:rPr>
      </w:pPr>
      <w:r>
        <w:rPr>
          <w:rFonts w:ascii="方正仿宋_GBK" w:eastAsia="方正仿宋_GBK"/>
          <w:sz w:val="28"/>
        </w:rPr>
        <w:t>5、全面推进基层社建设提档升级，以提升基层社服务能力为目标，以规范基层社管理运营为重点，密切供销社与农民的联系，成为综合改革的“排头兵”，完成涉农乡镇基层社制度规范工作，推进12个乡镇基层社分类改造，201</w:t>
      </w:r>
      <w:r>
        <w:rPr>
          <w:rFonts w:hint="eastAsia" w:ascii="方正仿宋_GBK" w:eastAsia="方正仿宋_GBK"/>
          <w:sz w:val="28"/>
        </w:rPr>
        <w:t>7</w:t>
      </w:r>
      <w:r>
        <w:rPr>
          <w:rFonts w:ascii="方正仿宋_GBK" w:eastAsia="方正仿宋_GBK"/>
          <w:sz w:val="28"/>
        </w:rPr>
        <w:t>年基层社达到</w:t>
      </w:r>
      <w:r>
        <w:rPr>
          <w:rFonts w:hint="eastAsia" w:ascii="方正仿宋_GBK" w:eastAsia="方正仿宋_GBK"/>
          <w:sz w:val="28"/>
        </w:rPr>
        <w:t>示范</w:t>
      </w:r>
      <w:r>
        <w:rPr>
          <w:rFonts w:ascii="方正仿宋_GBK" w:eastAsia="方正仿宋_GBK"/>
          <w:sz w:val="28"/>
        </w:rPr>
        <w:t>社建设标准。</w:t>
      </w:r>
    </w:p>
    <w:p>
      <w:pPr>
        <w:spacing w:line="500" w:lineRule="exact"/>
        <w:ind w:firstLine="560"/>
        <w:rPr>
          <w:rFonts w:ascii="方正仿宋_GBK" w:eastAsia="方正仿宋_GBK"/>
          <w:sz w:val="28"/>
        </w:rPr>
      </w:pPr>
      <w:r>
        <w:rPr>
          <w:rFonts w:ascii="方正仿宋_GBK" w:eastAsia="方正仿宋_GBK"/>
          <w:sz w:val="28"/>
        </w:rPr>
        <w:t>6、201</w:t>
      </w:r>
      <w:r>
        <w:rPr>
          <w:rFonts w:hint="eastAsia" w:ascii="方正仿宋_GBK" w:eastAsia="方正仿宋_GBK"/>
          <w:sz w:val="28"/>
        </w:rPr>
        <w:t>7</w:t>
      </w:r>
      <w:r>
        <w:rPr>
          <w:rFonts w:ascii="方正仿宋_GBK" w:eastAsia="方正仿宋_GBK"/>
          <w:sz w:val="28"/>
        </w:rPr>
        <w:t>年加强联合社管理，指导联合社完善工作制度，强化监督，确保开放办社合法经营，推进供销事业转型升级，发挥政策信息、系统联合上的优势，与经济实体的生产能力、市场优势相结合，实现联合社与农民组织的共嬴。县乡两级农民专业合作社联合社全部注册成立并运营。</w:t>
      </w:r>
    </w:p>
    <w:p>
      <w:pPr>
        <w:spacing w:line="500" w:lineRule="exact"/>
        <w:ind w:firstLine="560"/>
        <w:rPr>
          <w:rFonts w:ascii="方正仿宋_GBK" w:eastAsia="方正仿宋_GBK"/>
          <w:sz w:val="28"/>
        </w:rPr>
      </w:pPr>
      <w:r>
        <w:rPr>
          <w:rFonts w:ascii="方正仿宋_GBK" w:eastAsia="方正仿宋_GBK"/>
          <w:sz w:val="28"/>
        </w:rPr>
        <w:t>7、按照区政府要求，201</w:t>
      </w:r>
      <w:r>
        <w:rPr>
          <w:rFonts w:hint="eastAsia" w:ascii="方正仿宋_GBK" w:eastAsia="方正仿宋_GBK"/>
          <w:sz w:val="28"/>
        </w:rPr>
        <w:t>7</w:t>
      </w:r>
      <w:r>
        <w:rPr>
          <w:rFonts w:ascii="方正仿宋_GBK" w:eastAsia="方正仿宋_GBK"/>
          <w:sz w:val="28"/>
        </w:rPr>
        <w:t>年推进我区农村产权交易中心建设，着力加强人员的专业培训，健全各项规章制度，协调有关部门加大信息采集工作力度，积极跑办有关职能部门，开展土地、养殖水面等经营权的流转和农村产权交易、抵押融资服务。为农民朋友及合作社解决融资难建立新通道。</w:t>
      </w:r>
    </w:p>
    <w:p>
      <w:pPr>
        <w:spacing w:line="500" w:lineRule="exact"/>
        <w:ind w:firstLine="560"/>
        <w:rPr>
          <w:rFonts w:ascii="方正仿宋_GBK" w:eastAsia="方正仿宋_GBK"/>
          <w:sz w:val="28"/>
        </w:rPr>
      </w:pPr>
      <w:r>
        <w:rPr>
          <w:rFonts w:ascii="方正仿宋_GBK" w:eastAsia="方正仿宋_GBK"/>
          <w:sz w:val="28"/>
        </w:rPr>
        <w:t>8、盐业行政管理，依法加强盐政管理，做好食盐专营和储备工作，负责供销社所属烟花爆竹从业单位、人员的日常安全管理和业务指导，协助配合相关部门做好安全监管工作，管理政府委托的物资、商品储备。</w:t>
      </w:r>
    </w:p>
    <w:p>
      <w:pPr>
        <w:spacing w:line="500" w:lineRule="exact"/>
        <w:ind w:firstLine="560"/>
        <w:rPr>
          <w:rFonts w:ascii="方正仿宋_GBK" w:eastAsia="方正仿宋_GBK"/>
          <w:sz w:val="28"/>
        </w:rPr>
      </w:pPr>
      <w:r>
        <w:rPr>
          <w:rFonts w:ascii="方正仿宋_GBK" w:eastAsia="方正仿宋_GBK"/>
          <w:sz w:val="28"/>
        </w:rPr>
        <w:t>9、全区再生资源回收管理工作。</w:t>
      </w:r>
    </w:p>
    <w:p>
      <w:pPr>
        <w:spacing w:line="500" w:lineRule="exact"/>
        <w:ind w:firstLine="560"/>
        <w:rPr>
          <w:rFonts w:ascii="方正仿宋_GBK" w:eastAsia="方正仿宋_GBK"/>
          <w:sz w:val="28"/>
        </w:rPr>
      </w:pPr>
      <w:r>
        <w:rPr>
          <w:rFonts w:ascii="方正仿宋_GBK" w:eastAsia="方正仿宋_GBK"/>
          <w:sz w:val="28"/>
        </w:rPr>
        <w:t>10、承办区委、区政府及省、石家庄市供销社赋予的其他职能和工作任务。</w:t>
      </w:r>
    </w:p>
    <w:p>
      <w:pPr>
        <w:pStyle w:val="3"/>
        <w:spacing w:before="0" w:after="0" w:line="560" w:lineRule="exact"/>
        <w:ind w:firstLine="643" w:firstLineChars="200"/>
        <w:rPr>
          <w:rFonts w:ascii="黑体" w:eastAsia="黑体" w:cs="黑体" w:hAnsiTheme="minorHAnsi"/>
          <w:kern w:val="0"/>
        </w:rPr>
      </w:pPr>
      <w:r>
        <w:rPr>
          <w:rFonts w:hint="eastAsia" w:ascii="黑体" w:eastAsia="黑体" w:cs="黑体" w:hAnsiTheme="minorHAnsi"/>
          <w:kern w:val="0"/>
        </w:rPr>
        <w:t>二、部门决算单位构成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ascii="仿宋_GB2312" w:eastAsia="仿宋_GB2312" w:cs="ArialUnicodeMS" w:hAnsiTheme="minorHAnsi"/>
          <w:kern w:val="0"/>
          <w:sz w:val="32"/>
          <w:szCs w:val="32"/>
        </w:rPr>
        <w:t>2017 年度，纳入本部门决算汇编范围的独立核算单位（以下简称“单位”）共1个，是石家庄市鹿泉区供销合作总社，单位基本性质为事业单位，预算管理级次为一级预算单位，执行事业单位会计制度，较上年无增减变化。</w:t>
      </w:r>
    </w:p>
    <w:p>
      <w:pPr>
        <w:spacing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见附表</w:t>
      </w:r>
    </w:p>
    <w:p>
      <w:pPr>
        <w:pStyle w:val="2"/>
        <w:spacing w:line="560" w:lineRule="exact"/>
        <w:jc w:val="center"/>
        <w:rPr>
          <w:rFonts w:cs="ArialUnicodeMS" w:asciiTheme="majorEastAsia" w:hAnsiTheme="majorEastAsia" w:eastAsiaTheme="majorEastAsia"/>
          <w:color w:val="000000"/>
          <w:kern w:val="0"/>
        </w:rPr>
      </w:pPr>
    </w:p>
    <w:p>
      <w:pPr>
        <w:pStyle w:val="2"/>
        <w:spacing w:line="560" w:lineRule="exact"/>
        <w:jc w:val="center"/>
        <w:rPr>
          <w:rFonts w:cs="ArialUnicodeMS" w:asciiTheme="majorEastAsia" w:hAnsiTheme="majorEastAsia" w:eastAsiaTheme="majorEastAsia"/>
          <w:color w:val="000000"/>
          <w:kern w:val="0"/>
        </w:rPr>
      </w:pPr>
      <w:r>
        <w:rPr>
          <w:rFonts w:hint="eastAsia" w:cs="ArialUnicodeMS" w:asciiTheme="majorEastAsia" w:hAnsiTheme="majorEastAsia" w:eastAsiaTheme="majorEastAsia"/>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eastAsia="黑体" w:cs="黑体" w:hAnsiTheme="minorHAnsi"/>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3.74万元，本年收入284.67万元；本年支出288.09万元、年末结转和结余0.31万元。与2016年度决算相比，本年收入增加0.41万元，增长0.14%，主要是人员经费增长；本年支出增加10.77万元，增长3.88%，主要是人员经费增加。</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本部门2017年度本年收入合计284.67万元，其中：财政拨款收入257.90万元，占90.6%；事业收入0万元；经营收入0万元；其他收入26.77万元，占9.4%。如图所示：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027" o:spid="_x0000_s1027" o:spt="32" type="#_x0000_t32" style="position:absolute;left:0pt;flip:y;margin-left:218.6pt;margin-top:18.4pt;height:50.05pt;width:0.65pt;z-index:251659264;mso-width-relative:page;mso-height-relative:page;" o:connectortype="straight" filled="f" coordsize="21600,21600">
            <v:path arrowok="t"/>
            <v:fill on="f" focussize="0,0"/>
            <v:stroke/>
            <v:imagedata o:title=""/>
            <o:lock v:ext="edit"/>
          </v:shape>
        </w:pict>
      </w:r>
      <w:r>
        <w:rPr>
          <w:rFonts w:ascii="仿宋_GB2312" w:eastAsia="仿宋_GB2312" w:cs="DengXian-Regular"/>
          <w:sz w:val="32"/>
          <w:szCs w:val="32"/>
        </w:rPr>
        <w:pict>
          <v:shape id="_x0000_s1026" o:spid="_x0000_s1026" o:spt="3" type="#_x0000_t3" style="position:absolute;left:0pt;margin-left:136.6pt;margin-top:18.4pt;height:98.65pt;width:165.35pt;z-index:251658240;mso-width-relative:page;mso-height-relative:page;" coordsize="21600,21600">
            <v:path/>
            <v:fill focussize="0,0"/>
            <v:stroke/>
            <v:imagedata o:title=""/>
            <o:lock v:ext="edit"/>
            <v:textbox>
              <w:txbxContent>
                <w:p>
                  <w:pPr>
                    <w:ind w:left="210" w:hanging="210" w:hangingChars="100"/>
                  </w:pPr>
                  <w:r>
                    <w:rPr>
                      <w:rFonts w:hint="eastAsia"/>
                    </w:rPr>
                    <w:t>财政拨款　　其他收入90.6%　　　9.4%　</w:t>
                  </w:r>
                </w:p>
                <w:p>
                  <w:r>
                    <w:rPr>
                      <w:rFonts w:hint="eastAsia"/>
                    </w:rPr>
                    <w:t>90.6%</w:t>
                  </w:r>
                </w:p>
              </w:txbxContent>
            </v:textbox>
          </v:shape>
        </w:pict>
      </w:r>
      <w:r>
        <w:rPr>
          <w:rFonts w:hint="eastAsia" w:ascii="仿宋_GB2312" w:eastAsia="仿宋_GB2312" w:cs="DengXian-Regular"/>
          <w:sz w:val="32"/>
          <w:szCs w:val="32"/>
        </w:rPr>
        <w:t>　　　　　　　　　　　　　　　　　</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028" o:spid="_x0000_s1028" o:spt="32" type="#_x0000_t32" style="position:absolute;left:0pt;flip:y;margin-left:219.25pt;margin-top:10.45pt;height:30pt;width:67.3pt;z-index:251660288;mso-width-relative:page;mso-height-relative:page;" o:connectortype="straight" filled="f" coordsize="21600,21600">
            <v:path arrowok="t"/>
            <v:fill on="f" focussize="0,0"/>
            <v:stroke/>
            <v:imagedata o:title=""/>
            <o:lock v:ext="edit"/>
          </v:shape>
        </w:pict>
      </w:r>
      <w:r>
        <w:rPr>
          <w:rFonts w:hint="eastAsia" w:ascii="仿宋_GB2312" w:eastAsia="仿宋_GB2312" w:cs="DengXian-Regular"/>
          <w:sz w:val="32"/>
          <w:szCs w:val="32"/>
        </w:rPr>
        <w:t>　　</w:t>
      </w: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本部门2017年度本年支出合计288.09万元，其中：基本支出288.09万元，占100%；项目支出0万元；经营支出0万元。如图所示：</w:t>
      </w:r>
    </w:p>
    <w:p>
      <w:pPr>
        <w:adjustRightInd w:val="0"/>
        <w:snapToGrid w:val="0"/>
        <w:spacing w:line="56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pict>
          <v:shape id="_x0000_s1029" o:spid="_x0000_s1029" o:spt="3" type="#_x0000_t3" style="position:absolute;left:0pt;margin-left:71.25pt;margin-top:10.45pt;height:146pt;width:190pt;z-index:251661312;mso-width-relative:page;mso-height-relative:page;" coordsize="21600,21600">
            <v:path/>
            <v:fill focussize="0,0"/>
            <v:stroke/>
            <v:imagedata o:title=""/>
            <o:lock v:ext="edit"/>
            <v:textbox>
              <w:txbxContent>
                <w:p>
                  <w:r>
                    <w:rPr>
                      <w:rFonts w:hint="eastAsia"/>
                    </w:rPr>
                    <w:t>基本支出100%</w:t>
                  </w:r>
                </w:p>
              </w:txbxContent>
            </v:textbox>
          </v:shape>
        </w:pict>
      </w: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line="560" w:lineRule="exact"/>
        <w:ind w:firstLine="640" w:firstLineChars="200"/>
        <w:rPr>
          <w:rFonts w:ascii="仿宋_GB2312" w:eastAsia="仿宋_GB2312" w:cs="DengXian-Regular"/>
          <w:sz w:val="32"/>
          <w:szCs w:val="32"/>
        </w:rPr>
      </w:pPr>
    </w:p>
    <w:p>
      <w:pPr>
        <w:adjustRightInd w:val="0"/>
        <w:snapToGrid w:val="0"/>
        <w:spacing w:after="0" w:line="560" w:lineRule="exact"/>
        <w:ind w:firstLine="640" w:firstLineChars="200"/>
        <w:rPr>
          <w:rFonts w:ascii="仿宋_GB2312" w:eastAsia="仿宋_GB2312" w:cs="DengXian-Regular"/>
          <w:sz w:val="32"/>
          <w:szCs w:val="32"/>
        </w:rPr>
      </w:pP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eastAsia="黑体" w:cs="黑体" w:hAnsiTheme="minorHAnsi"/>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年初结转和结余3.74万元、本年收入257.9万元；本年支出261.33万元、年末结转和结余0.31万元。与2016年度决算相比，一般公共预算财政拨款本年收入减少20.88万元，降低7.5%，主要是增收节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行节约；本年支出减少11.49万元，降低4.2%，主要是增收节支，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3.74万元、本年收入257.9万元；本年支出261.33万元、年末结转和结余0.31万元。与2016年度决算相比，一般公共预算财政拨款本年收入减少20.88万元，降低7.5%，主要是增收节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行节约；本年支出减少11.49万元，降低4.2%，主要是增收节支，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本部门无政府性基金预算财政拨款。</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本部门2017年度一般公共预算财政拨款本年收入较2017年初预算增加39.13万元，增长17.8%，主要是增加了人员经费；本年支出增加42.55万元，增长19.4%，主要是人员经费增加。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本部门2017年度“三公”经费支出共计0万元，较年初预算减少3.5万元，主要是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行节约，较2016年度决算减少2.7万元，主要是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本部门2017年度参加其他单位组织的因公出国（境）团组0个、共0人，无本单位组织的出国（境）团组。因公出国（境）费支出较年初预算无增减变化；较2016年度决算无增减变化。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本部门2017年度未发生公务用车购置及运行维护费，较年初预算减少2.7万元，降低100%,主要是</w:t>
      </w:r>
      <w:r>
        <w:rPr>
          <w:rFonts w:hint="eastAsia" w:ascii="仿宋_GB2312" w:eastAsia="仿宋_GB2312" w:cs="DengXian-Regular"/>
          <w:sz w:val="32"/>
          <w:szCs w:val="32"/>
          <w:lang w:eastAsia="zh-CN"/>
        </w:rPr>
        <w:t>厉</w:t>
      </w:r>
      <w:r>
        <w:rPr>
          <w:rFonts w:hint="eastAsia" w:ascii="仿宋_GB2312" w:eastAsia="仿宋_GB2312" w:cs="DengXian-Regular"/>
          <w:sz w:val="32"/>
          <w:szCs w:val="32"/>
        </w:rPr>
        <w:t>行节约；较2016年度决算减少2.7万元，降低100%,主要是</w:t>
      </w:r>
      <w:r>
        <w:rPr>
          <w:rFonts w:hint="eastAsia" w:ascii="仿宋_GB2312" w:eastAsia="仿宋_GB2312" w:cs="DengXian-Regular"/>
          <w:kern w:val="0"/>
          <w:sz w:val="32"/>
          <w:szCs w:val="32"/>
          <w:lang w:eastAsia="zh-CN"/>
        </w:rPr>
        <w:t>厉</w:t>
      </w:r>
      <w:r>
        <w:rPr>
          <w:rFonts w:hint="eastAsia" w:ascii="仿宋_GB2312" w:eastAsia="仿宋_GB2312" w:cs="DengXian-Regular"/>
          <w:kern w:val="0"/>
          <w:sz w:val="32"/>
          <w:szCs w:val="32"/>
        </w:rPr>
        <w:t>行节约</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本部门2017年度公务用车购置量0辆，未发生“公务用车购置”经费支出，较无增减变化；较2016年度决算无增减变化。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本部门2017年度单位公务用车保有量1辆。公车运行维护费支出较年初预算减少2.7万元，降低100%,主要是</w:t>
      </w:r>
      <w:r>
        <w:rPr>
          <w:rFonts w:hint="eastAsia" w:ascii="仿宋_GB2312" w:eastAsia="仿宋_GB2312" w:cs="DengXian-Regular"/>
          <w:kern w:val="0"/>
          <w:sz w:val="32"/>
          <w:szCs w:val="32"/>
          <w:lang w:eastAsia="zh-CN"/>
        </w:rPr>
        <w:t>厉</w:t>
      </w:r>
      <w:r>
        <w:rPr>
          <w:rFonts w:hint="eastAsia" w:ascii="仿宋_GB2312" w:eastAsia="仿宋_GB2312" w:cs="DengXian-Regular"/>
          <w:kern w:val="0"/>
          <w:sz w:val="32"/>
          <w:szCs w:val="32"/>
        </w:rPr>
        <w:t>行节约</w:t>
      </w:r>
      <w:r>
        <w:rPr>
          <w:rFonts w:hint="eastAsia" w:ascii="仿宋_GB2312" w:eastAsia="仿宋_GB2312" w:cs="DengXian-Regular"/>
          <w:sz w:val="32"/>
          <w:szCs w:val="32"/>
        </w:rPr>
        <w:t>；较2016年度决算减少2.7万元，降低100%，主要是</w:t>
      </w:r>
      <w:r>
        <w:rPr>
          <w:rFonts w:hint="eastAsia" w:ascii="仿宋_GB2312" w:eastAsia="仿宋_GB2312" w:cs="DengXian-Regular"/>
          <w:kern w:val="0"/>
          <w:sz w:val="32"/>
          <w:szCs w:val="32"/>
          <w:lang w:eastAsia="zh-CN"/>
        </w:rPr>
        <w:t>厉</w:t>
      </w:r>
      <w:r>
        <w:rPr>
          <w:rFonts w:hint="eastAsia" w:ascii="仿宋_GB2312" w:eastAsia="仿宋_GB2312" w:cs="DengXian-Regular"/>
          <w:kern w:val="0"/>
          <w:sz w:val="32"/>
          <w:szCs w:val="32"/>
        </w:rPr>
        <w:t>行节约</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本部门2017年度公务接待共0批次、0人次。公务接待费支出较年初预算减少0.8万元，降低100%,主要是</w:t>
      </w:r>
      <w:r>
        <w:rPr>
          <w:rFonts w:hint="eastAsia" w:ascii="仿宋_GB2312" w:eastAsia="仿宋_GB2312" w:cs="DengXian-Regular"/>
          <w:kern w:val="0"/>
          <w:sz w:val="32"/>
          <w:szCs w:val="32"/>
          <w:lang w:eastAsia="zh-CN"/>
        </w:rPr>
        <w:t>厉</w:t>
      </w:r>
      <w:r>
        <w:rPr>
          <w:rFonts w:hint="eastAsia" w:ascii="仿宋_GB2312" w:eastAsia="仿宋_GB2312" w:cs="DengXian-Regular"/>
          <w:kern w:val="0"/>
          <w:sz w:val="32"/>
          <w:szCs w:val="32"/>
        </w:rPr>
        <w:t>行节约</w:t>
      </w:r>
      <w:r>
        <w:rPr>
          <w:rFonts w:hint="eastAsia" w:ascii="仿宋_GB2312" w:eastAsia="仿宋_GB2312" w:cs="DengXian-Regular"/>
          <w:sz w:val="32"/>
          <w:szCs w:val="32"/>
        </w:rPr>
        <w:t>；较2016年度决算无增减变化。</w:t>
      </w:r>
    </w:p>
    <w:p>
      <w:pPr>
        <w:pStyle w:val="3"/>
        <w:spacing w:before="0" w:after="0" w:line="500" w:lineRule="exact"/>
        <w:ind w:firstLine="643" w:firstLineChars="200"/>
        <w:rPr>
          <w:rFonts w:ascii="黑体" w:eastAsia="黑体" w:cs="Times New Roman"/>
        </w:rPr>
      </w:pPr>
      <w:r>
        <w:rPr>
          <w:rFonts w:hint="eastAsia" w:ascii="黑体" w:eastAsia="黑体" w:cs="Times New Roman"/>
        </w:rPr>
        <w:t>六、绩效预算</w:t>
      </w:r>
      <w:r>
        <w:rPr>
          <w:rFonts w:hint="eastAsia" w:ascii="黑体" w:eastAsia="黑体" w:cs="黑体" w:hAnsiTheme="minorHAnsi"/>
          <w:kern w:val="0"/>
        </w:rPr>
        <w:t>管理</w:t>
      </w:r>
      <w:r>
        <w:rPr>
          <w:rFonts w:hint="eastAsia" w:ascii="黑体" w:eastAsia="黑体" w:cs="Times New Roman"/>
        </w:rPr>
        <w:t>工作开展情况说明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绩效预算管理改革督察要求，本单位认真开展了预算绩效管理改革开展情况自查，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新网工程、综合改革、再生资源管理及回收利用体系、农村产权交易中心等4个业务专项，涉及资金40万元。从评价情况看，评价结果为优秀的业务有3个，良好的业务有１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无机关运行经费。</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w:t>
      </w:r>
    </w:p>
    <w:p>
      <w:pPr>
        <w:pStyle w:val="4"/>
        <w:spacing w:before="0" w:after="0" w:line="560" w:lineRule="exact"/>
        <w:ind w:firstLine="643" w:firstLineChars="200"/>
        <w:rPr>
          <w:rFonts w:hint="eastAsia" w:ascii="楷体_GB2312" w:eastAsia="楷体_GB2312" w:cs="DengXian-Bold"/>
        </w:rPr>
      </w:pPr>
      <w:r>
        <w:rPr>
          <w:rFonts w:hint="eastAsia" w:ascii="楷体_GB2312" w:eastAsia="楷体_GB2312" w:cs="DengXian-Bold"/>
        </w:rPr>
        <w:t>（三）国有资产占用情况</w:t>
      </w:r>
    </w:p>
    <w:p>
      <w:r>
        <w:rPr>
          <w:rFonts w:hint="eastAsia" w:ascii="仿宋_GB2312" w:hAnsi="仿宋" w:eastAsia="仿宋_GB2312"/>
          <w:sz w:val="32"/>
          <w:szCs w:val="32"/>
        </w:rPr>
        <w:t xml:space="preserve">    2017年度年初固定资产55.14万元，2017年度年末固定资产54.6万元。其中：房屋40.06万元，其他固定资产14.54万元，固定资产报废处理0.54万元。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1、本部门2017年度政府性基金预算、国有资本经营预算无收支及结转结余情况，故财决7表8表以空表列示。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cs="SimSun,Bold" w:asciiTheme="majorEastAsia" w:hAnsiTheme="majorEastAsia" w:eastAsiaTheme="majorEastAsia"/>
        </w:rPr>
      </w:pPr>
      <w:r>
        <w:rPr>
          <w:rFonts w:hint="eastAsia" w:cs="SimSun,Bold" w:asciiTheme="majorEastAsia" w:hAnsiTheme="majorEastAsia" w:eastAsiaTheme="majorEastAsia"/>
        </w:rPr>
        <w:t>第四部分名词解释</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w:t>
      </w:r>
      <w:r>
        <w:rPr>
          <w:rFonts w:hint="eastAsia" w:ascii="仿宋_GB2312" w:eastAsia="仿宋_GB2312" w:hAnsiTheme="majorEastAsia"/>
          <w:color w:val="000000"/>
          <w:kern w:val="0"/>
          <w:sz w:val="32"/>
          <w:szCs w:val="32"/>
          <w:lang w:eastAsia="zh-CN"/>
        </w:rPr>
        <w:t>励</w:t>
      </w:r>
      <w:r>
        <w:rPr>
          <w:rFonts w:hint="eastAsia" w:ascii="仿宋_GB2312" w:eastAsia="仿宋_GB2312" w:hAnsiTheme="majorEastAsia"/>
          <w:color w:val="000000"/>
          <w:kern w:val="0"/>
          <w:sz w:val="32"/>
          <w:szCs w:val="32"/>
        </w:rPr>
        <w:t>费用等支出；公务接待费反映单位按规定开支的各类公务接待（含外宾接待）支出。</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（十四）公务用车购置：填列单位公务用车车辆购置支出（含</w:t>
      </w:r>
      <w:bookmarkStart w:id="0" w:name="_GoBack"/>
      <w:r>
        <w:rPr>
          <w:rFonts w:hint="eastAsia" w:ascii="仿宋_GB2312" w:eastAsia="仿宋_GB2312" w:hAnsiTheme="majorEastAsia"/>
          <w:color w:val="000000"/>
          <w:kern w:val="0"/>
          <w:sz w:val="32"/>
          <w:szCs w:val="32"/>
        </w:rPr>
        <w:t>车辆购置税）。</w:t>
      </w:r>
    </w:p>
    <w:bookmarkEnd w:id="0"/>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eastAsia="仿宋_GB2312" w:hAnsiTheme="majorEastAsia"/>
          <w:color w:val="000000"/>
          <w:kern w:val="0"/>
          <w:sz w:val="32"/>
          <w:szCs w:val="32"/>
        </w:rPr>
      </w:pPr>
      <w:r>
        <w:rPr>
          <w:rFonts w:hint="eastAsia" w:ascii="仿宋_GB2312" w:eastAsia="仿宋_GB2312" w:hAnsiTheme="majorEastAsia"/>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方正仿宋_GBK">
    <w:altName w:val="宋体"/>
    <w:panose1 w:val="00000000000000000000"/>
    <w:charset w:val="86"/>
    <w:family w:val="roman"/>
    <w:pitch w:val="default"/>
    <w:sig w:usb0="00000000" w:usb1="00000000" w:usb2="00000000" w:usb3="00000000" w:csb0="0000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24E7F"/>
    <w:rsid w:val="00043C1A"/>
    <w:rsid w:val="000475A0"/>
    <w:rsid w:val="000E2F81"/>
    <w:rsid w:val="00130F6D"/>
    <w:rsid w:val="00146C47"/>
    <w:rsid w:val="00152FB8"/>
    <w:rsid w:val="00185B66"/>
    <w:rsid w:val="001B3410"/>
    <w:rsid w:val="001C030D"/>
    <w:rsid w:val="001F0368"/>
    <w:rsid w:val="002C04C4"/>
    <w:rsid w:val="002D08B0"/>
    <w:rsid w:val="00330834"/>
    <w:rsid w:val="00341C8F"/>
    <w:rsid w:val="00391D9D"/>
    <w:rsid w:val="003B6C51"/>
    <w:rsid w:val="003C1413"/>
    <w:rsid w:val="003C549F"/>
    <w:rsid w:val="003D5A16"/>
    <w:rsid w:val="00473CF2"/>
    <w:rsid w:val="00474C8A"/>
    <w:rsid w:val="0048686B"/>
    <w:rsid w:val="004A71A4"/>
    <w:rsid w:val="004F7D97"/>
    <w:rsid w:val="005F4B66"/>
    <w:rsid w:val="006048A6"/>
    <w:rsid w:val="00641318"/>
    <w:rsid w:val="00673B40"/>
    <w:rsid w:val="0070012A"/>
    <w:rsid w:val="0070664B"/>
    <w:rsid w:val="007071B8"/>
    <w:rsid w:val="007414DE"/>
    <w:rsid w:val="007905A9"/>
    <w:rsid w:val="007E5500"/>
    <w:rsid w:val="00840A97"/>
    <w:rsid w:val="00893C30"/>
    <w:rsid w:val="008C0149"/>
    <w:rsid w:val="008C505F"/>
    <w:rsid w:val="008F2E78"/>
    <w:rsid w:val="009143BE"/>
    <w:rsid w:val="00934C21"/>
    <w:rsid w:val="0093652C"/>
    <w:rsid w:val="009A1ABE"/>
    <w:rsid w:val="009A5C73"/>
    <w:rsid w:val="00A35CE0"/>
    <w:rsid w:val="00A44AA4"/>
    <w:rsid w:val="00A61623"/>
    <w:rsid w:val="00A84687"/>
    <w:rsid w:val="00AC03FE"/>
    <w:rsid w:val="00AD3B6E"/>
    <w:rsid w:val="00B40108"/>
    <w:rsid w:val="00B56722"/>
    <w:rsid w:val="00B874F4"/>
    <w:rsid w:val="00C344AE"/>
    <w:rsid w:val="00C3774E"/>
    <w:rsid w:val="00C7365A"/>
    <w:rsid w:val="00C87FAB"/>
    <w:rsid w:val="00C91FF7"/>
    <w:rsid w:val="00C94E53"/>
    <w:rsid w:val="00DB35AF"/>
    <w:rsid w:val="00DF5B88"/>
    <w:rsid w:val="00E10C7B"/>
    <w:rsid w:val="00E2595E"/>
    <w:rsid w:val="00E35374"/>
    <w:rsid w:val="00E47CB5"/>
    <w:rsid w:val="00E50C19"/>
    <w:rsid w:val="00E703DC"/>
    <w:rsid w:val="00E856C9"/>
    <w:rsid w:val="00EB6A8B"/>
    <w:rsid w:val="00EF38C6"/>
    <w:rsid w:val="00F71EDF"/>
    <w:rsid w:val="00FE3DC8"/>
    <w:rsid w:val="15142548"/>
    <w:rsid w:val="2C1A7FEF"/>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rules v:ext="edit">
        <o:r id="V:Rule1" type="connector" idref="#_x0000_s1027"/>
        <o:r id="V:Rule2" type="connector" idref="#_x0000_s1028"/>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unhideWhenUsed/>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uiPriority w:val="99"/>
    <w:rPr>
      <w:sz w:val="18"/>
      <w:szCs w:val="18"/>
    </w:rPr>
  </w:style>
  <w:style w:type="paragraph" w:styleId="8">
    <w:name w:val="footer"/>
    <w:basedOn w:val="1"/>
    <w:link w:val="16"/>
    <w:unhideWhenUsed/>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pPr>
      <w:spacing w:after="0" w:line="240" w:lineRule="auto"/>
    </w:pPr>
    <w:rPr>
      <w:kern w:val="0"/>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2"/>
    <w:link w:val="9"/>
    <w:uiPriority w:val="99"/>
    <w:rPr>
      <w:sz w:val="18"/>
      <w:szCs w:val="18"/>
    </w:rPr>
  </w:style>
  <w:style w:type="character" w:customStyle="1" w:styleId="16">
    <w:name w:val="页脚 Char"/>
    <w:basedOn w:val="12"/>
    <w:link w:val="8"/>
    <w:uiPriority w:val="99"/>
    <w:rPr>
      <w:sz w:val="18"/>
      <w:szCs w:val="18"/>
    </w:rPr>
  </w:style>
  <w:style w:type="paragraph" w:customStyle="1" w:styleId="17">
    <w:name w:val="No Spacing"/>
    <w:link w:val="18"/>
    <w:qFormat/>
    <w:uiPriority w:val="1"/>
    <w:pPr>
      <w:spacing w:after="160" w:line="480" w:lineRule="auto"/>
    </w:pPr>
    <w:rPr>
      <w:rFonts w:asciiTheme="minorHAnsi" w:hAnsiTheme="minorHAnsi" w:eastAsiaTheme="minorEastAsia" w:cstheme="minorBidi"/>
      <w:kern w:val="0"/>
      <w:sz w:val="22"/>
      <w:szCs w:val="22"/>
      <w:lang w:val="en-US" w:eastAsia="zh-CN" w:bidi="ar-SA"/>
    </w:rPr>
  </w:style>
  <w:style w:type="character" w:customStyle="1" w:styleId="18">
    <w:name w:val="无间隔 Char"/>
    <w:basedOn w:val="12"/>
    <w:link w:val="17"/>
    <w:uiPriority w:val="1"/>
    <w:rPr>
      <w:kern w:val="0"/>
      <w:sz w:val="22"/>
    </w:rPr>
  </w:style>
  <w:style w:type="character" w:customStyle="1" w:styleId="19">
    <w:name w:val="批注框文本 Char"/>
    <w:basedOn w:val="12"/>
    <w:link w:val="7"/>
    <w:semiHidden/>
    <w:uiPriority w:val="99"/>
    <w:rPr>
      <w:rFonts w:ascii="Times New Roman" w:hAnsi="Times New Roman" w:eastAsia="宋体" w:cs="Times New Roman"/>
      <w:sz w:val="18"/>
      <w:szCs w:val="18"/>
    </w:rPr>
  </w:style>
  <w:style w:type="character" w:customStyle="1" w:styleId="20">
    <w:name w:val="标题 Char"/>
    <w:basedOn w:val="12"/>
    <w:link w:val="11"/>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2"/>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2"/>
    <w:uiPriority w:val="1"/>
    <w:rPr>
      <w:rFonts w:asciiTheme="minorHAnsi" w:hAnsiTheme="minorEastAsia" w:eastAsiaTheme="minorEastAsia" w:cstheme="minorBidi"/>
      <w:sz w:val="22"/>
      <w:szCs w:val="22"/>
      <w:lang w:eastAsia="zh-CN"/>
    </w:rPr>
  </w:style>
  <w:style w:type="character" w:customStyle="1" w:styleId="23">
    <w:name w:val="Style2"/>
    <w:basedOn w:val="12"/>
    <w:uiPriority w:val="1"/>
    <w:rPr>
      <w:rFonts w:asciiTheme="minorHAnsi" w:hAnsiTheme="minorEastAsia" w:eastAsiaTheme="minorEastAsia" w:cstheme="minorBidi"/>
      <w:sz w:val="22"/>
      <w:szCs w:val="22"/>
      <w:lang w:eastAsia="zh-CN"/>
    </w:rPr>
  </w:style>
  <w:style w:type="character" w:customStyle="1" w:styleId="24">
    <w:name w:val="Style3"/>
    <w:basedOn w:val="12"/>
    <w:qFormat/>
    <w:uiPriority w:val="1"/>
    <w:rPr>
      <w:rFonts w:asciiTheme="minorHAnsi" w:hAnsiTheme="minorEastAsia" w:eastAsiaTheme="minorEastAsia" w:cstheme="minorBidi"/>
      <w:szCs w:val="22"/>
      <w:lang w:eastAsia="zh-CN"/>
    </w:rPr>
  </w:style>
  <w:style w:type="character" w:customStyle="1" w:styleId="25">
    <w:name w:val="Style4"/>
    <w:basedOn w:val="12"/>
    <w:uiPriority w:val="1"/>
    <w:rPr>
      <w:rFonts w:asciiTheme="minorHAnsi" w:hAnsiTheme="minorEastAsia" w:eastAsiaTheme="minorEastAsia" w:cstheme="minorBidi"/>
      <w:szCs w:val="22"/>
      <w:lang w:eastAsia="zh-CN"/>
    </w:rPr>
  </w:style>
  <w:style w:type="character" w:customStyle="1" w:styleId="26">
    <w:name w:val="Style5"/>
    <w:basedOn w:val="12"/>
    <w:uiPriority w:val="1"/>
    <w:rPr>
      <w:rFonts w:asciiTheme="minorHAnsi" w:hAnsiTheme="minorEastAsia" w:eastAsiaTheme="minorEastAsia" w:cstheme="minorBidi"/>
      <w:sz w:val="22"/>
      <w:szCs w:val="22"/>
      <w:lang w:eastAsia="zh-CN"/>
    </w:rPr>
  </w:style>
  <w:style w:type="character" w:customStyle="1" w:styleId="27">
    <w:name w:val="标题 1 Char"/>
    <w:basedOn w:val="12"/>
    <w:link w:val="2"/>
    <w:uiPriority w:val="9"/>
    <w:rPr>
      <w:rFonts w:ascii="Times New Roman" w:hAnsi="Times New Roman" w:eastAsia="宋体" w:cs="Times New Roman"/>
      <w:b/>
      <w:bCs/>
      <w:kern w:val="44"/>
      <w:sz w:val="44"/>
      <w:szCs w:val="44"/>
    </w:rPr>
  </w:style>
  <w:style w:type="character" w:customStyle="1" w:styleId="28">
    <w:name w:val="标题 2 Char"/>
    <w:basedOn w:val="12"/>
    <w:link w:val="3"/>
    <w:uiPriority w:val="9"/>
    <w:rPr>
      <w:rFonts w:asciiTheme="majorHAnsi" w:hAnsiTheme="majorHAnsi" w:eastAsiaTheme="majorEastAsia" w:cstheme="majorBidi"/>
      <w:b/>
      <w:bCs/>
      <w:sz w:val="32"/>
      <w:szCs w:val="32"/>
    </w:rPr>
  </w:style>
  <w:style w:type="character" w:customStyle="1" w:styleId="29">
    <w:name w:val="标题 3 Char"/>
    <w:basedOn w:val="12"/>
    <w:link w:val="4"/>
    <w:qFormat/>
    <w:uiPriority w:val="9"/>
    <w:rPr>
      <w:rFonts w:ascii="Times New Roman" w:hAnsi="Times New Roman" w:eastAsia="宋体" w:cs="Times New Roman"/>
      <w:b/>
      <w:bCs/>
      <w:sz w:val="32"/>
      <w:szCs w:val="32"/>
    </w:rPr>
  </w:style>
  <w:style w:type="character" w:customStyle="1" w:styleId="30">
    <w:name w:val="标题 4 Char"/>
    <w:basedOn w:val="12"/>
    <w:link w:val="5"/>
    <w:uiPriority w:val="9"/>
    <w:rPr>
      <w:rFonts w:asciiTheme="majorHAnsi" w:hAnsiTheme="majorHAnsi" w:eastAsiaTheme="majorEastAsia" w:cstheme="majorBidi"/>
      <w:b/>
      <w:bCs/>
      <w:sz w:val="28"/>
      <w:szCs w:val="28"/>
    </w:rPr>
  </w:style>
  <w:style w:type="character" w:customStyle="1" w:styleId="31">
    <w:name w:val="日期 Char"/>
    <w:basedOn w:val="12"/>
    <w:link w:val="6"/>
    <w:semiHidden/>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3.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6"/>
    <customShpInfo spid="_x0000_s1028"/>
    <customShpInfo spid="_x0000_s1029"/>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D3A527-2CFD-4B4B-9633-E37B1F7D2C64}">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710</Words>
  <Characters>4050</Characters>
  <Lines>33</Lines>
  <Paragraphs>9</Paragraphs>
  <TotalTime>0</TotalTime>
  <ScaleCrop>false</ScaleCrop>
  <LinksUpToDate>false</LinksUpToDate>
  <CharactersWithSpaces>4751</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2019-01-22T07:39:00Z</dcterms:created>
  <dc:creator>User</dc:creator>
  <cp:lastModifiedBy>lenovo</cp:lastModifiedBy>
  <dcterms:modified xsi:type="dcterms:W3CDTF">2023-09-14T02:12:28Z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