
<file path=[Content_Types].xml><?xml version="1.0" encoding="utf-8"?>
<Types xmlns="http://schemas.openxmlformats.org/package/2006/content-types">
  <Default Extension="xml" ContentType="application/xml"/>
  <Default Extension="emf" ContentType="image/x-emf"/>
  <Default Extension="gif" ContentType="image/gi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shape id="椭圆 8" o:spid="_x0000_s1051"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on="t" focussize="0,0"/>
            <v:stroke on="f" weight="1pt" joinstyle="miter"/>
            <v:imagedata o:title=""/>
            <o:lock v:ext="edit"/>
            <v:textbox>
              <w:txbxContent>
                <w:p>
                  <w:pPr>
                    <w:jc w:val="center"/>
                  </w:pPr>
                </w:p>
              </w:txbxContent>
            </v:textbox>
          </v:shape>
        </w:pict>
      </w:r>
      <w:r>
        <w:pict>
          <v:rect id="矩形 14" o:spid="_x0000_s1050"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9"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pict>
          <v:group id="_x0000_s1046" o:spid="_x0000_s1046" o:spt="203" style="position:absolute;left:0pt;margin-left:1.25pt;margin-top:821.7pt;height:21.45pt;width:595.25pt;z-index:251662336;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48"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47"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rect id="矩形 11" o:spid="_x0000_s1042"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r>
        <w:pict>
          <v:group id="_x0000_s1053" o:spid="_x0000_s1053" o:spt="203" style="position:absolute;left:0pt;margin-left:-81.1pt;margin-top:12.7pt;height:308.5pt;width:600.25pt;z-index:-251615232;mso-width-relative:page;mso-height-relative:page;" coordorigin="13622,283" coordsize="12005,6170"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54"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55" o:spid="_x0000_s1055"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李村镇决算公开</w:t>
                    </w:r>
                  </w:p>
                </w:txbxContent>
              </v:textbox>
            </v:shape>
          </v:group>
        </w:pict>
      </w:r>
    </w:p>
    <w:p>
      <w:pPr>
        <w:jc w:val="center"/>
        <w:rPr>
          <w:rFonts w:ascii="黑体" w:hAnsi="黑体" w:eastAsia="黑体" w:cs="黑体"/>
          <w:sz w:val="56"/>
          <w:szCs w:val="72"/>
        </w:rPr>
      </w:pPr>
    </w:p>
    <w:p>
      <w:pPr>
        <w:rPr>
          <w:rFonts w:ascii="黑体" w:hAnsi="Times New Roman" w:eastAsia="黑体" w:cs="Times New Roman"/>
          <w:sz w:val="48"/>
          <w:szCs w:val="48"/>
        </w:rPr>
      </w:pPr>
      <w:r>
        <w:pict>
          <v:shape id="文本框 10" o:spid="_x0000_s1026" o:spt="202" type="#_x0000_t202" style="position:absolute;left:0pt;margin-left:29.7pt;margin-top:502.9pt;height:104.2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二〇二〇年十月</w:t>
                  </w:r>
                </w:p>
              </w:txbxContent>
            </v:textbox>
          </v:shape>
        </w:pict>
      </w:r>
      <w:r>
        <w:pict>
          <v:group id="_x0000_s1043" o:spid="_x0000_s1043" o:spt="203" style="position:absolute;left:0pt;margin-left:-65.35pt;margin-top:29.75pt;height:349.55pt;width:600.25pt;z-index:-251649024;mso-width-relative:page;mso-height-relative:page;"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45"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44" o:spid="_x0000_s1044" o:spt="202" type="#_x0000_t202" style="position:absolute;left:17229;top:-66719;height:1392046;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w:txbxContent>
                  <w:p>
                    <w:pPr>
                      <w:jc w:val="left"/>
                      <w:rPr>
                        <w:color w:val="000000" w:themeColor="text1"/>
                        <w:kern w:val="0"/>
                        <w:sz w:val="80"/>
                        <w:szCs w:val="80"/>
                      </w:rPr>
                    </w:pPr>
                    <w:r>
                      <w:rPr>
                        <w:rFonts w:hint="eastAsia" w:ascii="思源黑体 HW Bold" w:hAnsi="思源黑体 HW Bold" w:eastAsia="思源黑体 HW Bold"/>
                        <w:color w:val="000000" w:themeColor="text1"/>
                        <w:kern w:val="24"/>
                        <w:sz w:val="80"/>
                        <w:szCs w:val="80"/>
                      </w:rPr>
                      <w:t>李村镇部门决算公开</w:t>
                    </w:r>
                  </w:p>
                </w:txbxContent>
              </v:textbox>
            </v:shape>
          </v:group>
        </w:pict>
      </w: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jc w:val="center"/>
        <w:rPr>
          <w:rFonts w:ascii="黑体" w:hAnsi="黑体" w:eastAsia="黑体" w:cs="黑体"/>
          <w:b/>
          <w:bCs/>
          <w:sz w:val="72"/>
          <w:szCs w:val="96"/>
        </w:rPr>
      </w:pPr>
      <w:r>
        <w:rPr>
          <w:rFonts w:hint="eastAsia" w:ascii="黑体" w:hAnsi="黑体" w:eastAsia="黑体" w:cs="黑体"/>
          <w:b/>
          <w:bCs/>
          <w:sz w:val="72"/>
          <w:szCs w:val="96"/>
        </w:rPr>
        <w:t>李村镇</w:t>
      </w:r>
    </w:p>
    <w:p>
      <w:pPr>
        <w:jc w:val="center"/>
        <w:rPr>
          <w:rFonts w:ascii="黑体" w:hAnsi="黑体" w:eastAsia="黑体" w:cs="黑体"/>
          <w:b/>
          <w:bCs/>
          <w:sz w:val="72"/>
          <w:szCs w:val="96"/>
        </w:rPr>
      </w:pPr>
      <w:r>
        <w:rPr>
          <w:rFonts w:hint="eastAsia" w:ascii="黑体" w:hAnsi="黑体" w:eastAsia="黑体" w:cs="黑体"/>
          <w:b/>
          <w:bCs/>
          <w:sz w:val="72"/>
          <w:szCs w:val="96"/>
        </w:rPr>
        <w:t>2019年度部门决算公开</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tabs>
          <w:tab w:val="left" w:pos="2728"/>
        </w:tabs>
        <w:rPr>
          <w:rFonts w:ascii="黑体" w:hAnsi="黑体" w:eastAsia="黑体" w:cs="黑体"/>
          <w:sz w:val="56"/>
          <w:szCs w:val="72"/>
        </w:rPr>
      </w:pPr>
    </w:p>
    <w:p>
      <w:pPr>
        <w:tabs>
          <w:tab w:val="left" w:pos="2728"/>
        </w:tabs>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r>
        <w:rPr>
          <w:sz w:val="72"/>
        </w:rPr>
        <w:pict>
          <v:shape id="_x0000_s1041" o:spid="_x0000_s1041"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path/>
            <v:fill type="pattern" on="t" color2="#FFFFFF" o:title="image2" focussize="0,0" r:id="rId28"/>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pict>
          <v:group id="_x0000_s1057" o:spid="_x0000_s1057" o:spt="203" style="position:absolute;left:0pt;margin-left:0pt;margin-top:53.75pt;height:31.5pt;width:594.8pt;mso-position-horizontal-relative:page;mso-position-vertical-relative:page;z-index:251702272;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1058"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1059"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1060"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rPr>
          <w:rFonts w:hint="eastAsia" w:ascii="黑体" w:eastAsia="黑体" w:cs="黑体"/>
          <w:b w:val="0"/>
          <w:bCs w:val="0"/>
          <w:kern w:val="0"/>
          <w:sz w:val="32"/>
          <w:szCs w:val="32"/>
        </w:rPr>
        <w:t>一、部门职责</w:t>
      </w:r>
    </w:p>
    <w:p>
      <w:pPr>
        <w:widowControl/>
        <w:spacing w:line="500" w:lineRule="exact"/>
        <w:ind w:firstLine="640"/>
        <w:jc w:val="left"/>
        <w:rPr>
          <w:rFonts w:ascii="仿宋" w:hAnsi="仿宋" w:eastAsia="仿宋"/>
          <w:color w:val="000000"/>
          <w:sz w:val="32"/>
          <w:szCs w:val="32"/>
        </w:rPr>
      </w:pPr>
      <w:r>
        <w:rPr>
          <w:rFonts w:hint="eastAsia" w:ascii="仿宋" w:hAnsi="仿宋" w:eastAsia="仿宋"/>
          <w:color w:val="000000"/>
          <w:sz w:val="32"/>
          <w:szCs w:val="32"/>
        </w:rPr>
        <w:t>一、各部门职责</w:t>
      </w:r>
    </w:p>
    <w:p>
      <w:pPr>
        <w:widowControl/>
        <w:spacing w:line="500" w:lineRule="exact"/>
        <w:ind w:firstLine="640"/>
        <w:jc w:val="left"/>
        <w:rPr>
          <w:rFonts w:ascii="仿宋" w:hAnsi="仿宋" w:eastAsia="仿宋"/>
          <w:sz w:val="32"/>
          <w:szCs w:val="32"/>
        </w:rPr>
      </w:pPr>
      <w:r>
        <w:rPr>
          <w:rFonts w:hint="eastAsia" w:ascii="仿宋" w:hAnsi="仿宋" w:eastAsia="仿宋"/>
          <w:color w:val="000000"/>
          <w:sz w:val="32"/>
          <w:szCs w:val="32"/>
        </w:rPr>
        <w:t>1</w:t>
      </w:r>
      <w:r>
        <w:rPr>
          <w:rFonts w:hint="eastAsia" w:ascii="仿宋" w:hAnsi="仿宋" w:eastAsia="仿宋"/>
          <w:sz w:val="32"/>
          <w:szCs w:val="32"/>
        </w:rPr>
        <w:t>、</w:t>
      </w:r>
      <w:r>
        <w:rPr>
          <w:rFonts w:hint="eastAsia" w:ascii="仿宋" w:hAnsi="仿宋" w:eastAsia="仿宋"/>
          <w:b/>
          <w:sz w:val="32"/>
          <w:szCs w:val="32"/>
        </w:rPr>
        <w:t>机关事务管理</w:t>
      </w:r>
      <w:r>
        <w:rPr>
          <w:rFonts w:hint="eastAsia" w:ascii="仿宋" w:hAnsi="仿宋" w:eastAsia="仿宋"/>
          <w:sz w:val="32"/>
          <w:szCs w:val="32"/>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　负责社会治安综合治理和司法工作；做好宗教工作，打击邪教；调处矛盾纠纷；做好群众来信来访、社会稳定等工作。负责精神文明和新农村建设，以及与各部门社会事务工作的指导服务和协调。</w:t>
      </w:r>
    </w:p>
    <w:p>
      <w:pPr>
        <w:widowControl/>
        <w:spacing w:line="500" w:lineRule="exact"/>
        <w:ind w:firstLine="643"/>
        <w:jc w:val="left"/>
        <w:rPr>
          <w:rFonts w:ascii="仿宋" w:hAnsi="仿宋" w:eastAsia="仿宋"/>
          <w:sz w:val="32"/>
          <w:szCs w:val="32"/>
        </w:rPr>
      </w:pPr>
      <w:r>
        <w:rPr>
          <w:rFonts w:hint="eastAsia" w:ascii="仿宋" w:hAnsi="仿宋" w:eastAsia="仿宋"/>
          <w:b/>
          <w:sz w:val="32"/>
          <w:szCs w:val="32"/>
        </w:rPr>
        <w:t>2、农业综合服务。</w:t>
      </w:r>
      <w:r>
        <w:rPr>
          <w:rFonts w:hint="eastAsia" w:ascii="仿宋" w:hAnsi="仿宋" w:eastAsia="仿宋"/>
          <w:sz w:val="32"/>
          <w:szCs w:val="32"/>
        </w:rPr>
        <w:t>负责配合农口部门（农、林、牧、水）做好农业技术服务和技术推广工作，动物防疫工作；加强农田水利基本建设，增强农业抗御自然灾害的能力。做好农村一事一议项目管理。</w:t>
      </w:r>
    </w:p>
    <w:p>
      <w:pPr>
        <w:widowControl/>
        <w:spacing w:line="500" w:lineRule="exact"/>
        <w:ind w:firstLine="643"/>
        <w:jc w:val="left"/>
        <w:rPr>
          <w:rFonts w:ascii="仿宋" w:hAnsi="仿宋" w:eastAsia="仿宋"/>
          <w:sz w:val="32"/>
          <w:szCs w:val="32"/>
        </w:rPr>
      </w:pPr>
      <w:r>
        <w:rPr>
          <w:rFonts w:hint="eastAsia" w:ascii="仿宋" w:hAnsi="仿宋" w:eastAsia="仿宋"/>
          <w:b/>
          <w:sz w:val="32"/>
          <w:szCs w:val="32"/>
        </w:rPr>
        <w:t>3、卫生计生服务</w:t>
      </w:r>
      <w:r>
        <w:rPr>
          <w:rFonts w:hint="eastAsia" w:ascii="仿宋" w:hAnsi="仿宋" w:eastAsia="仿宋"/>
          <w:sz w:val="32"/>
          <w:szCs w:val="32"/>
        </w:rPr>
        <w:t>。配合食品药品监督管理的协调、督导，做好新型农村合作医疗等卫生方面工作，负责计划生育技术服务及人口生育管理，负责育龄妇女普查、妇女病防治、四术及协会等项工作。</w:t>
      </w:r>
    </w:p>
    <w:p>
      <w:pPr>
        <w:widowControl/>
        <w:spacing w:line="500" w:lineRule="exact"/>
        <w:ind w:firstLine="643"/>
        <w:jc w:val="left"/>
        <w:rPr>
          <w:rFonts w:ascii="仿宋" w:hAnsi="仿宋" w:eastAsia="仿宋"/>
          <w:sz w:val="32"/>
          <w:szCs w:val="32"/>
        </w:rPr>
      </w:pPr>
      <w:r>
        <w:rPr>
          <w:rFonts w:hint="eastAsia" w:ascii="仿宋" w:hAnsi="仿宋" w:eastAsia="仿宋"/>
          <w:b/>
          <w:sz w:val="32"/>
          <w:szCs w:val="32"/>
        </w:rPr>
        <w:t>4、文化综治服务。</w:t>
      </w:r>
      <w:r>
        <w:rPr>
          <w:rFonts w:hint="eastAsia" w:ascii="仿宋" w:hAnsi="仿宋" w:eastAsia="仿宋"/>
          <w:sz w:val="32"/>
          <w:szCs w:val="32"/>
        </w:rPr>
        <w:t>负责群众文化娱乐、体育活动、广播电视村村通等工作。</w:t>
      </w:r>
    </w:p>
    <w:p>
      <w:pPr>
        <w:widowControl/>
        <w:spacing w:line="500" w:lineRule="exact"/>
        <w:ind w:firstLine="643"/>
        <w:jc w:val="left"/>
        <w:rPr>
          <w:rFonts w:ascii="仿宋" w:hAnsi="仿宋" w:eastAsia="仿宋"/>
          <w:sz w:val="32"/>
          <w:szCs w:val="32"/>
        </w:rPr>
      </w:pPr>
      <w:r>
        <w:rPr>
          <w:rFonts w:hint="eastAsia" w:ascii="仿宋" w:hAnsi="仿宋" w:eastAsia="仿宋"/>
          <w:b/>
          <w:sz w:val="32"/>
          <w:szCs w:val="32"/>
        </w:rPr>
        <w:t>5、社会保障服务。</w:t>
      </w:r>
      <w:r>
        <w:rPr>
          <w:rFonts w:hint="eastAsia" w:ascii="仿宋" w:hAnsi="仿宋" w:eastAsia="仿宋"/>
          <w:sz w:val="32"/>
          <w:szCs w:val="32"/>
        </w:rPr>
        <w:t>配合劳动保障部门做好劳动法的宣传贯彻、劳动就业、社会保障等工作。配合安全生产监督管理部门做好安全生产监督管理等工作。</w:t>
      </w:r>
    </w:p>
    <w:p>
      <w:pPr>
        <w:widowControl/>
        <w:shd w:val="clear" w:color="000000" w:fill="FFFFFF"/>
        <w:spacing w:line="500" w:lineRule="exact"/>
        <w:ind w:firstLine="643"/>
        <w:jc w:val="left"/>
        <w:rPr>
          <w:rFonts w:ascii="仿宋" w:hAnsi="仿宋" w:eastAsia="仿宋"/>
          <w:b/>
          <w:color w:val="3E3E3E"/>
          <w:sz w:val="32"/>
          <w:szCs w:val="32"/>
        </w:rPr>
      </w:pPr>
      <w:r>
        <w:rPr>
          <w:rFonts w:hint="eastAsia" w:ascii="仿宋" w:hAnsi="仿宋" w:eastAsia="仿宋"/>
          <w:b/>
          <w:color w:val="3E3E3E"/>
          <w:sz w:val="32"/>
          <w:szCs w:val="32"/>
        </w:rPr>
        <w:t>二、部门决算单位构成</w:t>
      </w:r>
    </w:p>
    <w:p>
      <w:pPr>
        <w:spacing w:line="500" w:lineRule="exact"/>
        <w:ind w:firstLine="64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、党政机构</w:t>
      </w:r>
      <w:r>
        <w:rPr>
          <w:rFonts w:ascii="仿宋" w:hAnsi="仿宋" w:eastAsia="仿宋"/>
          <w:sz w:val="32"/>
          <w:szCs w:val="32"/>
        </w:rPr>
        <w:t>6</w:t>
      </w:r>
      <w:r>
        <w:rPr>
          <w:rFonts w:hint="eastAsia" w:ascii="仿宋" w:hAnsi="仿宋" w:eastAsia="仿宋"/>
          <w:sz w:val="32"/>
          <w:szCs w:val="32"/>
        </w:rPr>
        <w:t>个，分别为：党政办公室、社会事务办公室、经济发展办公室、综合治理办公室、计划生育办公室、城镇建设办公室。</w:t>
      </w:r>
    </w:p>
    <w:p>
      <w:pPr>
        <w:widowControl/>
        <w:shd w:val="clear" w:color="000000" w:fill="FFFFFF"/>
        <w:spacing w:line="500" w:lineRule="exact"/>
        <w:ind w:firstLine="640"/>
        <w:jc w:val="left"/>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、事业单位机构</w:t>
      </w:r>
      <w:r>
        <w:rPr>
          <w:rFonts w:ascii="仿宋" w:hAnsi="仿宋" w:eastAsia="仿宋"/>
          <w:sz w:val="32"/>
          <w:szCs w:val="32"/>
        </w:rPr>
        <w:t>3</w:t>
      </w:r>
      <w:r>
        <w:rPr>
          <w:rFonts w:hint="eastAsia" w:ascii="仿宋" w:hAnsi="仿宋" w:eastAsia="仿宋"/>
          <w:sz w:val="32"/>
          <w:szCs w:val="32"/>
        </w:rPr>
        <w:t>个，分别为：财政所、计划生育服务站、劳动和社会保障服务站。</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4395"/>
        <w:gridCol w:w="18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67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439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8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7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439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石家庄市鹿泉区李村镇人民政府</w:t>
            </w:r>
          </w:p>
        </w:tc>
        <w:tc>
          <w:tcPr>
            <w:tcW w:w="1845" w:type="dxa"/>
          </w:tcPr>
          <w:p>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7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4395" w:type="dxa"/>
          </w:tcPr>
          <w:p>
            <w:pPr>
              <w:spacing w:line="560" w:lineRule="exact"/>
              <w:rPr>
                <w:rFonts w:ascii="仿宋_GB2312" w:hAnsi="Calibri" w:eastAsia="仿宋_GB2312" w:cs="ArialUnicodeMS"/>
                <w:kern w:val="0"/>
                <w:sz w:val="28"/>
                <w:szCs w:val="28"/>
              </w:rPr>
            </w:pPr>
          </w:p>
        </w:tc>
        <w:tc>
          <w:tcPr>
            <w:tcW w:w="18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7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4395" w:type="dxa"/>
          </w:tcPr>
          <w:p>
            <w:pPr>
              <w:spacing w:line="560" w:lineRule="exact"/>
              <w:rPr>
                <w:rFonts w:ascii="仿宋_GB2312" w:hAnsi="Calibri" w:eastAsia="仿宋_GB2312" w:cs="ArialUnicodeMS"/>
                <w:kern w:val="0"/>
                <w:sz w:val="28"/>
                <w:szCs w:val="28"/>
              </w:rPr>
            </w:pPr>
          </w:p>
        </w:tc>
        <w:tc>
          <w:tcPr>
            <w:tcW w:w="18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67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439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18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40" o:spid="_x0000_s1040"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9" o:spid="_x0000_s1039" o:spt="202" type="#_x0000_t202" style="position:absolute;left:0pt;margin-left:-90.8pt;margin-top:4.35pt;height:263.1pt;width:613.65pt;z-index:251693056;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path/>
            <v:fill type="pattern" on="t" color2="#FFFFFF" o:title="image2" focussize="0,0" r:id="rId28"/>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4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入4666.66万元，支出3908.31万元，结余758.35万元。与2018年度决算相比，收入减少了1446.34万元，下降了31%，支出减少了2204.69万元，下降了47.2%，主要原因是双同路拓宽升级工程项目资金同比减少1800万元。</w:t>
      </w:r>
    </w:p>
    <w:p>
      <w:pPr>
        <w:keepNext/>
        <w:keepLines/>
        <w:snapToGrid w:val="0"/>
        <w:spacing w:line="54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96128" behindDoc="0" locked="0" layoutInCell="1" allowOverlap="1">
            <wp:simplePos x="0" y="0"/>
            <wp:positionH relativeFrom="column">
              <wp:posOffset>1327785</wp:posOffset>
            </wp:positionH>
            <wp:positionV relativeFrom="paragraph">
              <wp:posOffset>1407795</wp:posOffset>
            </wp:positionV>
            <wp:extent cx="3969385" cy="3799205"/>
            <wp:effectExtent l="19050" t="0" r="0" b="0"/>
            <wp:wrapTopAndBottom/>
            <wp:docPr id="22" name="图片 21" descr="微信截图_202010291201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1" descr="微信截图_20201029120157.png"/>
                    <pic:cNvPicPr>
                      <a:picLocks noChangeAspect="1"/>
                    </pic:cNvPicPr>
                  </pic:nvPicPr>
                  <pic:blipFill>
                    <a:blip r:embed="rId29"/>
                    <a:stretch>
                      <a:fillRect/>
                    </a:stretch>
                  </pic:blipFill>
                  <pic:spPr>
                    <a:xfrm>
                      <a:off x="0" y="0"/>
                      <a:ext cx="3969385" cy="3799205"/>
                    </a:xfrm>
                    <a:prstGeom prst="rect">
                      <a:avLst/>
                    </a:prstGeom>
                  </pic:spPr>
                </pic:pic>
              </a:graphicData>
            </a:graphic>
          </wp:anchor>
        </w:drawing>
      </w:r>
      <w:r>
        <w:rPr>
          <w:rFonts w:hint="eastAsia" w:ascii="仿宋_GB2312" w:hAnsi="Times New Roman" w:eastAsia="仿宋_GB2312" w:cs="DengXian-Regular"/>
          <w:sz w:val="32"/>
          <w:szCs w:val="32"/>
        </w:rPr>
        <w:t>本部门2019年度本年收入合计4666.66万元，其中：财政拨款收入4304.44万元，占92.2%；其他收入362.22万元，占7.8%。如图所示：</w:t>
      </w:r>
    </w:p>
    <w:p>
      <w:pPr>
        <w:keepNext/>
        <w:keepLines/>
        <w:snapToGrid w:val="0"/>
        <w:spacing w:line="54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97152" behindDoc="0" locked="0" layoutInCell="1" allowOverlap="1">
            <wp:simplePos x="0" y="0"/>
            <wp:positionH relativeFrom="column">
              <wp:posOffset>728980</wp:posOffset>
            </wp:positionH>
            <wp:positionV relativeFrom="paragraph">
              <wp:posOffset>1546860</wp:posOffset>
            </wp:positionV>
            <wp:extent cx="4064000" cy="4004310"/>
            <wp:effectExtent l="19050" t="0" r="0" b="0"/>
            <wp:wrapTopAndBottom/>
            <wp:docPr id="24" name="图片 23" descr="微信截图_202010291401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3" descr="微信截图_20201029140157.png"/>
                    <pic:cNvPicPr>
                      <a:picLocks noChangeAspect="1"/>
                    </pic:cNvPicPr>
                  </pic:nvPicPr>
                  <pic:blipFill>
                    <a:blip r:embed="rId30"/>
                    <a:stretch>
                      <a:fillRect/>
                    </a:stretch>
                  </pic:blipFill>
                  <pic:spPr>
                    <a:xfrm>
                      <a:off x="0" y="0"/>
                      <a:ext cx="4064000" cy="4004310"/>
                    </a:xfrm>
                    <a:prstGeom prst="rect">
                      <a:avLst/>
                    </a:prstGeom>
                  </pic:spPr>
                </pic:pic>
              </a:graphicData>
            </a:graphic>
          </wp:anchor>
        </w:drawing>
      </w:r>
      <w:r>
        <w:rPr>
          <w:rFonts w:hint="eastAsia" w:ascii="仿宋_GB2312" w:hAnsi="Times New Roman" w:eastAsia="仿宋_GB2312" w:cs="DengXian-Regular"/>
          <w:sz w:val="32"/>
          <w:szCs w:val="32"/>
        </w:rPr>
        <w:t>本部门2019年度本年支出合计3908.31万元，其中：基本支出1617.94万元，占41.4%；项目支出2290.37万元，占58.6。如图所示：</w:t>
      </w:r>
    </w:p>
    <w:p>
      <w:pPr>
        <w:adjustRightInd w:val="0"/>
        <w:snapToGrid w:val="0"/>
        <w:spacing w:line="540" w:lineRule="exact"/>
        <w:ind w:firstLine="640" w:firstLineChars="200"/>
        <w:rPr>
          <w:rFonts w:ascii="仿宋_GB2312" w:hAnsi="Times New Roman" w:eastAsia="仿宋_GB2312" w:cs="DengXian-Regular"/>
          <w:sz w:val="32"/>
          <w:szCs w:val="32"/>
        </w:rPr>
      </w:pPr>
    </w:p>
    <w:p>
      <w:pPr>
        <w:keepNext/>
        <w:keepLines/>
        <w:snapToGrid w:val="0"/>
        <w:spacing w:line="54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4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4304.44万元,比2018年度减少238.56万元，降低5.5%，主要是双同路拓宽升级工程项目资金的减少；本年支出3546.09万元，减少996.91万元，降低28.1%，主要是双同路拓宽升级工程项目支出的减少，具体情况如下：</w:t>
      </w:r>
    </w:p>
    <w:p>
      <w:pPr>
        <w:numPr>
          <w:ilvl w:val="0"/>
          <w:numId w:val="1"/>
        </w:num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3521.86万元，比上年增加1478.86万元；主要是增加了预算拨款（水源保护区生态补贴资金的增加）减少了基金拨款（双同路拓宽升级工程项目资金的减少）；本年支出2763.51万元，比上年增加718.51万元，增长26%，主要是增加了预算拨款（水源保护区生态补贴资金的增加）减少了基金拨款（双同路拓宽升级工程项目资金的减少）。</w:t>
      </w:r>
    </w:p>
    <w:p>
      <w:pPr>
        <w:numPr>
          <w:ilvl w:val="0"/>
          <w:numId w:val="1"/>
        </w:num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98176" behindDoc="0" locked="0" layoutInCell="1" allowOverlap="1">
            <wp:simplePos x="0" y="0"/>
            <wp:positionH relativeFrom="column">
              <wp:posOffset>173990</wp:posOffset>
            </wp:positionH>
            <wp:positionV relativeFrom="paragraph">
              <wp:posOffset>2143760</wp:posOffset>
            </wp:positionV>
            <wp:extent cx="5170170" cy="2968625"/>
            <wp:effectExtent l="19050" t="0" r="0" b="0"/>
            <wp:wrapTopAndBottom/>
            <wp:docPr id="25" name="图片 24" descr="微信截图_202010291513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4" descr="微信截图_20201029151308.png"/>
                    <pic:cNvPicPr>
                      <a:picLocks noChangeAspect="1"/>
                    </pic:cNvPicPr>
                  </pic:nvPicPr>
                  <pic:blipFill>
                    <a:blip r:embed="rId31"/>
                    <a:stretch>
                      <a:fillRect/>
                    </a:stretch>
                  </pic:blipFill>
                  <pic:spPr>
                    <a:xfrm>
                      <a:off x="0" y="0"/>
                      <a:ext cx="5170170" cy="2968625"/>
                    </a:xfrm>
                    <a:prstGeom prst="rect">
                      <a:avLst/>
                    </a:prstGeom>
                  </pic:spPr>
                </pic:pic>
              </a:graphicData>
            </a:graphic>
          </wp:anchor>
        </w:drawing>
      </w:r>
      <w:r>
        <w:rPr>
          <w:rFonts w:hint="eastAsia" w:ascii="仿宋_GB2312" w:hAnsi="Times New Roman" w:eastAsia="仿宋_GB2312" w:cs="DengXian-Regular"/>
          <w:sz w:val="32"/>
          <w:szCs w:val="32"/>
        </w:rPr>
        <w:t>政府性基金预算财政拨款本年收入782.58万元，比上年减少1717.42万元，降低219%，主要原因是增加了预算拨款减少了基金拨款（双同路拓宽升级工程项目资金的减少）；本年支出782.58万元，比上年减少1717.42万元，降低219%，主要是增加了预算拨款减少了基金拨款（双同路拓宽升级工程项目资金的减少）。</w:t>
      </w:r>
    </w:p>
    <w:p>
      <w:pPr>
        <w:snapToGrid w:val="0"/>
        <w:spacing w:line="54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年度财政拨款本年收入4304.44万元，完成年初预算的121.8%,比年初预算增加771.44万元，决算数大于预算数主要原因是增加了预算拨款（水源保护区生态补贴资金的增加）减少了基金拨款（双同路拓宽升级工程项目资金的减少）；本年支出3546.09万元，完成年初预算的100.4%,比年初预算增加13.09万元，决算数大于预算数主要原因是主要是增加了预算拨款（水源保护区生态补贴资金的增加）减少了基金拨款（双同路拓宽升级工程项目资金的减少）。具体情况如下：</w:t>
      </w:r>
    </w:p>
    <w:p>
      <w:pPr>
        <w:numPr>
          <w:ilvl w:val="0"/>
          <w:numId w:val="2"/>
        </w:num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164.7%，比年初预算增加1383.86万元，主要是增加了预算拨款（水源保护区生态补贴资金的增加）减少了基金拨款（双同路拓宽升级工程项目资金的减少）；支出完成年初预算129.3%，比年初预算增加625.51万元，主要是增加了预算拨款（水源保护区生态补贴资金的增加）减少了基金拨款（双同路拓宽升级工程项目资金的减少）。</w:t>
      </w:r>
    </w:p>
    <w:p>
      <w:pPr>
        <w:numPr>
          <w:ilvl w:val="0"/>
          <w:numId w:val="2"/>
        </w:num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99200" behindDoc="0" locked="0" layoutInCell="1" allowOverlap="1">
            <wp:simplePos x="0" y="0"/>
            <wp:positionH relativeFrom="column">
              <wp:posOffset>269240</wp:posOffset>
            </wp:positionH>
            <wp:positionV relativeFrom="paragraph">
              <wp:posOffset>2146935</wp:posOffset>
            </wp:positionV>
            <wp:extent cx="5205730" cy="3585845"/>
            <wp:effectExtent l="19050" t="0" r="0" b="0"/>
            <wp:wrapTopAndBottom/>
            <wp:docPr id="27" name="图片 26" descr="微信截图_202010291606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6" descr="微信截图_20201029160614.png"/>
                    <pic:cNvPicPr>
                      <a:picLocks noChangeAspect="1"/>
                    </pic:cNvPicPr>
                  </pic:nvPicPr>
                  <pic:blipFill>
                    <a:blip r:embed="rId32"/>
                    <a:stretch>
                      <a:fillRect/>
                    </a:stretch>
                  </pic:blipFill>
                  <pic:spPr>
                    <a:xfrm>
                      <a:off x="0" y="0"/>
                      <a:ext cx="5205730" cy="3585845"/>
                    </a:xfrm>
                    <a:prstGeom prst="rect">
                      <a:avLst/>
                    </a:prstGeom>
                  </pic:spPr>
                </pic:pic>
              </a:graphicData>
            </a:graphic>
          </wp:anchor>
        </w:drawing>
      </w:r>
      <w:r>
        <w:rPr>
          <w:rFonts w:hint="eastAsia" w:ascii="仿宋_GB2312" w:hAnsi="Times New Roman" w:eastAsia="仿宋_GB2312" w:cs="DengXian-Regular"/>
          <w:sz w:val="32"/>
          <w:szCs w:val="32"/>
        </w:rPr>
        <w:t>政府性基金预算财政拨款本年收入完成年初预算56.1%，比年初预算减少612.42万元，主要是增加了预算拨款减少了基金拨款（双同路拓宽升级工程项目资金的减少）；支出完成年初</w:t>
      </w:r>
      <w:bookmarkStart w:id="0" w:name="_GoBack"/>
      <w:bookmarkEnd w:id="0"/>
      <w:r>
        <w:rPr>
          <w:rFonts w:hint="eastAsia" w:ascii="仿宋_GB2312" w:hAnsi="Times New Roman" w:eastAsia="仿宋_GB2312" w:cs="DengXian-Regular"/>
          <w:sz w:val="32"/>
          <w:szCs w:val="32"/>
        </w:rPr>
        <w:t>预算56.1%，比年初预算减少612.42万元，主要是增加了预算拨款减少了基金拨款（双同路拓宽升级工程项目资金的减少）。</w:t>
      </w:r>
    </w:p>
    <w:p>
      <w:pPr>
        <w:adjustRightInd w:val="0"/>
        <w:snapToGrid w:val="0"/>
        <w:spacing w:line="540" w:lineRule="exact"/>
        <w:ind w:firstLine="630" w:firstLineChars="196"/>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（三）财政拨款支出决算结构情况。</w:t>
      </w:r>
    </w:p>
    <w:p>
      <w:pPr>
        <w:adjustRightInd w:val="0"/>
        <w:snapToGrid w:val="0"/>
        <w:spacing w:line="540" w:lineRule="exact"/>
        <w:ind w:firstLine="800" w:firstLineChars="25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drawing>
          <wp:anchor distT="0" distB="0" distL="114300" distR="114300" simplePos="0" relativeHeight="251700224" behindDoc="0" locked="0" layoutInCell="1" allowOverlap="1">
            <wp:simplePos x="0" y="0"/>
            <wp:positionH relativeFrom="column">
              <wp:posOffset>281305</wp:posOffset>
            </wp:positionH>
            <wp:positionV relativeFrom="paragraph">
              <wp:posOffset>2154555</wp:posOffset>
            </wp:positionV>
            <wp:extent cx="4861560" cy="4262755"/>
            <wp:effectExtent l="19050" t="0" r="0" b="0"/>
            <wp:wrapTopAndBottom/>
            <wp:docPr id="28" name="图片 27" descr="微信截图_202010291616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7" descr="微信截图_20201029161657.png"/>
                    <pic:cNvPicPr>
                      <a:picLocks noChangeAspect="1"/>
                    </pic:cNvPicPr>
                  </pic:nvPicPr>
                  <pic:blipFill>
                    <a:blip r:embed="rId33"/>
                    <a:stretch>
                      <a:fillRect/>
                    </a:stretch>
                  </pic:blipFill>
                  <pic:spPr>
                    <a:xfrm>
                      <a:off x="0" y="0"/>
                      <a:ext cx="4861560" cy="4262755"/>
                    </a:xfrm>
                    <a:prstGeom prst="rect">
                      <a:avLst/>
                    </a:prstGeom>
                  </pic:spPr>
                </pic:pic>
              </a:graphicData>
            </a:graphic>
          </wp:anchor>
        </w:drawing>
      </w:r>
      <w:r>
        <w:rPr>
          <w:rFonts w:hint="eastAsia" w:ascii="仿宋_GB2312" w:hAnsi="Times New Roman" w:eastAsia="仿宋_GB2312" w:cs="DengXian-Regular"/>
          <w:sz w:val="32"/>
          <w:szCs w:val="32"/>
        </w:rPr>
        <w:t>2019 年度财政拨款支出3546.09万元，主要用于以下方面一般公共服务支出1186.61万元，占33.5%，；教育支出207.48万元，占5.9%；社会保障和就业支出72.73万元，占2.1%；卫生健康支出53.19万元，占1.5%；节能环保支出860.27万元，占24.3%；城乡社区支出935.49万元，占26.4%；农林水支出225.33万元，占6.3%。</w:t>
      </w:r>
    </w:p>
    <w:p>
      <w:pPr>
        <w:adjustRightInd w:val="0"/>
        <w:snapToGrid w:val="0"/>
        <w:spacing w:line="54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1617.94万元，其中：人员经费1248.25万元，主要包括基本工资297.24万元、津贴补贴106.05万元、奖金246.78万元、绩效工资49.11万元、机关事业单位基本养老保险缴费67.71万元、职工基本医疗保险缴费52万元、住房公积金56.32万元、对个人和家庭的补助支出的生活补助369.03万元、抚恤金4.01万元；公用经费369.69万元，主要包括办公费53.72万元、印刷费3.51万元、电费18万元、邮电费32.47万元、取暖费12万元、物业管理费18.6万元、差旅费23.2万元、维护费2.52万元、劳务费171.61万元、福利费11.5万元、公务用车运行维护费5.22万元、其他交通费用17.34万元。</w:t>
      </w:r>
    </w:p>
    <w:p>
      <w:pPr>
        <w:keepNext/>
        <w:keepLines/>
        <w:snapToGrid w:val="0"/>
        <w:spacing w:line="54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spacing w:line="540" w:lineRule="exact"/>
        <w:ind w:firstLine="640" w:firstLineChars="200"/>
        <w:rPr>
          <w:rFonts w:ascii="仿宋_GB2312" w:hAnsi="仿宋" w:eastAsia="仿宋_GB2312"/>
          <w:sz w:val="32"/>
          <w:szCs w:val="32"/>
        </w:rPr>
      </w:pPr>
      <w:r>
        <w:rPr>
          <w:rFonts w:hint="eastAsia" w:ascii="仿宋_GB2312" w:hAnsi="仿宋" w:eastAsia="仿宋_GB2312"/>
          <w:sz w:val="32"/>
          <w:szCs w:val="32"/>
        </w:rPr>
        <w:t>2019年度“三公”经费支出共计5.22万元，完成预算的96.7%,较预算减少0.18万元，降低3%，主要是认真贯彻落实中央八项规定精神和厉行节约要求，从严控制“三公”经费开支，全年实际支出比预算有所节约；较2018年度减少0.16万元，降低2.9%，主要是加强对公务车辆的管理。规范和控制公务用车修理、用油等行为，最大限度提高单车使用效率。具体情况如下：</w:t>
      </w:r>
    </w:p>
    <w:p>
      <w:pPr>
        <w:adjustRightInd w:val="0"/>
        <w:snapToGrid w:val="0"/>
        <w:spacing w:line="540" w:lineRule="exact"/>
        <w:ind w:firstLine="630" w:firstLineChars="196"/>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2019年度因公出国（境）团组0个、共0人，参加其他单位组织的因公出国（境）团组0个、共0人，无本单位组织的出国（境）团组。因公出国（境）费支出较年初预算无增减变化，较2018年决算无增减变化。</w:t>
      </w:r>
    </w:p>
    <w:p>
      <w:pPr>
        <w:adjustRightInd w:val="0"/>
        <w:snapToGrid w:val="0"/>
        <w:spacing w:line="540" w:lineRule="exact"/>
        <w:ind w:firstLine="630" w:firstLineChars="196"/>
        <w:rPr>
          <w:rFonts w:ascii="仿宋_GB2312" w:hAnsi="Times New Roman" w:eastAsia="仿宋_GB2312" w:cs="DengXian-Bold"/>
          <w:b/>
          <w:bCs/>
          <w:sz w:val="32"/>
          <w:szCs w:val="32"/>
        </w:rPr>
      </w:pPr>
      <w:r>
        <w:rPr>
          <w:rFonts w:hint="eastAsia" w:ascii="仿宋_GB2312" w:hAnsi="Times New Roman" w:eastAsia="仿宋_GB2312" w:cs="DengXian-Regular"/>
          <w:b/>
          <w:sz w:val="32"/>
          <w:szCs w:val="32"/>
        </w:rPr>
        <w:t>（二）公务用车购置及运行维护费支出5.22万元。</w:t>
      </w:r>
      <w:r>
        <w:rPr>
          <w:rFonts w:hint="eastAsia" w:ascii="仿宋_GB2312" w:hAnsi="Times New Roman" w:eastAsia="仿宋_GB2312" w:cs="DengXian-Regular"/>
          <w:sz w:val="32"/>
          <w:szCs w:val="32"/>
        </w:rPr>
        <w:t>2019年度公务用车购置及运行维护费较预算减少0.18万元，降低3%,</w:t>
      </w:r>
      <w:r>
        <w:rPr>
          <w:rFonts w:hint="eastAsia" w:ascii="仿宋_GB2312" w:hAnsi="仿宋" w:eastAsia="仿宋_GB2312"/>
          <w:sz w:val="32"/>
          <w:szCs w:val="32"/>
        </w:rPr>
        <w:t>主要是加强对公务车辆的管理。规范和控制公务用车修理、用油等行为，最大限度提高单车使用效率</w:t>
      </w:r>
      <w:r>
        <w:rPr>
          <w:rFonts w:hint="eastAsia" w:ascii="仿宋_GB2312" w:hAnsi="Times New Roman" w:eastAsia="仿宋_GB2312" w:cs="DengXian-Regular"/>
          <w:sz w:val="32"/>
          <w:szCs w:val="32"/>
        </w:rPr>
        <w:t>；较2018年度减少0.16万元，降低2.9%,主要是</w:t>
      </w:r>
      <w:r>
        <w:rPr>
          <w:rFonts w:hint="eastAsia" w:ascii="仿宋_GB2312" w:hAnsi="仿宋" w:eastAsia="仿宋_GB2312"/>
          <w:sz w:val="32"/>
          <w:szCs w:val="32"/>
        </w:rPr>
        <w:t>加强对公务车辆的管理。规范和控制公务用车修理、用油等行为，最大限度提高单车使用效率</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40" w:lineRule="exact"/>
        <w:ind w:firstLine="797" w:firstLineChars="248"/>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本部门2019年度公务用车购置量0辆，发生“公务用车购置”经费支出0万元。公务用车购置费支出较预算增加0万元，无增减变化；较2018年增加0万元，无增减变化。</w:t>
      </w:r>
    </w:p>
    <w:p>
      <w:pPr>
        <w:adjustRightInd w:val="0"/>
        <w:snapToGrid w:val="0"/>
        <w:spacing w:line="54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李村镇2019年度单位公务用车保有量2辆。公车运行维护费支出较预算减少0.18万元，降低3%,主要是</w:t>
      </w:r>
      <w:r>
        <w:rPr>
          <w:rFonts w:hint="eastAsia" w:ascii="仿宋_GB2312" w:hAnsi="仿宋" w:eastAsia="仿宋_GB2312"/>
          <w:sz w:val="32"/>
          <w:szCs w:val="32"/>
        </w:rPr>
        <w:t>加强对公务车辆的管理。规范和控制公务用车修理、用油等行为，最大限度提高单车使用效率</w:t>
      </w:r>
      <w:r>
        <w:rPr>
          <w:rFonts w:hint="eastAsia" w:ascii="仿宋_GB2312" w:hAnsi="Times New Roman" w:eastAsia="仿宋_GB2312" w:cs="DengXian-Regular"/>
          <w:sz w:val="32"/>
          <w:szCs w:val="32"/>
        </w:rPr>
        <w:t>；较2018年增加0万元，无增减变化。</w:t>
      </w:r>
    </w:p>
    <w:p>
      <w:pPr>
        <w:adjustRightInd w:val="0"/>
        <w:snapToGrid w:val="0"/>
        <w:spacing w:line="54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李村镇2019年度公务接待共0批次、0人次。公务接待费支出较年初预算无增减变化，；较2018年度无增减变化。</w:t>
      </w:r>
    </w:p>
    <w:p>
      <w:pPr>
        <w:adjustRightInd w:val="0"/>
        <w:snapToGrid w:val="0"/>
        <w:spacing w:line="54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4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李村镇组织对2019年度一般公共预算项目支出全面开展绩效自评，其中，环境卫生整治、水源保护区生态经济发展补贴等预算项目12个，共涉及资金1145.6万元，占一般公共预算项目支出总额的41.5%。组织对2019年度双同路拓宽升级工程、南许营至李村等五条道路工程、污水管网建设前期工程等3个政府性基金预算项目支出开展绩效自评，共涉及资金782.6万元，占政府性基金预算项目支出总额的100%。组织对水源保护区生态升级发展补贴和改厕工程等5个其他收入资金（财政存量资金拨付）的项目开展了绩效自评，共涉及资金362.2万元。占其他收入（财政存量资金拨付）的100%。组织对环境卫生整治和双同路拓宽升级工程等20个项目开展了部门评价，涉及一般公共预算支出1145.6万元，政府性基金预算支出782.6万元，其他收入（财政存量资金拨付）362.2万元。从评价情况来看所有项目</w:t>
      </w:r>
      <w:r>
        <w:rPr>
          <w:rFonts w:hint="eastAsia" w:ascii="仿宋_GB2312" w:eastAsia="仿宋_GB2312"/>
          <w:sz w:val="32"/>
          <w:szCs w:val="32"/>
        </w:rPr>
        <w:t>经济效益、社会效益、生态效益好、可持续影响明显，社会公众满意度高，经分析，项目效果分值为 90分。</w:t>
      </w:r>
    </w:p>
    <w:p>
      <w:pPr>
        <w:adjustRightInd w:val="0"/>
        <w:snapToGrid w:val="0"/>
        <w:spacing w:line="54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李村镇在2019年部门决算公开中反映对环境卫生整治和双同路拓宽升级工程等20个项目开展了部门评价项目绩效自评结果。</w:t>
      </w:r>
    </w:p>
    <w:p>
      <w:pPr>
        <w:spacing w:line="540" w:lineRule="exact"/>
        <w:ind w:firstLine="640" w:firstLineChars="200"/>
        <w:rPr>
          <w:rFonts w:ascii="仿宋_GB2312" w:hAnsi="宋体" w:eastAsia="仿宋_GB2312"/>
          <w:sz w:val="32"/>
          <w:szCs w:val="32"/>
        </w:rPr>
      </w:pPr>
      <w:r>
        <w:rPr>
          <w:rFonts w:hint="eastAsia" w:ascii="仿宋_GB2312" w:hAnsi="仿宋_GB2312" w:eastAsia="仿宋_GB2312" w:cs="仿宋_GB2312"/>
          <w:sz w:val="32"/>
          <w:szCs w:val="32"/>
        </w:rPr>
        <w:t>（1）环境卫生整治和双同路拓宽升级工程等20个项目自评综述：根据年初设定的绩效目标，20个项目绩效自评得分为90分。全年预算数为2115万元，执行数为2290.4万元，完成预算的108.3%。项目绩效目标完成情况：</w:t>
      </w:r>
      <w:r>
        <w:rPr>
          <w:rFonts w:hint="eastAsia" w:ascii="仿宋_GB2312" w:eastAsia="仿宋_GB2312"/>
          <w:sz w:val="32"/>
          <w:szCs w:val="32"/>
        </w:rPr>
        <w:t>项目的经济效益、社会效益、生态效益好、可持续影响明显，社会公众满意度高</w:t>
      </w:r>
      <w:r>
        <w:rPr>
          <w:rFonts w:hint="eastAsia" w:ascii="仿宋_GB2312" w:hAnsi="仿宋_GB2312" w:eastAsia="仿宋_GB2312" w:cs="仿宋_GB2312"/>
          <w:sz w:val="32"/>
          <w:szCs w:val="32"/>
        </w:rPr>
        <w:t>。发现的主要问题及原因：1、双同路拓宽升级工程项目涉及到闫同7户</w:t>
      </w:r>
      <w:r>
        <w:rPr>
          <w:rFonts w:ascii="仿宋_GB2312" w:hAnsi="仿宋_GB2312" w:eastAsia="仿宋_GB2312" w:cs="仿宋_GB2312"/>
          <w:sz w:val="32"/>
          <w:szCs w:val="32"/>
        </w:rPr>
        <w:t>拆迁户工作难做工作</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与建投铁路协调铁路造价高一直没有达成统一意见，不能施工</w:t>
      </w:r>
      <w:r>
        <w:rPr>
          <w:rFonts w:hint="eastAsia" w:ascii="仿宋_GB2312" w:hAnsi="仿宋_GB2312" w:eastAsia="仿宋_GB2312" w:cs="仿宋_GB2312"/>
          <w:sz w:val="32"/>
          <w:szCs w:val="32"/>
        </w:rPr>
        <w:t>。2、王村革命老区项目，在</w:t>
      </w:r>
      <w:r>
        <w:rPr>
          <w:rFonts w:hint="eastAsia" w:ascii="仿宋_GB2312" w:eastAsia="仿宋_GB2312"/>
          <w:sz w:val="32"/>
          <w:szCs w:val="32"/>
        </w:rPr>
        <w:t>2020年工程实施过程中因“河北省石家庄市水系连通及农村水系综合整治试点（古运河）”工程（简称古运河工程）实施受阻。原因是：施工图设计阶段古运河还未进行规划，桥梁方案为3-8米现浇板桥，今年古运河整治工程启动，河道规划断面上口宽57.87米，原设计方案不能满足该规划断面，需对桥梁方案进行调整。</w:t>
      </w:r>
      <w:r>
        <w:rPr>
          <w:rFonts w:hint="eastAsia" w:ascii="仿宋_GB2312" w:hAnsi="仿宋_GB2312" w:eastAsia="仿宋_GB2312" w:cs="仿宋_GB2312"/>
          <w:sz w:val="32"/>
          <w:szCs w:val="32"/>
        </w:rPr>
        <w:t>下一步改进措施：一是镇主管双同路拓宽升级工程项目部门正在积极和农户铁路部门协商相关事宜，争取早日完成剩余工程；二是主管王村中心路工程部门正在重新评审项目和申请政府追加项目资金。</w:t>
      </w:r>
    </w:p>
    <w:p>
      <w:pPr>
        <w:adjustRightInd w:val="0"/>
        <w:snapToGrid w:val="0"/>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（2）20个项目绩效自评综述：</w:t>
      </w:r>
      <w:r>
        <w:rPr>
          <w:rFonts w:hint="eastAsia" w:ascii="仿宋_GB2312" w:eastAsia="仿宋_GB2312"/>
          <w:sz w:val="32"/>
          <w:szCs w:val="32"/>
        </w:rPr>
        <w:t>根据项目执行情况和项目绩效情况，项目的经济效益、社会效益、生态效益好、可持续影响明显，社会公众满意度高，经分析项目综合绩效评价分为90分，良好</w:t>
      </w:r>
      <w:r>
        <w:rPr>
          <w:rFonts w:hint="eastAsia" w:ascii="仿宋_GB2312" w:hAnsi="仿宋_GB2312" w:eastAsia="仿宋_GB2312" w:cs="仿宋_GB2312"/>
          <w:sz w:val="32"/>
          <w:szCs w:val="32"/>
        </w:rPr>
        <w:t>。</w:t>
      </w:r>
    </w:p>
    <w:p>
      <w:pPr>
        <w:spacing w:line="540" w:lineRule="exact"/>
        <w:ind w:firstLine="643" w:firstLineChars="200"/>
        <w:rPr>
          <w:rFonts w:ascii="仿宋_GB2312" w:eastAsia="仿宋_GB2312"/>
          <w:sz w:val="32"/>
          <w:szCs w:val="32"/>
        </w:rPr>
      </w:pPr>
      <w:r>
        <w:rPr>
          <w:rFonts w:hint="eastAsia" w:ascii="仿宋_GB2312" w:hAnsi="仿宋_GB2312" w:eastAsia="仿宋_GB2312" w:cs="仿宋_GB2312"/>
          <w:b/>
          <w:bCs/>
          <w:sz w:val="32"/>
          <w:szCs w:val="32"/>
        </w:rPr>
        <w:t>3.财政评价项目绩效评价结果，</w:t>
      </w:r>
      <w:r>
        <w:rPr>
          <w:rFonts w:hint="eastAsia" w:ascii="仿宋_GB2312" w:eastAsia="仿宋_GB2312"/>
          <w:sz w:val="32"/>
          <w:szCs w:val="32"/>
        </w:rPr>
        <w:t>项目管理制度健全、资金使用合规、财务监控有效，经分析项目实施过程分值为 90分。</w:t>
      </w:r>
    </w:p>
    <w:p>
      <w:pPr>
        <w:keepNext/>
        <w:keepLines/>
        <w:snapToGrid w:val="0"/>
        <w:spacing w:line="54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4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李村镇2019年度机关运行经费支出369.7万元，比2018年度增加28.1万元，增长7.6%。主要原因是环境卫生整治垃圾清运费用的增加。</w:t>
      </w:r>
    </w:p>
    <w:p>
      <w:pPr>
        <w:keepNext/>
        <w:keepLines/>
        <w:snapToGrid w:val="0"/>
        <w:spacing w:line="54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4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李村镇2019年度政府采购支出总额782.6万元，（项目支出已在2018年实施招投标），从采购类型来看，政府采购工程支出782.6万元。授予中小企业合同金782.6万元，占政府采购支出总额100%。</w:t>
      </w:r>
    </w:p>
    <w:p>
      <w:pPr>
        <w:keepNext/>
        <w:keepLines/>
        <w:snapToGrid w:val="0"/>
        <w:spacing w:line="54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截至2019年12月31日，本部门共有车辆2辆，比2018年增加0辆，无增减变化；单位价值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万元以上通用设备1台，比2018年增加1台，主要是鹿泉区综合执法大队调拨的大型清扫车一辆价值75.2万元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万元以上专用设备0台比2018年无增减变化。</w:t>
      </w:r>
    </w:p>
    <w:p>
      <w:pPr>
        <w:keepNext/>
        <w:keepLines/>
        <w:snapToGrid w:val="0"/>
        <w:spacing w:line="54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40" w:lineRule="exact"/>
        <w:ind w:firstLine="800" w:firstLineChars="250"/>
        <w:rPr>
          <w:rFonts w:ascii="仿宋" w:hAnsi="仿宋" w:eastAsia="仿宋"/>
          <w:sz w:val="32"/>
          <w:szCs w:val="32"/>
        </w:rPr>
      </w:pPr>
      <w:r>
        <w:rPr>
          <w:rFonts w:hint="eastAsia" w:ascii="仿宋_GB2312" w:hAnsi="Times New Roman" w:eastAsia="仿宋_GB2312" w:cs="DengXian-Regular"/>
          <w:sz w:val="32"/>
          <w:szCs w:val="32"/>
        </w:rPr>
        <w:t xml:space="preserve">1. </w:t>
      </w:r>
      <w:r>
        <w:rPr>
          <w:rFonts w:ascii="仿宋" w:hAnsi="仿宋" w:eastAsia="仿宋"/>
          <w:sz w:val="32"/>
          <w:szCs w:val="32"/>
        </w:rPr>
        <w:t>201</w:t>
      </w:r>
      <w:r>
        <w:rPr>
          <w:rFonts w:hint="eastAsia" w:ascii="仿宋" w:hAnsi="仿宋" w:eastAsia="仿宋"/>
          <w:sz w:val="32"/>
          <w:szCs w:val="32"/>
        </w:rPr>
        <w:t>9年李村镇没有国有资产经营预算财政拨款收入支出情况，故以空表列示。</w:t>
      </w:r>
    </w:p>
    <w:p>
      <w:p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4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spacing w:line="540" w:lineRule="exact"/>
        <w:jc w:val="center"/>
        <w:rPr>
          <w:rFonts w:ascii="黑体" w:hAnsi="黑体" w:eastAsia="黑体" w:cs="黑体"/>
          <w:sz w:val="56"/>
          <w:szCs w:val="72"/>
        </w:rPr>
      </w:pPr>
    </w:p>
    <w:p>
      <w:pPr>
        <w:spacing w:line="540" w:lineRule="exact"/>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spacing w:line="540" w:lineRule="exact"/>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251694080;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path/>
            <v:fill type="pattern" on="t" color2="#FFFFFF" o:title="image2" focussize="0,0" r:id="rId28"/>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95104;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path/>
            <v:fill type="pattern" on="t" color2="#FFFFFF" o:title="image2" focussize="0,0" r:id="rId28"/>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left"/>
      </w:pPr>
    </w:p>
    <w:tbl>
      <w:tblPr>
        <w:tblStyle w:val="7"/>
        <w:tblW w:w="11212" w:type="dxa"/>
        <w:tblInd w:w="-318" w:type="dxa"/>
        <w:tblLayout w:type="autofit"/>
        <w:tblCellMar>
          <w:top w:w="0" w:type="dxa"/>
          <w:left w:w="108" w:type="dxa"/>
          <w:bottom w:w="0" w:type="dxa"/>
          <w:right w:w="108" w:type="dxa"/>
        </w:tblCellMar>
      </w:tblPr>
      <w:tblGrid>
        <w:gridCol w:w="740"/>
        <w:gridCol w:w="546"/>
        <w:gridCol w:w="112"/>
        <w:gridCol w:w="9"/>
        <w:gridCol w:w="972"/>
        <w:gridCol w:w="477"/>
        <w:gridCol w:w="193"/>
        <w:gridCol w:w="743"/>
        <w:gridCol w:w="25"/>
        <w:gridCol w:w="86"/>
        <w:gridCol w:w="842"/>
        <w:gridCol w:w="150"/>
        <w:gridCol w:w="10"/>
        <w:gridCol w:w="76"/>
        <w:gridCol w:w="832"/>
        <w:gridCol w:w="206"/>
        <w:gridCol w:w="169"/>
        <w:gridCol w:w="124"/>
        <w:gridCol w:w="184"/>
        <w:gridCol w:w="936"/>
        <w:gridCol w:w="354"/>
        <w:gridCol w:w="55"/>
        <w:gridCol w:w="527"/>
        <w:gridCol w:w="315"/>
        <w:gridCol w:w="858"/>
        <w:gridCol w:w="99"/>
        <w:gridCol w:w="98"/>
        <w:gridCol w:w="188"/>
        <w:gridCol w:w="283"/>
        <w:gridCol w:w="767"/>
        <w:gridCol w:w="236"/>
      </w:tblGrid>
      <w:tr>
        <w:tblPrEx>
          <w:tblCellMar>
            <w:top w:w="0" w:type="dxa"/>
            <w:left w:w="108" w:type="dxa"/>
            <w:bottom w:w="0" w:type="dxa"/>
            <w:right w:w="108" w:type="dxa"/>
          </w:tblCellMar>
        </w:tblPrEx>
        <w:trPr>
          <w:gridAfter w:val="3"/>
          <w:wAfter w:w="1286" w:type="dxa"/>
          <w:trHeight w:val="390" w:hRule="atLeast"/>
        </w:trPr>
        <w:tc>
          <w:tcPr>
            <w:tcW w:w="9926" w:type="dxa"/>
            <w:gridSpan w:val="28"/>
            <w:tcBorders>
              <w:top w:val="nil"/>
              <w:left w:val="nil"/>
              <w:bottom w:val="nil"/>
              <w:right w:val="nil"/>
            </w:tcBorders>
            <w:shd w:val="clear" w:color="auto" w:fill="auto"/>
            <w:noWrap/>
            <w:vAlign w:val="bottom"/>
          </w:tcPr>
          <w:p>
            <w:pPr>
              <w:ind w:left="210" w:leftChars="100"/>
              <w:jc w:val="center"/>
              <w:rPr>
                <w:rFonts w:ascii="仿宋" w:hAnsi="仿宋" w:eastAsia="仿宋" w:cs="Arial"/>
                <w:color w:val="000000"/>
                <w:sz w:val="30"/>
                <w:szCs w:val="30"/>
              </w:rPr>
            </w:pPr>
            <w:r>
              <w:rPr>
                <w:rFonts w:hint="eastAsia" w:ascii="仿宋" w:hAnsi="仿宋" w:eastAsia="仿宋" w:cs="Arial"/>
                <w:color w:val="000000"/>
                <w:sz w:val="30"/>
                <w:szCs w:val="30"/>
              </w:rPr>
              <w:t xml:space="preserve">                  </w:t>
            </w:r>
            <w:r>
              <w:rPr>
                <w:rFonts w:hint="eastAsia" w:ascii="仿宋" w:hAnsi="仿宋" w:eastAsia="仿宋" w:cs="Arial"/>
                <w:b/>
                <w:color w:val="000000"/>
                <w:sz w:val="32"/>
                <w:szCs w:val="32"/>
              </w:rPr>
              <w:t xml:space="preserve"> 收入支出决算总表      </w:t>
            </w:r>
            <w:r>
              <w:rPr>
                <w:rFonts w:hint="eastAsia" w:ascii="仿宋" w:hAnsi="仿宋" w:eastAsia="仿宋" w:cs="Arial"/>
                <w:color w:val="000000"/>
                <w:sz w:val="30"/>
                <w:szCs w:val="30"/>
              </w:rPr>
              <w:t xml:space="preserve">         </w:t>
            </w:r>
            <w:r>
              <w:rPr>
                <w:rFonts w:hint="eastAsia" w:ascii="仿宋" w:hAnsi="仿宋" w:eastAsia="仿宋" w:cs="Arial"/>
                <w:color w:val="000000"/>
                <w:szCs w:val="21"/>
              </w:rPr>
              <w:t>公开01表</w:t>
            </w:r>
          </w:p>
        </w:tc>
      </w:tr>
      <w:tr>
        <w:tblPrEx>
          <w:tblCellMar>
            <w:top w:w="0" w:type="dxa"/>
            <w:left w:w="108" w:type="dxa"/>
            <w:bottom w:w="0" w:type="dxa"/>
            <w:right w:w="108" w:type="dxa"/>
          </w:tblCellMar>
        </w:tblPrEx>
        <w:trPr>
          <w:trHeight w:val="255" w:hRule="atLeast"/>
        </w:trPr>
        <w:tc>
          <w:tcPr>
            <w:tcW w:w="3817" w:type="dxa"/>
            <w:gridSpan w:val="9"/>
            <w:tcBorders>
              <w:top w:val="nil"/>
              <w:left w:val="nil"/>
              <w:bottom w:val="nil"/>
              <w:right w:val="nil"/>
            </w:tcBorders>
            <w:shd w:val="clear" w:color="auto" w:fill="auto"/>
            <w:noWrap/>
            <w:vAlign w:val="bottom"/>
          </w:tcPr>
          <w:p>
            <w:pPr>
              <w:rPr>
                <w:rFonts w:ascii="仿宋" w:hAnsi="仿宋" w:eastAsia="仿宋" w:cs="Arial"/>
                <w:color w:val="000000"/>
                <w:sz w:val="20"/>
                <w:szCs w:val="20"/>
              </w:rPr>
            </w:pPr>
          </w:p>
        </w:tc>
        <w:tc>
          <w:tcPr>
            <w:tcW w:w="928" w:type="dxa"/>
            <w:gridSpan w:val="2"/>
            <w:tcBorders>
              <w:top w:val="nil"/>
              <w:left w:val="nil"/>
              <w:bottom w:val="nil"/>
              <w:right w:val="nil"/>
            </w:tcBorders>
            <w:shd w:val="clear" w:color="auto" w:fill="auto"/>
            <w:noWrap/>
            <w:vAlign w:val="bottom"/>
          </w:tcPr>
          <w:p>
            <w:pPr>
              <w:rPr>
                <w:rFonts w:ascii="仿宋" w:hAnsi="仿宋" w:eastAsia="仿宋" w:cs="Arial"/>
                <w:color w:val="000000"/>
                <w:sz w:val="20"/>
                <w:szCs w:val="20"/>
              </w:rPr>
            </w:pPr>
          </w:p>
        </w:tc>
        <w:tc>
          <w:tcPr>
            <w:tcW w:w="236" w:type="dxa"/>
            <w:gridSpan w:val="3"/>
            <w:tcBorders>
              <w:top w:val="nil"/>
              <w:left w:val="nil"/>
              <w:bottom w:val="nil"/>
              <w:right w:val="nil"/>
            </w:tcBorders>
            <w:shd w:val="clear" w:color="auto" w:fill="auto"/>
            <w:noWrap/>
            <w:vAlign w:val="bottom"/>
          </w:tcPr>
          <w:p>
            <w:pPr>
              <w:rPr>
                <w:rFonts w:ascii="仿宋" w:hAnsi="仿宋" w:eastAsia="仿宋" w:cs="Arial"/>
                <w:color w:val="000000"/>
                <w:sz w:val="20"/>
                <w:szCs w:val="20"/>
              </w:rPr>
            </w:pPr>
          </w:p>
        </w:tc>
        <w:tc>
          <w:tcPr>
            <w:tcW w:w="4945" w:type="dxa"/>
            <w:gridSpan w:val="14"/>
            <w:tcBorders>
              <w:top w:val="nil"/>
              <w:left w:val="nil"/>
              <w:bottom w:val="nil"/>
              <w:right w:val="nil"/>
            </w:tcBorders>
            <w:shd w:val="clear" w:color="auto" w:fill="auto"/>
            <w:noWrap/>
            <w:vAlign w:val="bottom"/>
          </w:tcPr>
          <w:p>
            <w:pPr>
              <w:rPr>
                <w:rFonts w:ascii="仿宋" w:hAnsi="仿宋" w:eastAsia="仿宋" w:cs="Arial"/>
                <w:color w:val="000000"/>
                <w:sz w:val="20"/>
                <w:szCs w:val="20"/>
              </w:rPr>
            </w:pPr>
          </w:p>
        </w:tc>
        <w:tc>
          <w:tcPr>
            <w:tcW w:w="1050" w:type="dxa"/>
            <w:gridSpan w:val="2"/>
            <w:tcBorders>
              <w:top w:val="nil"/>
              <w:left w:val="nil"/>
              <w:bottom w:val="nil"/>
              <w:right w:val="nil"/>
            </w:tcBorders>
            <w:shd w:val="clear" w:color="auto" w:fill="auto"/>
            <w:noWrap/>
            <w:vAlign w:val="bottom"/>
          </w:tcPr>
          <w:p>
            <w:pPr>
              <w:rPr>
                <w:rFonts w:ascii="仿宋" w:hAnsi="仿宋" w:eastAsia="仿宋" w:cs="Arial"/>
                <w:color w:val="000000"/>
                <w:sz w:val="20"/>
                <w:szCs w:val="20"/>
              </w:rPr>
            </w:pPr>
          </w:p>
        </w:tc>
        <w:tc>
          <w:tcPr>
            <w:tcW w:w="236" w:type="dxa"/>
            <w:tcBorders>
              <w:top w:val="nil"/>
              <w:left w:val="nil"/>
              <w:bottom w:val="nil"/>
              <w:right w:val="nil"/>
            </w:tcBorders>
            <w:shd w:val="clear" w:color="auto" w:fill="auto"/>
            <w:noWrap/>
            <w:vAlign w:val="bottom"/>
          </w:tcPr>
          <w:p>
            <w:pPr>
              <w:jc w:val="right"/>
              <w:rPr>
                <w:rFonts w:ascii="仿宋" w:hAnsi="仿宋" w:eastAsia="仿宋" w:cs="Arial"/>
                <w:color w:val="000000"/>
                <w:sz w:val="20"/>
                <w:szCs w:val="20"/>
              </w:rPr>
            </w:pPr>
          </w:p>
        </w:tc>
      </w:tr>
      <w:tr>
        <w:tblPrEx>
          <w:tblCellMar>
            <w:top w:w="0" w:type="dxa"/>
            <w:left w:w="108" w:type="dxa"/>
            <w:bottom w:w="0" w:type="dxa"/>
            <w:right w:w="108" w:type="dxa"/>
          </w:tblCellMar>
        </w:tblPrEx>
        <w:trPr>
          <w:trHeight w:val="255" w:hRule="atLeast"/>
        </w:trPr>
        <w:tc>
          <w:tcPr>
            <w:tcW w:w="4895" w:type="dxa"/>
            <w:gridSpan w:val="12"/>
            <w:tcBorders>
              <w:top w:val="nil"/>
              <w:left w:val="nil"/>
              <w:bottom w:val="nil"/>
              <w:right w:val="nil"/>
            </w:tcBorders>
            <w:shd w:val="clear" w:color="auto" w:fill="auto"/>
            <w:noWrap/>
            <w:vAlign w:val="bottom"/>
          </w:tcPr>
          <w:p>
            <w:pPr>
              <w:rPr>
                <w:rFonts w:ascii="仿宋" w:hAnsi="仿宋" w:eastAsia="仿宋" w:cs="Arial"/>
                <w:color w:val="000000"/>
                <w:sz w:val="20"/>
                <w:szCs w:val="20"/>
              </w:rPr>
            </w:pPr>
            <w:r>
              <w:rPr>
                <w:rFonts w:hint="eastAsia" w:ascii="仿宋" w:hAnsi="仿宋" w:eastAsia="仿宋" w:cs="Arial"/>
                <w:color w:val="000000"/>
                <w:sz w:val="20"/>
                <w:szCs w:val="20"/>
              </w:rPr>
              <w:t>部门：石家庄市鹿泉区李村镇人民政府</w:t>
            </w:r>
          </w:p>
        </w:tc>
        <w:tc>
          <w:tcPr>
            <w:tcW w:w="5031" w:type="dxa"/>
            <w:gridSpan w:val="16"/>
            <w:tcBorders>
              <w:top w:val="nil"/>
              <w:left w:val="nil"/>
              <w:bottom w:val="nil"/>
              <w:right w:val="nil"/>
            </w:tcBorders>
            <w:shd w:val="clear" w:color="auto" w:fill="auto"/>
            <w:noWrap/>
            <w:vAlign w:val="bottom"/>
          </w:tcPr>
          <w:p>
            <w:pPr>
              <w:ind w:firstLine="3300" w:firstLineChars="1650"/>
              <w:rPr>
                <w:rFonts w:ascii="仿宋" w:hAnsi="仿宋" w:eastAsia="仿宋" w:cs="Arial"/>
                <w:color w:val="000000"/>
                <w:sz w:val="20"/>
                <w:szCs w:val="20"/>
              </w:rPr>
            </w:pPr>
            <w:r>
              <w:rPr>
                <w:rFonts w:ascii="仿宋" w:hAnsi="仿宋" w:eastAsia="仿宋" w:cs="Arial"/>
                <w:color w:val="000000"/>
                <w:sz w:val="20"/>
                <w:szCs w:val="20"/>
              </w:rPr>
              <w:t>金额单位</w:t>
            </w:r>
            <w:r>
              <w:rPr>
                <w:rFonts w:hint="eastAsia" w:ascii="仿宋" w:hAnsi="仿宋" w:eastAsia="仿宋" w:cs="Arial"/>
                <w:color w:val="000000"/>
                <w:sz w:val="20"/>
                <w:szCs w:val="20"/>
              </w:rPr>
              <w:t>：</w:t>
            </w:r>
            <w:r>
              <w:rPr>
                <w:rFonts w:ascii="仿宋" w:hAnsi="仿宋" w:eastAsia="仿宋" w:cs="Arial"/>
                <w:color w:val="000000"/>
                <w:sz w:val="20"/>
                <w:szCs w:val="20"/>
              </w:rPr>
              <w:t>万元</w:t>
            </w:r>
          </w:p>
        </w:tc>
        <w:tc>
          <w:tcPr>
            <w:tcW w:w="1050" w:type="dxa"/>
            <w:gridSpan w:val="2"/>
            <w:tcBorders>
              <w:top w:val="nil"/>
              <w:left w:val="nil"/>
              <w:bottom w:val="nil"/>
              <w:right w:val="nil"/>
            </w:tcBorders>
            <w:shd w:val="clear" w:color="auto" w:fill="auto"/>
            <w:noWrap/>
            <w:vAlign w:val="bottom"/>
          </w:tcPr>
          <w:p>
            <w:pPr>
              <w:rPr>
                <w:rFonts w:ascii="仿宋" w:hAnsi="仿宋" w:eastAsia="仿宋" w:cs="Arial"/>
                <w:color w:val="000000"/>
                <w:sz w:val="20"/>
                <w:szCs w:val="20"/>
              </w:rPr>
            </w:pPr>
          </w:p>
        </w:tc>
        <w:tc>
          <w:tcPr>
            <w:tcW w:w="236" w:type="dxa"/>
            <w:tcBorders>
              <w:top w:val="nil"/>
              <w:left w:val="nil"/>
              <w:bottom w:val="nil"/>
              <w:right w:val="nil"/>
            </w:tcBorders>
            <w:shd w:val="clear" w:color="auto" w:fill="auto"/>
            <w:noWrap/>
            <w:vAlign w:val="bottom"/>
          </w:tcPr>
          <w:p>
            <w:pPr>
              <w:jc w:val="right"/>
              <w:rPr>
                <w:rFonts w:ascii="仿宋" w:hAnsi="仿宋" w:eastAsia="仿宋" w:cs="Arial"/>
                <w:color w:val="000000"/>
                <w:sz w:val="20"/>
                <w:szCs w:val="20"/>
              </w:rPr>
            </w:pPr>
          </w:p>
        </w:tc>
      </w:tr>
      <w:tr>
        <w:tblPrEx>
          <w:tblCellMar>
            <w:top w:w="0" w:type="dxa"/>
            <w:left w:w="108" w:type="dxa"/>
            <w:bottom w:w="0" w:type="dxa"/>
            <w:right w:w="108" w:type="dxa"/>
          </w:tblCellMar>
        </w:tblPrEx>
        <w:trPr>
          <w:gridAfter w:val="3"/>
          <w:wAfter w:w="1286" w:type="dxa"/>
          <w:trHeight w:val="308" w:hRule="atLeast"/>
        </w:trPr>
        <w:tc>
          <w:tcPr>
            <w:tcW w:w="4895" w:type="dxa"/>
            <w:gridSpan w:val="1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收入</w:t>
            </w:r>
          </w:p>
        </w:tc>
        <w:tc>
          <w:tcPr>
            <w:tcW w:w="5031" w:type="dxa"/>
            <w:gridSpan w:val="16"/>
            <w:tcBorders>
              <w:top w:val="single" w:color="000000" w:sz="4" w:space="0"/>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支出</w:t>
            </w:r>
          </w:p>
        </w:tc>
      </w:tr>
      <w:tr>
        <w:tblPrEx>
          <w:tblCellMar>
            <w:top w:w="0" w:type="dxa"/>
            <w:left w:w="108" w:type="dxa"/>
            <w:bottom w:w="0" w:type="dxa"/>
            <w:right w:w="108" w:type="dxa"/>
          </w:tblCellMar>
        </w:tblPrEx>
        <w:trPr>
          <w:gridAfter w:val="3"/>
          <w:wAfter w:w="1286" w:type="dxa"/>
          <w:trHeight w:val="493"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项目</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行次</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金额</w:t>
            </w:r>
          </w:p>
        </w:tc>
        <w:tc>
          <w:tcPr>
            <w:tcW w:w="2946" w:type="dxa"/>
            <w:gridSpan w:val="10"/>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项目</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行次</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金额</w:t>
            </w:r>
          </w:p>
        </w:tc>
      </w:tr>
      <w:tr>
        <w:tblPrEx>
          <w:tblCellMar>
            <w:top w:w="0" w:type="dxa"/>
            <w:left w:w="108" w:type="dxa"/>
            <w:bottom w:w="0" w:type="dxa"/>
            <w:right w:w="108" w:type="dxa"/>
          </w:tblCellMar>
        </w:tblPrEx>
        <w:trPr>
          <w:gridAfter w:val="3"/>
          <w:wAfter w:w="1286" w:type="dxa"/>
          <w:trHeight w:val="308"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栏次</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　</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1</w:t>
            </w:r>
          </w:p>
        </w:tc>
        <w:tc>
          <w:tcPr>
            <w:tcW w:w="2946" w:type="dxa"/>
            <w:gridSpan w:val="10"/>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栏次</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　</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2</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一、一般公共预算财政拨款收入</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1</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3,521.86</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一、一般公共服务支出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29</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1,206.11</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二、政府性基金预算财政拨款收入</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2</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782.58</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二、外交支出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30</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三、上级补助收入</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3</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三、国防支出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31</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四、事业收入</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4</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四、公共安全支出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32</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五、经营收入</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5</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五、教育支出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33</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207.48</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六、附属单位上缴收入</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6</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六、科学技术支出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34</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七、其他收入</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7</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362.22</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七、文化旅游体育与传媒支出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35</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8</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八、社会保障和就业支出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36</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72.73</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9</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九、卫生健康支出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37</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53.19</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10</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十、节能环保支出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38</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1,191.93</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11</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十一、城乡社区支出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39</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935.49</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12</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十二、农林水支出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40</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236.38</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13</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十三、交通运输支出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41</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14</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十四、资源勘探信息等支出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42</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15</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十五、商业服务业等支出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43</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16</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十六、金融支出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44</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17</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十七、援助其他地区支出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45</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18</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十八、自然资源海洋气象等支出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46</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19</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十九、住房保障支出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47</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20</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二十、粮油物资储备支出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48</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3"/>
          <w:wAfter w:w="1286" w:type="dxa"/>
          <w:trHeight w:val="479"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21</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二十一、灾害防治及应急管理支出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49</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5.00</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22</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二十二、其他支出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50</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23</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二十四、债务付息支出</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51</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jc w:val="center"/>
              <w:rPr>
                <w:rFonts w:ascii="仿宋" w:hAnsi="仿宋" w:eastAsia="仿宋" w:cs="Arial"/>
                <w:b/>
                <w:bCs/>
                <w:color w:val="000000"/>
                <w:sz w:val="18"/>
                <w:szCs w:val="18"/>
              </w:rPr>
            </w:pPr>
            <w:r>
              <w:rPr>
                <w:rFonts w:hint="eastAsia" w:ascii="仿宋" w:hAnsi="仿宋" w:eastAsia="仿宋" w:cs="Arial"/>
                <w:b/>
                <w:bCs/>
                <w:color w:val="000000"/>
                <w:sz w:val="18"/>
                <w:szCs w:val="18"/>
              </w:rPr>
              <w:t>本年收入合计</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24</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4,666.66</w:t>
            </w:r>
          </w:p>
        </w:tc>
        <w:tc>
          <w:tcPr>
            <w:tcW w:w="2946" w:type="dxa"/>
            <w:gridSpan w:val="10"/>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b/>
                <w:bCs/>
                <w:color w:val="000000"/>
                <w:sz w:val="18"/>
                <w:szCs w:val="18"/>
              </w:rPr>
            </w:pPr>
            <w:r>
              <w:rPr>
                <w:rFonts w:hint="eastAsia" w:ascii="仿宋" w:hAnsi="仿宋" w:eastAsia="仿宋" w:cs="Arial"/>
                <w:b/>
                <w:bCs/>
                <w:color w:val="000000"/>
                <w:sz w:val="18"/>
                <w:szCs w:val="18"/>
              </w:rPr>
              <w:t>本年支出合计</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52</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3,908.31</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用事业基金弥补收支差额</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25</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结余分配</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53</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年初结转和结余</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26</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年末结转和结余</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54</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758.35</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27</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　</w:t>
            </w:r>
          </w:p>
        </w:tc>
        <w:tc>
          <w:tcPr>
            <w:tcW w:w="2946" w:type="dxa"/>
            <w:gridSpan w:val="10"/>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55</w:t>
            </w:r>
          </w:p>
        </w:tc>
        <w:tc>
          <w:tcPr>
            <w:tcW w:w="1243" w:type="dxa"/>
            <w:gridSpan w:val="4"/>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w:t>
            </w:r>
          </w:p>
        </w:tc>
      </w:tr>
      <w:tr>
        <w:tblPrEx>
          <w:tblCellMar>
            <w:top w:w="0" w:type="dxa"/>
            <w:left w:w="108" w:type="dxa"/>
            <w:bottom w:w="0" w:type="dxa"/>
            <w:right w:w="108" w:type="dxa"/>
          </w:tblCellMar>
        </w:tblPrEx>
        <w:trPr>
          <w:gridAfter w:val="3"/>
          <w:wAfter w:w="1286" w:type="dxa"/>
          <w:trHeight w:val="330" w:hRule="atLeast"/>
        </w:trPr>
        <w:tc>
          <w:tcPr>
            <w:tcW w:w="3049" w:type="dxa"/>
            <w:gridSpan w:val="7"/>
            <w:tcBorders>
              <w:top w:val="nil"/>
              <w:left w:val="single" w:color="000000" w:sz="4" w:space="0"/>
              <w:bottom w:val="single" w:color="000000" w:sz="4" w:space="0"/>
              <w:right w:val="single" w:color="000000" w:sz="4" w:space="0"/>
            </w:tcBorders>
            <w:shd w:val="clear" w:color="auto" w:fill="auto"/>
            <w:noWrap/>
            <w:vAlign w:val="center"/>
          </w:tcPr>
          <w:p>
            <w:pPr>
              <w:jc w:val="center"/>
              <w:rPr>
                <w:rFonts w:ascii="仿宋" w:hAnsi="仿宋" w:eastAsia="仿宋" w:cs="Arial"/>
                <w:b/>
                <w:bCs/>
                <w:color w:val="000000"/>
                <w:sz w:val="18"/>
                <w:szCs w:val="18"/>
              </w:rPr>
            </w:pPr>
            <w:r>
              <w:rPr>
                <w:rFonts w:hint="eastAsia" w:ascii="仿宋" w:hAnsi="仿宋" w:eastAsia="仿宋" w:cs="Arial"/>
                <w:b/>
                <w:bCs/>
                <w:color w:val="000000"/>
                <w:sz w:val="18"/>
                <w:szCs w:val="18"/>
              </w:rPr>
              <w:t>总计</w:t>
            </w:r>
          </w:p>
        </w:tc>
        <w:tc>
          <w:tcPr>
            <w:tcW w:w="854" w:type="dxa"/>
            <w:gridSpan w:val="3"/>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28</w:t>
            </w:r>
          </w:p>
        </w:tc>
        <w:tc>
          <w:tcPr>
            <w:tcW w:w="992" w:type="dxa"/>
            <w:gridSpan w:val="2"/>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4,666.66</w:t>
            </w:r>
          </w:p>
        </w:tc>
        <w:tc>
          <w:tcPr>
            <w:tcW w:w="2946" w:type="dxa"/>
            <w:gridSpan w:val="10"/>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b/>
                <w:bCs/>
                <w:color w:val="000000"/>
                <w:sz w:val="18"/>
                <w:szCs w:val="18"/>
              </w:rPr>
            </w:pPr>
            <w:r>
              <w:rPr>
                <w:rFonts w:hint="eastAsia" w:ascii="仿宋" w:hAnsi="仿宋" w:eastAsia="仿宋" w:cs="Arial"/>
                <w:b/>
                <w:bCs/>
                <w:color w:val="000000"/>
                <w:sz w:val="18"/>
                <w:szCs w:val="18"/>
              </w:rPr>
              <w:t>总计</w:t>
            </w:r>
          </w:p>
        </w:tc>
        <w:tc>
          <w:tcPr>
            <w:tcW w:w="842" w:type="dxa"/>
            <w:gridSpan w:val="2"/>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56</w:t>
            </w:r>
          </w:p>
        </w:tc>
        <w:tc>
          <w:tcPr>
            <w:tcW w:w="1243"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4,666.66</w:t>
            </w:r>
          </w:p>
        </w:tc>
      </w:tr>
      <w:tr>
        <w:tblPrEx>
          <w:tblCellMar>
            <w:top w:w="0" w:type="dxa"/>
            <w:left w:w="108" w:type="dxa"/>
            <w:bottom w:w="0" w:type="dxa"/>
            <w:right w:w="108" w:type="dxa"/>
          </w:tblCellMar>
        </w:tblPrEx>
        <w:trPr>
          <w:gridAfter w:val="3"/>
          <w:wAfter w:w="1286" w:type="dxa"/>
          <w:trHeight w:val="308" w:hRule="atLeast"/>
        </w:trPr>
        <w:tc>
          <w:tcPr>
            <w:tcW w:w="9926" w:type="dxa"/>
            <w:gridSpan w:val="28"/>
            <w:tcBorders>
              <w:top w:val="nil"/>
              <w:left w:val="nil"/>
              <w:bottom w:val="nil"/>
              <w:right w:val="nil"/>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注：本表反映部门本年度的总收支和年末结转结余情况。</w:t>
            </w:r>
          </w:p>
        </w:tc>
      </w:tr>
      <w:tr>
        <w:tblPrEx>
          <w:tblCellMar>
            <w:top w:w="0" w:type="dxa"/>
            <w:left w:w="108" w:type="dxa"/>
            <w:bottom w:w="0" w:type="dxa"/>
            <w:right w:w="108" w:type="dxa"/>
          </w:tblCellMar>
        </w:tblPrEx>
        <w:trPr>
          <w:gridAfter w:val="2"/>
          <w:wAfter w:w="1003" w:type="dxa"/>
          <w:trHeight w:val="420" w:hRule="atLeast"/>
        </w:trPr>
        <w:tc>
          <w:tcPr>
            <w:tcW w:w="8683" w:type="dxa"/>
            <w:gridSpan w:val="24"/>
            <w:tcBorders>
              <w:top w:val="nil"/>
              <w:left w:val="nil"/>
              <w:bottom w:val="nil"/>
              <w:right w:val="nil"/>
            </w:tcBorders>
            <w:shd w:val="clear" w:color="auto" w:fill="auto"/>
            <w:noWrap/>
            <w:vAlign w:val="bottom"/>
          </w:tcPr>
          <w:p>
            <w:pPr>
              <w:jc w:val="center"/>
              <w:rPr>
                <w:rFonts w:hint="eastAsia" w:ascii="仿宋" w:hAnsi="仿宋" w:eastAsia="仿宋" w:cs="Arial"/>
                <w:b/>
                <w:bCs/>
                <w:color w:val="000000"/>
                <w:sz w:val="24"/>
                <w:szCs w:val="24"/>
              </w:rPr>
            </w:pPr>
          </w:p>
          <w:p>
            <w:pPr>
              <w:jc w:val="center"/>
              <w:rPr>
                <w:rFonts w:hint="eastAsia" w:ascii="仿宋" w:hAnsi="仿宋" w:eastAsia="仿宋" w:cs="Arial"/>
                <w:b/>
                <w:bCs/>
                <w:color w:val="000000"/>
                <w:sz w:val="30"/>
                <w:szCs w:val="30"/>
              </w:rPr>
            </w:pPr>
            <w:r>
              <w:rPr>
                <w:rFonts w:hint="eastAsia" w:ascii="仿宋" w:hAnsi="仿宋" w:eastAsia="仿宋" w:cs="Arial"/>
                <w:b/>
                <w:bCs/>
                <w:color w:val="000000"/>
                <w:sz w:val="30"/>
                <w:szCs w:val="30"/>
              </w:rPr>
              <w:t xml:space="preserve">       </w:t>
            </w:r>
          </w:p>
          <w:p>
            <w:pPr>
              <w:jc w:val="center"/>
              <w:rPr>
                <w:rFonts w:ascii="仿宋" w:hAnsi="仿宋" w:eastAsia="仿宋" w:cs="Arial"/>
                <w:b/>
                <w:bCs/>
                <w:color w:val="000000"/>
                <w:sz w:val="32"/>
                <w:szCs w:val="32"/>
              </w:rPr>
            </w:pPr>
            <w:r>
              <w:rPr>
                <w:rFonts w:hint="eastAsia" w:ascii="仿宋" w:hAnsi="仿宋" w:eastAsia="仿宋" w:cs="Arial"/>
                <w:b/>
                <w:bCs/>
                <w:color w:val="000000"/>
                <w:sz w:val="30"/>
                <w:szCs w:val="30"/>
              </w:rPr>
              <w:t xml:space="preserve">  </w:t>
            </w:r>
            <w:r>
              <w:rPr>
                <w:rFonts w:hint="eastAsia" w:ascii="仿宋" w:hAnsi="仿宋" w:eastAsia="仿宋" w:cs="Arial"/>
                <w:b/>
                <w:bCs/>
                <w:color w:val="000000"/>
                <w:sz w:val="32"/>
                <w:szCs w:val="32"/>
              </w:rPr>
              <w:t xml:space="preserve"> 收入决算表</w:t>
            </w:r>
          </w:p>
        </w:tc>
        <w:tc>
          <w:tcPr>
            <w:tcW w:w="1526" w:type="dxa"/>
            <w:gridSpan w:val="5"/>
            <w:tcBorders>
              <w:top w:val="nil"/>
              <w:left w:val="nil"/>
              <w:bottom w:val="nil"/>
              <w:right w:val="nil"/>
            </w:tcBorders>
            <w:shd w:val="clear" w:color="auto" w:fill="auto"/>
            <w:noWrap/>
            <w:vAlign w:val="bottom"/>
          </w:tcPr>
          <w:p>
            <w:pPr>
              <w:jc w:val="right"/>
              <w:rPr>
                <w:rFonts w:hint="eastAsia" w:ascii="仿宋" w:hAnsi="仿宋" w:eastAsia="仿宋" w:cs="Arial"/>
                <w:color w:val="000000"/>
                <w:sz w:val="20"/>
                <w:szCs w:val="20"/>
              </w:rPr>
            </w:pPr>
          </w:p>
          <w:p>
            <w:pPr>
              <w:jc w:val="right"/>
              <w:rPr>
                <w:rFonts w:hint="eastAsia" w:ascii="仿宋" w:hAnsi="仿宋" w:eastAsia="仿宋" w:cs="Arial"/>
                <w:color w:val="000000"/>
                <w:sz w:val="20"/>
                <w:szCs w:val="20"/>
              </w:rPr>
            </w:pPr>
          </w:p>
          <w:p>
            <w:pPr>
              <w:jc w:val="right"/>
              <w:rPr>
                <w:rFonts w:hint="eastAsia" w:ascii="仿宋" w:hAnsi="仿宋" w:eastAsia="仿宋" w:cs="Arial"/>
                <w:color w:val="000000"/>
                <w:sz w:val="20"/>
                <w:szCs w:val="20"/>
              </w:rPr>
            </w:pPr>
          </w:p>
          <w:p>
            <w:pPr>
              <w:jc w:val="right"/>
              <w:rPr>
                <w:rFonts w:ascii="仿宋" w:hAnsi="仿宋" w:eastAsia="仿宋" w:cs="Arial"/>
                <w:color w:val="000000"/>
                <w:sz w:val="20"/>
                <w:szCs w:val="20"/>
              </w:rPr>
            </w:pPr>
            <w:r>
              <w:rPr>
                <w:rFonts w:hint="eastAsia" w:ascii="仿宋" w:hAnsi="仿宋" w:eastAsia="仿宋" w:cs="Arial"/>
                <w:color w:val="000000"/>
                <w:sz w:val="20"/>
                <w:szCs w:val="20"/>
              </w:rPr>
              <w:t>公开02表</w:t>
            </w:r>
          </w:p>
        </w:tc>
      </w:tr>
      <w:tr>
        <w:tblPrEx>
          <w:tblCellMar>
            <w:top w:w="0" w:type="dxa"/>
            <w:left w:w="108" w:type="dxa"/>
            <w:bottom w:w="0" w:type="dxa"/>
            <w:right w:w="108" w:type="dxa"/>
          </w:tblCellMar>
        </w:tblPrEx>
        <w:trPr>
          <w:gridAfter w:val="2"/>
          <w:wAfter w:w="1003" w:type="dxa"/>
          <w:trHeight w:val="360" w:hRule="atLeast"/>
        </w:trPr>
        <w:tc>
          <w:tcPr>
            <w:tcW w:w="5813" w:type="dxa"/>
            <w:gridSpan w:val="15"/>
            <w:tcBorders>
              <w:top w:val="nil"/>
              <w:left w:val="nil"/>
              <w:bottom w:val="nil"/>
              <w:right w:val="nil"/>
            </w:tcBorders>
            <w:shd w:val="clear" w:color="auto" w:fill="auto"/>
            <w:noWrap/>
            <w:vAlign w:val="bottom"/>
          </w:tcPr>
          <w:p>
            <w:pPr>
              <w:rPr>
                <w:rFonts w:ascii="仿宋" w:hAnsi="仿宋" w:eastAsia="仿宋" w:cs="Arial"/>
                <w:color w:val="000000"/>
                <w:sz w:val="18"/>
                <w:szCs w:val="18"/>
              </w:rPr>
            </w:pPr>
            <w:r>
              <w:rPr>
                <w:rFonts w:hint="eastAsia" w:ascii="仿宋" w:hAnsi="仿宋" w:eastAsia="仿宋" w:cs="Arial"/>
                <w:color w:val="000000"/>
                <w:sz w:val="18"/>
                <w:szCs w:val="18"/>
              </w:rPr>
              <w:t>部门：石家庄市鹿泉区李村镇人民政府</w:t>
            </w:r>
          </w:p>
        </w:tc>
        <w:tc>
          <w:tcPr>
            <w:tcW w:w="1619" w:type="dxa"/>
            <w:gridSpan w:val="5"/>
            <w:tcBorders>
              <w:top w:val="nil"/>
              <w:left w:val="nil"/>
              <w:bottom w:val="nil"/>
              <w:right w:val="nil"/>
            </w:tcBorders>
            <w:shd w:val="clear" w:color="auto" w:fill="auto"/>
            <w:noWrap/>
            <w:vAlign w:val="bottom"/>
          </w:tcPr>
          <w:p>
            <w:pPr>
              <w:rPr>
                <w:rFonts w:ascii="仿宋" w:hAnsi="仿宋" w:eastAsia="仿宋" w:cs="Arial"/>
                <w:color w:val="000000"/>
                <w:sz w:val="18"/>
                <w:szCs w:val="18"/>
              </w:rPr>
            </w:pPr>
          </w:p>
        </w:tc>
        <w:tc>
          <w:tcPr>
            <w:tcW w:w="1251" w:type="dxa"/>
            <w:gridSpan w:val="4"/>
            <w:tcBorders>
              <w:top w:val="nil"/>
              <w:left w:val="nil"/>
              <w:bottom w:val="nil"/>
              <w:right w:val="nil"/>
            </w:tcBorders>
            <w:shd w:val="clear" w:color="auto" w:fill="auto"/>
            <w:noWrap/>
            <w:vAlign w:val="bottom"/>
          </w:tcPr>
          <w:p>
            <w:pPr>
              <w:rPr>
                <w:rFonts w:ascii="仿宋" w:hAnsi="仿宋" w:eastAsia="仿宋" w:cs="Arial"/>
                <w:color w:val="000000"/>
                <w:sz w:val="18"/>
                <w:szCs w:val="18"/>
              </w:rPr>
            </w:pPr>
          </w:p>
        </w:tc>
        <w:tc>
          <w:tcPr>
            <w:tcW w:w="1526" w:type="dxa"/>
            <w:gridSpan w:val="5"/>
            <w:tcBorders>
              <w:top w:val="nil"/>
              <w:left w:val="nil"/>
              <w:bottom w:val="nil"/>
              <w:right w:val="nil"/>
            </w:tcBorders>
            <w:shd w:val="clear" w:color="auto" w:fill="auto"/>
            <w:noWrap/>
            <w:vAlign w:val="bottom"/>
          </w:tcPr>
          <w:p>
            <w:pPr>
              <w:jc w:val="right"/>
              <w:rPr>
                <w:rFonts w:ascii="仿宋" w:hAnsi="仿宋" w:eastAsia="仿宋" w:cs="Arial"/>
                <w:color w:val="000000"/>
                <w:sz w:val="18"/>
                <w:szCs w:val="18"/>
              </w:rPr>
            </w:pPr>
            <w:r>
              <w:rPr>
                <w:rFonts w:hint="eastAsia" w:ascii="仿宋" w:hAnsi="仿宋" w:eastAsia="仿宋" w:cs="Arial"/>
                <w:color w:val="000000"/>
                <w:sz w:val="18"/>
                <w:szCs w:val="18"/>
              </w:rPr>
              <w:t>金额单位：万元</w:t>
            </w:r>
          </w:p>
        </w:tc>
      </w:tr>
      <w:tr>
        <w:tblPrEx>
          <w:tblCellMar>
            <w:top w:w="0" w:type="dxa"/>
            <w:left w:w="108" w:type="dxa"/>
            <w:bottom w:w="0" w:type="dxa"/>
            <w:right w:w="108" w:type="dxa"/>
          </w:tblCellMar>
        </w:tblPrEx>
        <w:trPr>
          <w:gridAfter w:val="2"/>
          <w:wAfter w:w="1003" w:type="dxa"/>
          <w:trHeight w:val="308" w:hRule="atLeast"/>
        </w:trPr>
        <w:tc>
          <w:tcPr>
            <w:tcW w:w="5813" w:type="dxa"/>
            <w:gridSpan w:val="15"/>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项目</w:t>
            </w:r>
          </w:p>
        </w:tc>
        <w:tc>
          <w:tcPr>
            <w:tcW w:w="1619" w:type="dxa"/>
            <w:gridSpan w:val="5"/>
            <w:vMerge w:val="restart"/>
            <w:tcBorders>
              <w:top w:val="single" w:color="000000" w:sz="4" w:space="0"/>
              <w:left w:val="nil"/>
              <w:bottom w:val="single" w:color="000000" w:sz="4" w:space="0"/>
              <w:right w:val="single" w:color="000000" w:sz="4" w:space="0"/>
            </w:tcBorders>
            <w:shd w:val="clear" w:color="auto" w:fill="auto"/>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本年收入合计</w:t>
            </w:r>
          </w:p>
        </w:tc>
        <w:tc>
          <w:tcPr>
            <w:tcW w:w="1251" w:type="dxa"/>
            <w:gridSpan w:val="4"/>
            <w:vMerge w:val="restart"/>
            <w:tcBorders>
              <w:top w:val="single" w:color="000000" w:sz="4" w:space="0"/>
              <w:left w:val="nil"/>
              <w:bottom w:val="single" w:color="000000" w:sz="4" w:space="0"/>
              <w:right w:val="single" w:color="000000" w:sz="4" w:space="0"/>
            </w:tcBorders>
            <w:shd w:val="clear" w:color="auto" w:fill="auto"/>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财政拨款收入</w:t>
            </w:r>
          </w:p>
        </w:tc>
        <w:tc>
          <w:tcPr>
            <w:tcW w:w="1526" w:type="dxa"/>
            <w:gridSpan w:val="5"/>
            <w:vMerge w:val="restart"/>
            <w:tcBorders>
              <w:top w:val="single" w:color="000000" w:sz="4" w:space="0"/>
              <w:left w:val="nil"/>
              <w:bottom w:val="single" w:color="000000" w:sz="4" w:space="0"/>
              <w:right w:val="single" w:color="000000" w:sz="4" w:space="0"/>
            </w:tcBorders>
            <w:shd w:val="clear" w:color="auto" w:fill="auto"/>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其他收入</w:t>
            </w:r>
          </w:p>
        </w:tc>
      </w:tr>
      <w:tr>
        <w:tblPrEx>
          <w:tblCellMar>
            <w:top w:w="0" w:type="dxa"/>
            <w:left w:w="108" w:type="dxa"/>
            <w:bottom w:w="0" w:type="dxa"/>
            <w:right w:w="108" w:type="dxa"/>
          </w:tblCellMar>
        </w:tblPrEx>
        <w:trPr>
          <w:gridAfter w:val="2"/>
          <w:wAfter w:w="1003" w:type="dxa"/>
          <w:trHeight w:val="312" w:hRule="atLeast"/>
        </w:trPr>
        <w:tc>
          <w:tcPr>
            <w:tcW w:w="1407" w:type="dxa"/>
            <w:gridSpan w:val="4"/>
            <w:vMerge w:val="restart"/>
            <w:tcBorders>
              <w:top w:val="nil"/>
              <w:left w:val="single" w:color="000000" w:sz="4" w:space="0"/>
              <w:bottom w:val="single" w:color="000000" w:sz="4" w:space="0"/>
              <w:right w:val="single" w:color="000000" w:sz="4" w:space="0"/>
            </w:tcBorders>
            <w:shd w:val="clear" w:color="auto" w:fill="auto"/>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功能分类科目编码</w:t>
            </w:r>
          </w:p>
        </w:tc>
        <w:tc>
          <w:tcPr>
            <w:tcW w:w="4406" w:type="dxa"/>
            <w:gridSpan w:val="11"/>
            <w:vMerge w:val="restart"/>
            <w:tcBorders>
              <w:top w:val="nil"/>
              <w:left w:val="nil"/>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科目名称</w:t>
            </w:r>
          </w:p>
        </w:tc>
        <w:tc>
          <w:tcPr>
            <w:tcW w:w="1619" w:type="dxa"/>
            <w:gridSpan w:val="5"/>
            <w:vMerge w:val="continue"/>
            <w:tcBorders>
              <w:top w:val="single" w:color="000000" w:sz="4" w:space="0"/>
              <w:left w:val="nil"/>
              <w:bottom w:val="single" w:color="000000" w:sz="4" w:space="0"/>
              <w:right w:val="single" w:color="000000" w:sz="4" w:space="0"/>
            </w:tcBorders>
            <w:vAlign w:val="center"/>
          </w:tcPr>
          <w:p>
            <w:pPr>
              <w:rPr>
                <w:rFonts w:ascii="仿宋" w:hAnsi="仿宋" w:eastAsia="仿宋" w:cs="Arial"/>
                <w:color w:val="000000"/>
                <w:sz w:val="18"/>
                <w:szCs w:val="18"/>
              </w:rPr>
            </w:pPr>
          </w:p>
        </w:tc>
        <w:tc>
          <w:tcPr>
            <w:tcW w:w="1251" w:type="dxa"/>
            <w:gridSpan w:val="4"/>
            <w:vMerge w:val="continue"/>
            <w:tcBorders>
              <w:top w:val="single" w:color="000000" w:sz="4" w:space="0"/>
              <w:left w:val="nil"/>
              <w:bottom w:val="single" w:color="000000" w:sz="4" w:space="0"/>
              <w:right w:val="single" w:color="000000" w:sz="4" w:space="0"/>
            </w:tcBorders>
            <w:vAlign w:val="center"/>
          </w:tcPr>
          <w:p>
            <w:pPr>
              <w:rPr>
                <w:rFonts w:ascii="仿宋" w:hAnsi="仿宋" w:eastAsia="仿宋" w:cs="Arial"/>
                <w:color w:val="000000"/>
                <w:sz w:val="18"/>
                <w:szCs w:val="18"/>
              </w:rPr>
            </w:pPr>
          </w:p>
        </w:tc>
        <w:tc>
          <w:tcPr>
            <w:tcW w:w="1526" w:type="dxa"/>
            <w:gridSpan w:val="5"/>
            <w:vMerge w:val="continue"/>
            <w:tcBorders>
              <w:top w:val="single" w:color="000000" w:sz="4" w:space="0"/>
              <w:left w:val="nil"/>
              <w:bottom w:val="single" w:color="000000" w:sz="4" w:space="0"/>
              <w:right w:val="single" w:color="000000" w:sz="4" w:space="0"/>
            </w:tcBorders>
            <w:vAlign w:val="center"/>
          </w:tcPr>
          <w:p>
            <w:pPr>
              <w:rPr>
                <w:rFonts w:ascii="仿宋" w:hAnsi="仿宋" w:eastAsia="仿宋" w:cs="Arial"/>
                <w:color w:val="000000"/>
                <w:sz w:val="18"/>
                <w:szCs w:val="18"/>
              </w:rPr>
            </w:pPr>
          </w:p>
        </w:tc>
      </w:tr>
      <w:tr>
        <w:tblPrEx>
          <w:tblCellMar>
            <w:top w:w="0" w:type="dxa"/>
            <w:left w:w="108" w:type="dxa"/>
            <w:bottom w:w="0" w:type="dxa"/>
            <w:right w:w="108" w:type="dxa"/>
          </w:tblCellMar>
        </w:tblPrEx>
        <w:trPr>
          <w:gridAfter w:val="2"/>
          <w:wAfter w:w="1003" w:type="dxa"/>
          <w:trHeight w:val="312" w:hRule="atLeast"/>
        </w:trPr>
        <w:tc>
          <w:tcPr>
            <w:tcW w:w="1407" w:type="dxa"/>
            <w:gridSpan w:val="4"/>
            <w:vMerge w:val="continue"/>
            <w:tcBorders>
              <w:top w:val="nil"/>
              <w:left w:val="single" w:color="000000" w:sz="4" w:space="0"/>
              <w:bottom w:val="single" w:color="000000" w:sz="4" w:space="0"/>
              <w:right w:val="single" w:color="000000" w:sz="4" w:space="0"/>
            </w:tcBorders>
            <w:vAlign w:val="center"/>
          </w:tcPr>
          <w:p>
            <w:pPr>
              <w:rPr>
                <w:rFonts w:ascii="仿宋" w:hAnsi="仿宋" w:eastAsia="仿宋" w:cs="Arial"/>
                <w:color w:val="000000"/>
                <w:sz w:val="18"/>
                <w:szCs w:val="18"/>
              </w:rPr>
            </w:pPr>
          </w:p>
        </w:tc>
        <w:tc>
          <w:tcPr>
            <w:tcW w:w="4406" w:type="dxa"/>
            <w:gridSpan w:val="11"/>
            <w:vMerge w:val="continue"/>
            <w:tcBorders>
              <w:top w:val="nil"/>
              <w:left w:val="nil"/>
              <w:bottom w:val="single" w:color="000000" w:sz="4" w:space="0"/>
              <w:right w:val="single" w:color="000000" w:sz="4" w:space="0"/>
            </w:tcBorders>
            <w:vAlign w:val="center"/>
          </w:tcPr>
          <w:p>
            <w:pPr>
              <w:rPr>
                <w:rFonts w:ascii="仿宋" w:hAnsi="仿宋" w:eastAsia="仿宋" w:cs="Arial"/>
                <w:color w:val="000000"/>
                <w:sz w:val="18"/>
                <w:szCs w:val="18"/>
              </w:rPr>
            </w:pPr>
          </w:p>
        </w:tc>
        <w:tc>
          <w:tcPr>
            <w:tcW w:w="1619" w:type="dxa"/>
            <w:gridSpan w:val="5"/>
            <w:vMerge w:val="continue"/>
            <w:tcBorders>
              <w:top w:val="single" w:color="000000" w:sz="4" w:space="0"/>
              <w:left w:val="nil"/>
              <w:bottom w:val="single" w:color="000000" w:sz="4" w:space="0"/>
              <w:right w:val="single" w:color="000000" w:sz="4" w:space="0"/>
            </w:tcBorders>
            <w:vAlign w:val="center"/>
          </w:tcPr>
          <w:p>
            <w:pPr>
              <w:rPr>
                <w:rFonts w:ascii="仿宋" w:hAnsi="仿宋" w:eastAsia="仿宋" w:cs="Arial"/>
                <w:color w:val="000000"/>
                <w:sz w:val="18"/>
                <w:szCs w:val="18"/>
              </w:rPr>
            </w:pPr>
          </w:p>
        </w:tc>
        <w:tc>
          <w:tcPr>
            <w:tcW w:w="1251" w:type="dxa"/>
            <w:gridSpan w:val="4"/>
            <w:vMerge w:val="continue"/>
            <w:tcBorders>
              <w:top w:val="single" w:color="000000" w:sz="4" w:space="0"/>
              <w:left w:val="nil"/>
              <w:bottom w:val="single" w:color="000000" w:sz="4" w:space="0"/>
              <w:right w:val="single" w:color="000000" w:sz="4" w:space="0"/>
            </w:tcBorders>
            <w:vAlign w:val="center"/>
          </w:tcPr>
          <w:p>
            <w:pPr>
              <w:rPr>
                <w:rFonts w:ascii="仿宋" w:hAnsi="仿宋" w:eastAsia="仿宋" w:cs="Arial"/>
                <w:color w:val="000000"/>
                <w:sz w:val="18"/>
                <w:szCs w:val="18"/>
              </w:rPr>
            </w:pPr>
          </w:p>
        </w:tc>
        <w:tc>
          <w:tcPr>
            <w:tcW w:w="1526" w:type="dxa"/>
            <w:gridSpan w:val="5"/>
            <w:vMerge w:val="continue"/>
            <w:tcBorders>
              <w:top w:val="single" w:color="000000" w:sz="4" w:space="0"/>
              <w:left w:val="nil"/>
              <w:bottom w:val="single" w:color="000000" w:sz="4" w:space="0"/>
              <w:right w:val="single" w:color="000000" w:sz="4" w:space="0"/>
            </w:tcBorders>
            <w:vAlign w:val="center"/>
          </w:tcPr>
          <w:p>
            <w:pPr>
              <w:rPr>
                <w:rFonts w:ascii="仿宋" w:hAnsi="仿宋" w:eastAsia="仿宋" w:cs="Arial"/>
                <w:color w:val="000000"/>
                <w:sz w:val="18"/>
                <w:szCs w:val="18"/>
              </w:rPr>
            </w:pPr>
          </w:p>
        </w:tc>
      </w:tr>
      <w:tr>
        <w:tblPrEx>
          <w:tblCellMar>
            <w:top w:w="0" w:type="dxa"/>
            <w:left w:w="108" w:type="dxa"/>
            <w:bottom w:w="0" w:type="dxa"/>
            <w:right w:w="108" w:type="dxa"/>
          </w:tblCellMar>
        </w:tblPrEx>
        <w:trPr>
          <w:gridAfter w:val="2"/>
          <w:wAfter w:w="1003" w:type="dxa"/>
          <w:trHeight w:val="210" w:hRule="atLeast"/>
        </w:trPr>
        <w:tc>
          <w:tcPr>
            <w:tcW w:w="5813" w:type="dxa"/>
            <w:gridSpan w:val="15"/>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栏次</w:t>
            </w:r>
          </w:p>
        </w:tc>
        <w:tc>
          <w:tcPr>
            <w:tcW w:w="1619" w:type="dxa"/>
            <w:gridSpan w:val="5"/>
            <w:tcBorders>
              <w:top w:val="single" w:color="auto" w:sz="4" w:space="0"/>
              <w:left w:val="nil"/>
              <w:bottom w:val="single" w:color="auto" w:sz="4" w:space="0"/>
              <w:right w:val="single" w:color="auto" w:sz="4" w:space="0"/>
            </w:tcBorders>
            <w:shd w:val="clear" w:color="auto" w:fill="auto"/>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1</w:t>
            </w:r>
          </w:p>
        </w:tc>
        <w:tc>
          <w:tcPr>
            <w:tcW w:w="1251" w:type="dxa"/>
            <w:gridSpan w:val="4"/>
            <w:tcBorders>
              <w:top w:val="single" w:color="auto" w:sz="4" w:space="0"/>
              <w:left w:val="nil"/>
              <w:bottom w:val="single" w:color="auto" w:sz="4" w:space="0"/>
              <w:right w:val="single" w:color="auto" w:sz="4" w:space="0"/>
            </w:tcBorders>
            <w:shd w:val="clear" w:color="auto" w:fill="auto"/>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2</w:t>
            </w:r>
          </w:p>
        </w:tc>
        <w:tc>
          <w:tcPr>
            <w:tcW w:w="1526" w:type="dxa"/>
            <w:gridSpan w:val="5"/>
            <w:tcBorders>
              <w:top w:val="single" w:color="auto" w:sz="4" w:space="0"/>
              <w:left w:val="nil"/>
              <w:bottom w:val="single" w:color="auto" w:sz="4" w:space="0"/>
              <w:right w:val="single" w:color="auto" w:sz="4" w:space="0"/>
            </w:tcBorders>
            <w:shd w:val="clear" w:color="auto" w:fill="auto"/>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7</w:t>
            </w:r>
          </w:p>
        </w:tc>
      </w:tr>
      <w:tr>
        <w:tblPrEx>
          <w:tblCellMar>
            <w:top w:w="0" w:type="dxa"/>
            <w:left w:w="108" w:type="dxa"/>
            <w:bottom w:w="0" w:type="dxa"/>
            <w:right w:w="108" w:type="dxa"/>
          </w:tblCellMar>
        </w:tblPrEx>
        <w:trPr>
          <w:gridAfter w:val="2"/>
          <w:wAfter w:w="1003" w:type="dxa"/>
          <w:trHeight w:val="308" w:hRule="atLeast"/>
        </w:trPr>
        <w:tc>
          <w:tcPr>
            <w:tcW w:w="5813" w:type="dxa"/>
            <w:gridSpan w:val="15"/>
            <w:tcBorders>
              <w:top w:val="nil"/>
              <w:left w:val="single" w:color="000000" w:sz="4" w:space="0"/>
              <w:bottom w:val="single" w:color="000000" w:sz="4" w:space="0"/>
              <w:right w:val="single" w:color="000000" w:sz="4" w:space="0"/>
            </w:tcBorders>
            <w:shd w:val="clear" w:color="auto" w:fill="auto"/>
            <w:noWrap/>
            <w:vAlign w:val="center"/>
          </w:tcPr>
          <w:p>
            <w:pPr>
              <w:jc w:val="center"/>
              <w:rPr>
                <w:rFonts w:ascii="仿宋" w:hAnsi="仿宋" w:eastAsia="仿宋" w:cs="Arial"/>
                <w:color w:val="000000"/>
                <w:sz w:val="18"/>
                <w:szCs w:val="18"/>
              </w:rPr>
            </w:pPr>
            <w:r>
              <w:rPr>
                <w:rFonts w:hint="eastAsia" w:ascii="仿宋" w:hAnsi="仿宋" w:eastAsia="仿宋" w:cs="Arial"/>
                <w:color w:val="000000"/>
                <w:sz w:val="18"/>
                <w:szCs w:val="18"/>
              </w:rPr>
              <w:t>合计</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b/>
                <w:bCs/>
                <w:color w:val="000000"/>
                <w:sz w:val="18"/>
                <w:szCs w:val="18"/>
              </w:rPr>
            </w:pPr>
            <w:r>
              <w:rPr>
                <w:rFonts w:hint="eastAsia" w:ascii="仿宋" w:hAnsi="仿宋" w:eastAsia="仿宋" w:cs="Arial"/>
                <w:b/>
                <w:bCs/>
                <w:color w:val="000000"/>
                <w:sz w:val="18"/>
                <w:szCs w:val="18"/>
              </w:rPr>
              <w:t>4,666.66</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b/>
                <w:bCs/>
                <w:color w:val="000000"/>
                <w:sz w:val="18"/>
                <w:szCs w:val="18"/>
              </w:rPr>
            </w:pPr>
            <w:r>
              <w:rPr>
                <w:rFonts w:hint="eastAsia" w:ascii="仿宋" w:hAnsi="仿宋" w:eastAsia="仿宋" w:cs="Arial"/>
                <w:b/>
                <w:bCs/>
                <w:color w:val="000000"/>
                <w:sz w:val="18"/>
                <w:szCs w:val="18"/>
              </w:rPr>
              <w:t>4,304.44</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b/>
                <w:bCs/>
                <w:color w:val="000000"/>
                <w:sz w:val="18"/>
                <w:szCs w:val="18"/>
              </w:rPr>
            </w:pPr>
            <w:r>
              <w:rPr>
                <w:rFonts w:hint="eastAsia" w:ascii="仿宋" w:hAnsi="仿宋" w:eastAsia="仿宋" w:cs="Arial"/>
                <w:b/>
                <w:bCs/>
                <w:color w:val="000000"/>
                <w:sz w:val="18"/>
                <w:szCs w:val="18"/>
              </w:rPr>
              <w:t>362.22</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201</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一般公共服务支出</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1,348.46</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1,328.96</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19.50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20103</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政府办公厅（室）及相关机构事务</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1,314.67</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1,295.17</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19.50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2010302</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一般行政管理事务</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1,314.67</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1,295.17</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19.50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20105</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统计信息事务</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19.15</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19.15</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2010502</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一般行政管理事务</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19.15</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19.15</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20106</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财政事务</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14.64</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14.64</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2010602</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一般行政管理事务</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14.64</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14.64</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205</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教育支出</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207.48</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207.48</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20501</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教育管理事务</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207.48</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207.48</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2050102</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一般行政管理事务</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207.48</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207.48</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208</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社会保障和就业支出</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72.73</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72.73</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20805</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行政事业单位离退休</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18.28</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18.28</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2080505</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机关事业单位基本养老保险缴费支出</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18.28</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18.28</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20809</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退役安置</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54.45</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54.45</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2080901</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退役士兵安置</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54.45</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54.45</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210</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卫生健康支出</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53.19</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53.19</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21001</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卫生健康管理事务</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53.19</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53.19</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2100102</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一般行政管理事务</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53.19</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53.19</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211</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节能环保支出</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1,191.93</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860.27</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331.66</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21103</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污染防治</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30.70</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25.70</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2110302</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水体</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30.70</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25.70</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21104</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自然生态保护</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1,161.23</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834.57</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326.66</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2110401</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生态保护</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1,141.23</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834.57</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306.66</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2110402</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农村环境保护</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20.00</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212</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城乡社区支出</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1,551.49</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1,551.49</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21203</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城乡社区公共设施</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635.91</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635.91</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2120303</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小城镇基础设施建设</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385.91</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385.91</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2120399</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其他城乡社区公共设施支出</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250.00</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250.00</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21205</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城乡社区环境卫生</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133.00</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133.00</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2120501</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城乡社区环境卫生</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133.00</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133.00</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21208</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国有土地使用权出让收入及对应专项债务收入安排的支出</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782.58</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782.58</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2120804</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农村基础设施建设支出</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782.58</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782.58</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213</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农林水支出</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236.38</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225.33</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11.06</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21301</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农业</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226.38</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215.33</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11.06</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2130102</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一般行政管理事务</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190.32</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190.32</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2130126</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农村公益事业</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11.06</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11.06</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2130152</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对高校毕业生到基层任职补助</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25.01</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25.01</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21303</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水利</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10.00</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10.00</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2130303</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机关服务</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10.00</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10.00</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224</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灾害防治及应急管理支出</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5.00</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5.00</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22403</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森林消防事务</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5.00</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5.00</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240" w:hRule="atLeast"/>
        </w:trPr>
        <w:tc>
          <w:tcPr>
            <w:tcW w:w="1407" w:type="dxa"/>
            <w:gridSpan w:val="4"/>
            <w:tcBorders>
              <w:top w:val="nil"/>
              <w:left w:val="single" w:color="000000" w:sz="4" w:space="0"/>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2240304</w:t>
            </w:r>
          </w:p>
        </w:tc>
        <w:tc>
          <w:tcPr>
            <w:tcW w:w="4406" w:type="dxa"/>
            <w:gridSpan w:val="11"/>
            <w:tcBorders>
              <w:top w:val="nil"/>
              <w:left w:val="nil"/>
              <w:bottom w:val="single" w:color="000000" w:sz="4" w:space="0"/>
              <w:right w:val="single" w:color="000000" w:sz="4" w:space="0"/>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森林消防应急救援</w:t>
            </w:r>
          </w:p>
        </w:tc>
        <w:tc>
          <w:tcPr>
            <w:tcW w:w="1619"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5.00</w:t>
            </w:r>
          </w:p>
        </w:tc>
        <w:tc>
          <w:tcPr>
            <w:tcW w:w="1251" w:type="dxa"/>
            <w:gridSpan w:val="4"/>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5.00</w:t>
            </w:r>
          </w:p>
        </w:tc>
        <w:tc>
          <w:tcPr>
            <w:tcW w:w="1526" w:type="dxa"/>
            <w:gridSpan w:val="5"/>
            <w:tcBorders>
              <w:top w:val="nil"/>
              <w:left w:val="nil"/>
              <w:bottom w:val="single" w:color="000000" w:sz="4" w:space="0"/>
              <w:right w:val="single" w:color="000000" w:sz="4" w:space="0"/>
            </w:tcBorders>
            <w:shd w:val="clear" w:color="auto" w:fill="auto"/>
            <w:noWrap/>
            <w:vAlign w:val="center"/>
          </w:tcPr>
          <w:p>
            <w:pPr>
              <w:jc w:val="right"/>
              <w:rPr>
                <w:rFonts w:ascii="仿宋" w:hAnsi="仿宋" w:eastAsia="仿宋" w:cs="Arial"/>
                <w:color w:val="000000"/>
                <w:sz w:val="18"/>
                <w:szCs w:val="18"/>
              </w:rPr>
            </w:pPr>
            <w:r>
              <w:rPr>
                <w:rFonts w:hint="eastAsia" w:ascii="仿宋" w:hAnsi="仿宋" w:eastAsia="仿宋" w:cs="Arial"/>
                <w:color w:val="000000"/>
                <w:sz w:val="18"/>
                <w:szCs w:val="18"/>
              </w:rPr>
              <w:t>0.00</w:t>
            </w:r>
          </w:p>
        </w:tc>
      </w:tr>
      <w:tr>
        <w:tblPrEx>
          <w:tblCellMar>
            <w:top w:w="0" w:type="dxa"/>
            <w:left w:w="108" w:type="dxa"/>
            <w:bottom w:w="0" w:type="dxa"/>
            <w:right w:w="108" w:type="dxa"/>
          </w:tblCellMar>
        </w:tblPrEx>
        <w:trPr>
          <w:gridAfter w:val="2"/>
          <w:wAfter w:w="1003" w:type="dxa"/>
          <w:trHeight w:val="308" w:hRule="atLeast"/>
        </w:trPr>
        <w:tc>
          <w:tcPr>
            <w:tcW w:w="10209" w:type="dxa"/>
            <w:gridSpan w:val="29"/>
            <w:tcBorders>
              <w:top w:val="nil"/>
              <w:left w:val="nil"/>
              <w:bottom w:val="nil"/>
              <w:right w:val="nil"/>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注：本表反映部门本年度取得的各项收入情况。</w:t>
            </w:r>
          </w:p>
        </w:tc>
      </w:tr>
      <w:tr>
        <w:tblPrEx>
          <w:tblCellMar>
            <w:top w:w="0" w:type="dxa"/>
            <w:left w:w="108" w:type="dxa"/>
            <w:bottom w:w="0" w:type="dxa"/>
            <w:right w:w="108" w:type="dxa"/>
          </w:tblCellMar>
        </w:tblPrEx>
        <w:trPr>
          <w:gridAfter w:val="2"/>
          <w:wAfter w:w="1003" w:type="dxa"/>
          <w:trHeight w:val="308" w:hRule="atLeast"/>
        </w:trPr>
        <w:tc>
          <w:tcPr>
            <w:tcW w:w="10209" w:type="dxa"/>
            <w:gridSpan w:val="29"/>
            <w:tcBorders>
              <w:top w:val="nil"/>
              <w:left w:val="nil"/>
              <w:bottom w:val="nil"/>
              <w:right w:val="nil"/>
            </w:tcBorders>
            <w:shd w:val="clear" w:color="auto" w:fill="auto"/>
            <w:noWrap/>
            <w:vAlign w:val="center"/>
          </w:tcPr>
          <w:p>
            <w:pPr>
              <w:rPr>
                <w:rFonts w:ascii="仿宋" w:hAnsi="仿宋" w:eastAsia="仿宋" w:cs="Arial"/>
                <w:color w:val="000000"/>
                <w:sz w:val="18"/>
                <w:szCs w:val="18"/>
              </w:rPr>
            </w:pPr>
            <w:r>
              <w:rPr>
                <w:rFonts w:hint="eastAsia" w:ascii="仿宋" w:hAnsi="仿宋" w:eastAsia="仿宋" w:cs="Arial"/>
                <w:color w:val="000000"/>
                <w:sz w:val="18"/>
                <w:szCs w:val="18"/>
              </w:rPr>
              <w:t xml:space="preserve">                                            </w:t>
            </w:r>
            <w:r>
              <w:rPr>
                <w:rFonts w:hint="eastAsia" w:ascii="仿宋" w:hAnsi="仿宋" w:eastAsia="仿宋" w:cs="Arial"/>
                <w:color w:val="000000"/>
                <w:sz w:val="32"/>
                <w:szCs w:val="32"/>
              </w:rPr>
              <w:t xml:space="preserve"> </w:t>
            </w:r>
            <w:r>
              <w:rPr>
                <w:rFonts w:hint="eastAsia" w:ascii="仿宋" w:hAnsi="仿宋" w:eastAsia="仿宋" w:cs="Arial"/>
                <w:b/>
                <w:color w:val="000000"/>
                <w:sz w:val="32"/>
                <w:szCs w:val="32"/>
              </w:rPr>
              <w:t xml:space="preserve">支出决算表  </w:t>
            </w:r>
            <w:r>
              <w:rPr>
                <w:rFonts w:hint="eastAsia" w:ascii="仿宋" w:hAnsi="仿宋" w:eastAsia="仿宋" w:cs="Arial"/>
                <w:color w:val="000000"/>
                <w:sz w:val="32"/>
                <w:szCs w:val="32"/>
              </w:rPr>
              <w:t xml:space="preserve">   </w:t>
            </w:r>
            <w:r>
              <w:rPr>
                <w:rFonts w:hint="eastAsia" w:ascii="仿宋" w:hAnsi="仿宋" w:eastAsia="仿宋" w:cs="Arial"/>
                <w:color w:val="000000"/>
                <w:sz w:val="18"/>
                <w:szCs w:val="18"/>
              </w:rPr>
              <w:t xml:space="preserve">                     公开04表                        </w:t>
            </w:r>
          </w:p>
        </w:tc>
      </w:tr>
      <w:tr>
        <w:tblPrEx>
          <w:tblCellMar>
            <w:top w:w="0" w:type="dxa"/>
            <w:left w:w="108" w:type="dxa"/>
            <w:bottom w:w="0" w:type="dxa"/>
            <w:right w:w="108" w:type="dxa"/>
          </w:tblCellMar>
        </w:tblPrEx>
        <w:trPr>
          <w:gridAfter w:val="4"/>
          <w:wAfter w:w="1474" w:type="dxa"/>
          <w:trHeight w:val="255" w:hRule="atLeast"/>
        </w:trPr>
        <w:tc>
          <w:tcPr>
            <w:tcW w:w="6312" w:type="dxa"/>
            <w:gridSpan w:val="18"/>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r>
              <w:rPr>
                <w:rFonts w:hint="eastAsia" w:ascii="仿宋" w:hAnsi="仿宋" w:eastAsia="仿宋" w:cs="Arial"/>
                <w:color w:val="000000"/>
                <w:kern w:val="0"/>
                <w:sz w:val="20"/>
                <w:szCs w:val="20"/>
              </w:rPr>
              <w:t>部门：石家庄市鹿泉区李村镇人民政府</w:t>
            </w:r>
          </w:p>
        </w:tc>
        <w:tc>
          <w:tcPr>
            <w:tcW w:w="1120" w:type="dxa"/>
            <w:gridSpan w:val="2"/>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p>
        </w:tc>
        <w:tc>
          <w:tcPr>
            <w:tcW w:w="2306" w:type="dxa"/>
            <w:gridSpan w:val="7"/>
            <w:tcBorders>
              <w:top w:val="nil"/>
              <w:left w:val="nil"/>
              <w:bottom w:val="single" w:color="000000" w:sz="4" w:space="0"/>
              <w:right w:val="nil"/>
            </w:tcBorders>
            <w:shd w:val="clear" w:color="auto" w:fill="auto"/>
            <w:noWrap/>
            <w:vAlign w:val="bottom"/>
          </w:tcPr>
          <w:p>
            <w:pPr>
              <w:widowControl/>
              <w:jc w:val="center"/>
              <w:rPr>
                <w:rFonts w:ascii="仿宋" w:hAnsi="仿宋" w:eastAsia="仿宋" w:cs="Arial"/>
                <w:color w:val="000000"/>
                <w:kern w:val="0"/>
                <w:sz w:val="20"/>
                <w:szCs w:val="20"/>
              </w:rPr>
            </w:pPr>
            <w:r>
              <w:rPr>
                <w:rFonts w:hint="eastAsia" w:ascii="仿宋" w:hAnsi="仿宋" w:eastAsia="仿宋" w:cs="Arial"/>
                <w:color w:val="000000"/>
                <w:kern w:val="0"/>
                <w:sz w:val="20"/>
                <w:szCs w:val="20"/>
              </w:rPr>
              <w:t>金额单位：万元</w:t>
            </w:r>
          </w:p>
        </w:tc>
      </w:tr>
      <w:tr>
        <w:tblPrEx>
          <w:tblCellMar>
            <w:top w:w="0" w:type="dxa"/>
            <w:left w:w="108" w:type="dxa"/>
            <w:bottom w:w="0" w:type="dxa"/>
            <w:right w:w="108" w:type="dxa"/>
          </w:tblCellMar>
        </w:tblPrEx>
        <w:trPr>
          <w:gridAfter w:val="4"/>
          <w:wAfter w:w="1474" w:type="dxa"/>
          <w:trHeight w:val="308" w:hRule="atLeast"/>
        </w:trPr>
        <w:tc>
          <w:tcPr>
            <w:tcW w:w="6312" w:type="dxa"/>
            <w:gridSpan w:val="18"/>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项目</w:t>
            </w:r>
          </w:p>
        </w:tc>
        <w:tc>
          <w:tcPr>
            <w:tcW w:w="1120" w:type="dxa"/>
            <w:gridSpan w:val="2"/>
            <w:vMerge w:val="restart"/>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本年支出合计</w:t>
            </w:r>
          </w:p>
        </w:tc>
        <w:tc>
          <w:tcPr>
            <w:tcW w:w="1251" w:type="dxa"/>
            <w:gridSpan w:val="4"/>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基本支出</w:t>
            </w:r>
          </w:p>
        </w:tc>
        <w:tc>
          <w:tcPr>
            <w:tcW w:w="1055" w:type="dxa"/>
            <w:gridSpan w:val="3"/>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项目支出</w:t>
            </w:r>
          </w:p>
        </w:tc>
      </w:tr>
      <w:tr>
        <w:tblPrEx>
          <w:tblCellMar>
            <w:top w:w="0" w:type="dxa"/>
            <w:left w:w="108" w:type="dxa"/>
            <w:bottom w:w="0" w:type="dxa"/>
            <w:right w:w="108" w:type="dxa"/>
          </w:tblCellMar>
        </w:tblPrEx>
        <w:trPr>
          <w:gridAfter w:val="4"/>
          <w:wAfter w:w="1474" w:type="dxa"/>
          <w:trHeight w:val="312" w:hRule="atLeast"/>
        </w:trPr>
        <w:tc>
          <w:tcPr>
            <w:tcW w:w="1286"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功能分类科目编码</w:t>
            </w:r>
          </w:p>
        </w:tc>
        <w:tc>
          <w:tcPr>
            <w:tcW w:w="5026" w:type="dxa"/>
            <w:gridSpan w:val="16"/>
            <w:vMerge w:val="restart"/>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科目名称</w:t>
            </w:r>
          </w:p>
        </w:tc>
        <w:tc>
          <w:tcPr>
            <w:tcW w:w="112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1251" w:type="dxa"/>
            <w:gridSpan w:val="4"/>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1055" w:type="dxa"/>
            <w:gridSpan w:val="3"/>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r>
      <w:tr>
        <w:tblPrEx>
          <w:tblCellMar>
            <w:top w:w="0" w:type="dxa"/>
            <w:left w:w="108" w:type="dxa"/>
            <w:bottom w:w="0" w:type="dxa"/>
            <w:right w:w="108" w:type="dxa"/>
          </w:tblCellMar>
        </w:tblPrEx>
        <w:trPr>
          <w:gridAfter w:val="4"/>
          <w:wAfter w:w="1474" w:type="dxa"/>
          <w:trHeight w:val="312" w:hRule="atLeast"/>
        </w:trPr>
        <w:tc>
          <w:tcPr>
            <w:tcW w:w="1286" w:type="dxa"/>
            <w:gridSpan w:val="2"/>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5026" w:type="dxa"/>
            <w:gridSpan w:val="16"/>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112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1251" w:type="dxa"/>
            <w:gridSpan w:val="4"/>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1055" w:type="dxa"/>
            <w:gridSpan w:val="3"/>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r>
      <w:tr>
        <w:tblPrEx>
          <w:tblCellMar>
            <w:top w:w="0" w:type="dxa"/>
            <w:left w:w="108" w:type="dxa"/>
            <w:bottom w:w="0" w:type="dxa"/>
            <w:right w:w="108" w:type="dxa"/>
          </w:tblCellMar>
        </w:tblPrEx>
        <w:trPr>
          <w:gridAfter w:val="4"/>
          <w:wAfter w:w="1474" w:type="dxa"/>
          <w:trHeight w:val="312" w:hRule="atLeast"/>
        </w:trPr>
        <w:tc>
          <w:tcPr>
            <w:tcW w:w="1286" w:type="dxa"/>
            <w:gridSpan w:val="2"/>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5026" w:type="dxa"/>
            <w:gridSpan w:val="16"/>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112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1251" w:type="dxa"/>
            <w:gridSpan w:val="4"/>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1055" w:type="dxa"/>
            <w:gridSpan w:val="3"/>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r>
      <w:tr>
        <w:tblPrEx>
          <w:tblCellMar>
            <w:top w:w="0" w:type="dxa"/>
            <w:left w:w="108" w:type="dxa"/>
            <w:bottom w:w="0" w:type="dxa"/>
            <w:right w:w="108" w:type="dxa"/>
          </w:tblCellMar>
        </w:tblPrEx>
        <w:trPr>
          <w:gridAfter w:val="4"/>
          <w:wAfter w:w="1474" w:type="dxa"/>
          <w:trHeight w:val="308" w:hRule="atLeast"/>
        </w:trPr>
        <w:tc>
          <w:tcPr>
            <w:tcW w:w="6312" w:type="dxa"/>
            <w:gridSpan w:val="18"/>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栏次</w:t>
            </w:r>
          </w:p>
        </w:tc>
        <w:tc>
          <w:tcPr>
            <w:tcW w:w="1120"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1</w:t>
            </w:r>
          </w:p>
        </w:tc>
        <w:tc>
          <w:tcPr>
            <w:tcW w:w="1251" w:type="dxa"/>
            <w:gridSpan w:val="4"/>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2</w:t>
            </w:r>
          </w:p>
        </w:tc>
        <w:tc>
          <w:tcPr>
            <w:tcW w:w="1055" w:type="dxa"/>
            <w:gridSpan w:val="3"/>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3</w:t>
            </w:r>
          </w:p>
        </w:tc>
      </w:tr>
      <w:tr>
        <w:tblPrEx>
          <w:tblCellMar>
            <w:top w:w="0" w:type="dxa"/>
            <w:left w:w="108" w:type="dxa"/>
            <w:bottom w:w="0" w:type="dxa"/>
            <w:right w:w="108" w:type="dxa"/>
          </w:tblCellMar>
        </w:tblPrEx>
        <w:trPr>
          <w:gridAfter w:val="4"/>
          <w:wAfter w:w="1474" w:type="dxa"/>
          <w:trHeight w:val="308" w:hRule="atLeast"/>
        </w:trPr>
        <w:tc>
          <w:tcPr>
            <w:tcW w:w="6312" w:type="dxa"/>
            <w:gridSpan w:val="18"/>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合计</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b/>
                <w:bCs/>
                <w:color w:val="000000"/>
                <w:kern w:val="0"/>
                <w:sz w:val="18"/>
                <w:szCs w:val="18"/>
              </w:rPr>
            </w:pPr>
            <w:r>
              <w:rPr>
                <w:rFonts w:hint="eastAsia" w:ascii="仿宋" w:hAnsi="仿宋" w:eastAsia="仿宋" w:cs="Arial"/>
                <w:b/>
                <w:bCs/>
                <w:color w:val="000000"/>
                <w:kern w:val="0"/>
                <w:sz w:val="18"/>
                <w:szCs w:val="18"/>
              </w:rPr>
              <w:t>3,908.31</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b/>
                <w:bCs/>
                <w:color w:val="000000"/>
                <w:kern w:val="0"/>
                <w:sz w:val="18"/>
                <w:szCs w:val="18"/>
              </w:rPr>
            </w:pPr>
            <w:r>
              <w:rPr>
                <w:rFonts w:hint="eastAsia" w:ascii="仿宋" w:hAnsi="仿宋" w:eastAsia="仿宋" w:cs="Arial"/>
                <w:b/>
                <w:bCs/>
                <w:color w:val="000000"/>
                <w:kern w:val="0"/>
                <w:sz w:val="18"/>
                <w:szCs w:val="18"/>
              </w:rPr>
              <w:t>1,617.94</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b/>
                <w:bCs/>
                <w:color w:val="000000"/>
                <w:kern w:val="0"/>
                <w:sz w:val="18"/>
                <w:szCs w:val="18"/>
              </w:rPr>
            </w:pPr>
            <w:r>
              <w:rPr>
                <w:rFonts w:hint="eastAsia" w:ascii="仿宋" w:hAnsi="仿宋" w:eastAsia="仿宋" w:cs="Arial"/>
                <w:b/>
                <w:bCs/>
                <w:color w:val="000000"/>
                <w:kern w:val="0"/>
                <w:sz w:val="18"/>
                <w:szCs w:val="18"/>
              </w:rPr>
              <w:t>2,290.37</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201</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一般公共服务支出</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1,206.11</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1,166.96</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39.15</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20103</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政府办公厅（室）及相关机构事务</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1,172.32</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1,135.17</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37.15</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2010302</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一般行政管理事务</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1,172.32</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1,135.17</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37.15</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20105</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统计信息事务</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19.15</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19.15</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2010502</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一般行政管理事务</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19.15</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19.15</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20106</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财政事务</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14.64</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12.64</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2010602</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一般行政管理事务</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14.64</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12.64</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205</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教育支出</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207.48</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207.48</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20501</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教育管理事务</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207.48</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207.48</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2050102</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一般行政管理事务</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207.48</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207.48</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208</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社会保障和就业支出</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72.73</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72.73</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20805</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行政事业单位离退休</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18.28</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18.28</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2080505</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机关事业单位基本养老保险缴费支出</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18.28</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18.28</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20809</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退役安置</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54.45</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54.45</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2080901</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退役士兵安置</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54.45</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54.45</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210</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卫生健康支出</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53.19</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53.19</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21001</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卫生健康管理事务</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53.19</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53.19</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2100102</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一般行政管理事务</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53.19</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53.19</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211</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节能环保支出</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1,191.93</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1,191.93</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21103</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污染防治</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30.70</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30.70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2110302</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水体</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30.70</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30.70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21104</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自然生态保护</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1,161.23</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1,161.23</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2110401</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生态保护</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1,141.23</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1,141.23</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2110402</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农村环境保护</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20.00</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20.00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212</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城乡社区支出</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935.49</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935.49</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21203</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城乡社区公共设施</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19.91</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19.91</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2120303</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小城镇基础设施建设</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19.91</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19.91</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21205</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城乡社区环境卫生</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133.00</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133.00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2120501</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城乡社区环境卫生</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133.00</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133.00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21208</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国有土地使用权出让收入及对应专项债务收入安排的支出</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2120804</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农村基础设施建设支出</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213</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农林水支出</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236.38</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190.32</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46.07</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21301</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农业</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226.38</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190.32</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36.07</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2130102</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一般行政管理事务</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190.32</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190.32</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2130126</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农村公益事业</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11.06</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11.06</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2130152</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对高校毕业生到基层任职补助</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25.01</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25.01</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21303</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水利</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10.00</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10.00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2130303</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机关服务</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10.00</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10.00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224</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灾害防治及应急管理支出</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5.00</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22403</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森林消防事务</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5.00</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5.00</w:t>
            </w:r>
          </w:p>
        </w:tc>
      </w:tr>
      <w:tr>
        <w:tblPrEx>
          <w:tblCellMar>
            <w:top w:w="0" w:type="dxa"/>
            <w:left w:w="108" w:type="dxa"/>
            <w:bottom w:w="0" w:type="dxa"/>
            <w:right w:w="108" w:type="dxa"/>
          </w:tblCellMar>
        </w:tblPrEx>
        <w:trPr>
          <w:gridAfter w:val="4"/>
          <w:wAfter w:w="1474" w:type="dxa"/>
          <w:trHeight w:val="308" w:hRule="atLeast"/>
        </w:trPr>
        <w:tc>
          <w:tcPr>
            <w:tcW w:w="12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2240304</w:t>
            </w:r>
          </w:p>
        </w:tc>
        <w:tc>
          <w:tcPr>
            <w:tcW w:w="5026" w:type="dxa"/>
            <w:gridSpan w:val="16"/>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森林消防应急救援</w:t>
            </w:r>
          </w:p>
        </w:tc>
        <w:tc>
          <w:tcPr>
            <w:tcW w:w="11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5.00</w:t>
            </w:r>
          </w:p>
        </w:tc>
        <w:tc>
          <w:tcPr>
            <w:tcW w:w="1251"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55"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5.00</w:t>
            </w:r>
          </w:p>
        </w:tc>
      </w:tr>
      <w:tr>
        <w:tblPrEx>
          <w:tblCellMar>
            <w:top w:w="0" w:type="dxa"/>
            <w:left w:w="108" w:type="dxa"/>
            <w:bottom w:w="0" w:type="dxa"/>
            <w:right w:w="108" w:type="dxa"/>
          </w:tblCellMar>
        </w:tblPrEx>
        <w:trPr>
          <w:gridAfter w:val="4"/>
          <w:wAfter w:w="1474" w:type="dxa"/>
          <w:trHeight w:val="308" w:hRule="atLeast"/>
        </w:trPr>
        <w:tc>
          <w:tcPr>
            <w:tcW w:w="9738" w:type="dxa"/>
            <w:gridSpan w:val="27"/>
            <w:tcBorders>
              <w:top w:val="nil"/>
              <w:left w:val="nil"/>
              <w:bottom w:val="nil"/>
              <w:right w:val="nil"/>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注：本表反映部门本年度各项支出情况。</w:t>
            </w:r>
          </w:p>
        </w:tc>
      </w:tr>
      <w:tr>
        <w:tblPrEx>
          <w:tblCellMar>
            <w:top w:w="0" w:type="dxa"/>
            <w:left w:w="108" w:type="dxa"/>
            <w:bottom w:w="0" w:type="dxa"/>
            <w:right w:w="108" w:type="dxa"/>
          </w:tblCellMar>
        </w:tblPrEx>
        <w:trPr>
          <w:gridAfter w:val="6"/>
          <w:wAfter w:w="1671" w:type="dxa"/>
          <w:trHeight w:val="390" w:hRule="atLeast"/>
        </w:trPr>
        <w:tc>
          <w:tcPr>
            <w:tcW w:w="7432" w:type="dxa"/>
            <w:gridSpan w:val="20"/>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32"/>
                <w:szCs w:val="32"/>
              </w:rPr>
            </w:pPr>
            <w:r>
              <w:rPr>
                <w:rFonts w:hint="eastAsia" w:ascii="仿宋" w:hAnsi="仿宋" w:eastAsia="仿宋" w:cs="Arial"/>
                <w:b/>
                <w:color w:val="000000"/>
                <w:kern w:val="0"/>
                <w:sz w:val="32"/>
                <w:szCs w:val="32"/>
              </w:rPr>
              <w:t xml:space="preserve">                  财政拨款收入支出决算总表</w:t>
            </w:r>
          </w:p>
        </w:tc>
        <w:tc>
          <w:tcPr>
            <w:tcW w:w="936" w:type="dxa"/>
            <w:gridSpan w:val="3"/>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p>
        </w:tc>
        <w:tc>
          <w:tcPr>
            <w:tcW w:w="1173" w:type="dxa"/>
            <w:gridSpan w:val="2"/>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p>
        </w:tc>
      </w:tr>
      <w:tr>
        <w:tblPrEx>
          <w:tblCellMar>
            <w:top w:w="0" w:type="dxa"/>
            <w:left w:w="108" w:type="dxa"/>
            <w:bottom w:w="0" w:type="dxa"/>
            <w:right w:w="108" w:type="dxa"/>
          </w:tblCellMar>
        </w:tblPrEx>
        <w:trPr>
          <w:gridAfter w:val="6"/>
          <w:wAfter w:w="1671" w:type="dxa"/>
          <w:trHeight w:val="255" w:hRule="atLeast"/>
        </w:trPr>
        <w:tc>
          <w:tcPr>
            <w:tcW w:w="2379" w:type="dxa"/>
            <w:gridSpan w:val="5"/>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p>
        </w:tc>
        <w:tc>
          <w:tcPr>
            <w:tcW w:w="477" w:type="dxa"/>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p>
        </w:tc>
        <w:tc>
          <w:tcPr>
            <w:tcW w:w="936" w:type="dxa"/>
            <w:gridSpan w:val="2"/>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p>
        </w:tc>
        <w:tc>
          <w:tcPr>
            <w:tcW w:w="2227" w:type="dxa"/>
            <w:gridSpan w:val="8"/>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p>
        </w:tc>
        <w:tc>
          <w:tcPr>
            <w:tcW w:w="477" w:type="dxa"/>
            <w:gridSpan w:val="3"/>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p>
        </w:tc>
        <w:tc>
          <w:tcPr>
            <w:tcW w:w="936" w:type="dxa"/>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p>
        </w:tc>
        <w:tc>
          <w:tcPr>
            <w:tcW w:w="936" w:type="dxa"/>
            <w:gridSpan w:val="3"/>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p>
        </w:tc>
        <w:tc>
          <w:tcPr>
            <w:tcW w:w="1173" w:type="dxa"/>
            <w:gridSpan w:val="2"/>
            <w:tcBorders>
              <w:top w:val="nil"/>
              <w:left w:val="nil"/>
              <w:bottom w:val="nil"/>
              <w:right w:val="nil"/>
            </w:tcBorders>
            <w:shd w:val="clear" w:color="auto" w:fill="auto"/>
            <w:noWrap/>
            <w:vAlign w:val="bottom"/>
          </w:tcPr>
          <w:p>
            <w:pPr>
              <w:widowControl/>
              <w:jc w:val="right"/>
              <w:rPr>
                <w:rFonts w:ascii="仿宋" w:hAnsi="仿宋" w:eastAsia="仿宋" w:cs="Arial"/>
                <w:color w:val="000000"/>
                <w:kern w:val="0"/>
                <w:sz w:val="20"/>
                <w:szCs w:val="20"/>
              </w:rPr>
            </w:pPr>
            <w:r>
              <w:rPr>
                <w:rFonts w:hint="eastAsia" w:ascii="仿宋" w:hAnsi="仿宋" w:eastAsia="仿宋" w:cs="Arial"/>
                <w:color w:val="000000"/>
                <w:kern w:val="0"/>
                <w:sz w:val="20"/>
                <w:szCs w:val="20"/>
              </w:rPr>
              <w:t>公开04表</w:t>
            </w:r>
          </w:p>
        </w:tc>
      </w:tr>
      <w:tr>
        <w:tblPrEx>
          <w:tblCellMar>
            <w:top w:w="0" w:type="dxa"/>
            <w:left w:w="108" w:type="dxa"/>
            <w:bottom w:w="0" w:type="dxa"/>
            <w:right w:w="108" w:type="dxa"/>
          </w:tblCellMar>
        </w:tblPrEx>
        <w:trPr>
          <w:gridAfter w:val="6"/>
          <w:wAfter w:w="1671" w:type="dxa"/>
          <w:trHeight w:val="255" w:hRule="atLeast"/>
        </w:trPr>
        <w:tc>
          <w:tcPr>
            <w:tcW w:w="6019" w:type="dxa"/>
            <w:gridSpan w:val="16"/>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r>
              <w:rPr>
                <w:rFonts w:hint="eastAsia" w:ascii="仿宋" w:hAnsi="仿宋" w:eastAsia="仿宋" w:cs="Arial"/>
                <w:color w:val="000000"/>
                <w:kern w:val="0"/>
                <w:sz w:val="20"/>
                <w:szCs w:val="20"/>
              </w:rPr>
              <w:t xml:space="preserve">部门：石家庄市鹿泉区李村镇人民政府                                     </w:t>
            </w:r>
          </w:p>
        </w:tc>
        <w:tc>
          <w:tcPr>
            <w:tcW w:w="477" w:type="dxa"/>
            <w:gridSpan w:val="3"/>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p>
        </w:tc>
        <w:tc>
          <w:tcPr>
            <w:tcW w:w="3045" w:type="dxa"/>
            <w:gridSpan w:val="6"/>
            <w:tcBorders>
              <w:top w:val="nil"/>
              <w:left w:val="nil"/>
              <w:bottom w:val="nil"/>
              <w:right w:val="nil"/>
            </w:tcBorders>
            <w:shd w:val="clear" w:color="auto" w:fill="auto"/>
            <w:noWrap/>
            <w:vAlign w:val="bottom"/>
          </w:tcPr>
          <w:p>
            <w:pPr>
              <w:widowControl/>
              <w:jc w:val="right"/>
              <w:rPr>
                <w:rFonts w:ascii="仿宋" w:hAnsi="仿宋" w:eastAsia="仿宋" w:cs="Arial"/>
                <w:color w:val="000000"/>
                <w:kern w:val="0"/>
                <w:sz w:val="20"/>
                <w:szCs w:val="20"/>
              </w:rPr>
            </w:pPr>
            <w:r>
              <w:rPr>
                <w:rFonts w:ascii="仿宋" w:hAnsi="仿宋" w:eastAsia="仿宋" w:cs="Arial"/>
                <w:color w:val="000000"/>
                <w:kern w:val="0"/>
                <w:sz w:val="20"/>
                <w:szCs w:val="20"/>
              </w:rPr>
              <w:t>金额单位</w:t>
            </w:r>
            <w:r>
              <w:rPr>
                <w:rFonts w:hint="eastAsia" w:ascii="仿宋" w:hAnsi="仿宋" w:eastAsia="仿宋" w:cs="Arial"/>
                <w:color w:val="000000"/>
                <w:kern w:val="0"/>
                <w:sz w:val="20"/>
                <w:szCs w:val="20"/>
              </w:rPr>
              <w:t>：</w:t>
            </w:r>
            <w:r>
              <w:rPr>
                <w:rFonts w:ascii="仿宋" w:hAnsi="仿宋" w:eastAsia="仿宋" w:cs="Arial"/>
                <w:color w:val="000000"/>
                <w:kern w:val="0"/>
                <w:sz w:val="20"/>
                <w:szCs w:val="20"/>
              </w:rPr>
              <w:t>万元</w:t>
            </w:r>
          </w:p>
        </w:tc>
      </w:tr>
      <w:tr>
        <w:tblPrEx>
          <w:tblCellMar>
            <w:top w:w="0" w:type="dxa"/>
            <w:left w:w="108" w:type="dxa"/>
            <w:bottom w:w="0" w:type="dxa"/>
            <w:right w:w="108" w:type="dxa"/>
          </w:tblCellMar>
        </w:tblPrEx>
        <w:trPr>
          <w:gridAfter w:val="6"/>
          <w:wAfter w:w="1671" w:type="dxa"/>
          <w:trHeight w:val="308" w:hRule="atLeast"/>
        </w:trPr>
        <w:tc>
          <w:tcPr>
            <w:tcW w:w="3792"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收     入</w:t>
            </w:r>
          </w:p>
        </w:tc>
        <w:tc>
          <w:tcPr>
            <w:tcW w:w="5749" w:type="dxa"/>
            <w:gridSpan w:val="17"/>
            <w:tcBorders>
              <w:top w:val="single" w:color="000000" w:sz="4" w:space="0"/>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支     出</w:t>
            </w:r>
          </w:p>
        </w:tc>
      </w:tr>
      <w:tr>
        <w:tblPrEx>
          <w:tblCellMar>
            <w:top w:w="0" w:type="dxa"/>
            <w:left w:w="108" w:type="dxa"/>
            <w:bottom w:w="0" w:type="dxa"/>
            <w:right w:w="108" w:type="dxa"/>
          </w:tblCellMar>
        </w:tblPrEx>
        <w:trPr>
          <w:gridAfter w:val="6"/>
          <w:wAfter w:w="1671" w:type="dxa"/>
          <w:trHeight w:val="312" w:hRule="atLeast"/>
        </w:trPr>
        <w:tc>
          <w:tcPr>
            <w:tcW w:w="2379" w:type="dxa"/>
            <w:gridSpan w:val="5"/>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项目</w:t>
            </w:r>
          </w:p>
        </w:tc>
        <w:tc>
          <w:tcPr>
            <w:tcW w:w="477"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行次</w:t>
            </w:r>
          </w:p>
        </w:tc>
        <w:tc>
          <w:tcPr>
            <w:tcW w:w="936" w:type="dxa"/>
            <w:gridSpan w:val="2"/>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金额</w:t>
            </w:r>
          </w:p>
        </w:tc>
        <w:tc>
          <w:tcPr>
            <w:tcW w:w="2227" w:type="dxa"/>
            <w:gridSpan w:val="8"/>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项目</w:t>
            </w:r>
          </w:p>
        </w:tc>
        <w:tc>
          <w:tcPr>
            <w:tcW w:w="477" w:type="dxa"/>
            <w:gridSpan w:val="3"/>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行次</w:t>
            </w:r>
          </w:p>
        </w:tc>
        <w:tc>
          <w:tcPr>
            <w:tcW w:w="936" w:type="dxa"/>
            <w:vMerge w:val="restart"/>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合计</w:t>
            </w:r>
          </w:p>
        </w:tc>
        <w:tc>
          <w:tcPr>
            <w:tcW w:w="936" w:type="dxa"/>
            <w:gridSpan w:val="3"/>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一般公共预算财政拨款</w:t>
            </w:r>
          </w:p>
        </w:tc>
        <w:tc>
          <w:tcPr>
            <w:tcW w:w="1173" w:type="dxa"/>
            <w:gridSpan w:val="2"/>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政府性基金预算财政拨款</w:t>
            </w:r>
          </w:p>
        </w:tc>
      </w:tr>
      <w:tr>
        <w:tblPrEx>
          <w:tblCellMar>
            <w:top w:w="0" w:type="dxa"/>
            <w:left w:w="108" w:type="dxa"/>
            <w:bottom w:w="0" w:type="dxa"/>
            <w:right w:w="108" w:type="dxa"/>
          </w:tblCellMar>
        </w:tblPrEx>
        <w:trPr>
          <w:gridAfter w:val="6"/>
          <w:wAfter w:w="1671" w:type="dxa"/>
          <w:trHeight w:val="825" w:hRule="atLeast"/>
        </w:trPr>
        <w:tc>
          <w:tcPr>
            <w:tcW w:w="2379" w:type="dxa"/>
            <w:gridSpan w:val="5"/>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477"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936" w:type="dxa"/>
            <w:gridSpan w:val="2"/>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2227" w:type="dxa"/>
            <w:gridSpan w:val="8"/>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477" w:type="dxa"/>
            <w:gridSpan w:val="3"/>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936"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936" w:type="dxa"/>
            <w:gridSpan w:val="3"/>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1173" w:type="dxa"/>
            <w:gridSpan w:val="2"/>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栏次</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　</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1</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栏次</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　</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2</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3</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4</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6"/>
                <w:szCs w:val="16"/>
              </w:rPr>
            </w:pPr>
            <w:r>
              <w:rPr>
                <w:rFonts w:hint="eastAsia" w:ascii="仿宋" w:hAnsi="仿宋" w:eastAsia="仿宋" w:cs="Arial"/>
                <w:color w:val="000000"/>
                <w:kern w:val="0"/>
                <w:sz w:val="16"/>
                <w:szCs w:val="16"/>
              </w:rPr>
              <w:t>一、一般公共预算财政拨款</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1</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3,521.86</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一、一般公共服务支出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30</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1,186.61</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1,186.61</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二、政府性基金预算财政拨款</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2</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二、外交支出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31</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3</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三、国防支出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32</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4</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四、公共安全支出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33</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5</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五、教育支出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34</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207.48</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207.48</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6</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六、科学技术支出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35</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7</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七、文化旅游体育与传媒支出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36</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8</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八、社会保障和就业支出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37</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72.73</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72.73</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9</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九、卫生健康支出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38</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53.19</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53.19</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10</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十、节能环保支出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39</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860.27</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860.27</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11</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十一、城乡社区支出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40</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935.49</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152.91</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12</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十二、农林水支出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41</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225.33</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225.33</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13</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十三、交通运输支出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42</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14</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十四、资源勘探信息等支出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43</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21</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二十一、灾害防治及应急管理支出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50</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5.00</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5.00</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22</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二十二、其他支出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51</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23</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2"/>
                <w:szCs w:val="12"/>
              </w:rPr>
            </w:pPr>
            <w:r>
              <w:rPr>
                <w:rFonts w:hint="eastAsia" w:ascii="仿宋" w:hAnsi="仿宋" w:eastAsia="仿宋" w:cs="Arial"/>
                <w:color w:val="000000"/>
                <w:kern w:val="0"/>
                <w:sz w:val="12"/>
                <w:szCs w:val="12"/>
              </w:rPr>
              <w:t>二十四、债务付息支出</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52</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仿宋" w:hAnsi="仿宋" w:eastAsia="仿宋" w:cs="Arial"/>
                <w:b/>
                <w:bCs/>
                <w:color w:val="000000"/>
                <w:kern w:val="0"/>
                <w:sz w:val="18"/>
                <w:szCs w:val="18"/>
              </w:rPr>
            </w:pPr>
            <w:r>
              <w:rPr>
                <w:rFonts w:hint="eastAsia" w:ascii="仿宋" w:hAnsi="仿宋" w:eastAsia="仿宋" w:cs="Arial"/>
                <w:b/>
                <w:bCs/>
                <w:color w:val="000000"/>
                <w:kern w:val="0"/>
                <w:sz w:val="18"/>
                <w:szCs w:val="18"/>
              </w:rPr>
              <w:t>本年收入合计</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24</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4,304.44</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b/>
                <w:bCs/>
                <w:color w:val="000000"/>
                <w:kern w:val="0"/>
                <w:sz w:val="18"/>
                <w:szCs w:val="18"/>
              </w:rPr>
            </w:pPr>
            <w:r>
              <w:rPr>
                <w:rFonts w:hint="eastAsia" w:ascii="仿宋" w:hAnsi="仿宋" w:eastAsia="仿宋" w:cs="Arial"/>
                <w:b/>
                <w:bCs/>
                <w:color w:val="000000"/>
                <w:kern w:val="0"/>
                <w:sz w:val="18"/>
                <w:szCs w:val="18"/>
              </w:rPr>
              <w:t>本年支出合计</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53</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3,546.09</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2,763.51</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年初财政拨款结转和结余</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25</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2"/>
                <w:szCs w:val="12"/>
              </w:rPr>
            </w:pPr>
            <w:r>
              <w:rPr>
                <w:rFonts w:hint="eastAsia" w:ascii="仿宋" w:hAnsi="仿宋" w:eastAsia="仿宋" w:cs="Arial"/>
                <w:color w:val="000000"/>
                <w:kern w:val="0"/>
                <w:sz w:val="12"/>
                <w:szCs w:val="12"/>
              </w:rPr>
              <w:t>年末财政拨款结转和结余</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54</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758.35</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758.35</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一、一般公共预算财政拨款</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26</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55</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二、政府性基金预算财政拨款</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27</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56</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28</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57</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r>
      <w:tr>
        <w:tblPrEx>
          <w:tblCellMar>
            <w:top w:w="0" w:type="dxa"/>
            <w:left w:w="108" w:type="dxa"/>
            <w:bottom w:w="0" w:type="dxa"/>
            <w:right w:w="108" w:type="dxa"/>
          </w:tblCellMar>
        </w:tblPrEx>
        <w:trPr>
          <w:gridAfter w:val="6"/>
          <w:wAfter w:w="1671" w:type="dxa"/>
          <w:trHeight w:val="308" w:hRule="atLeast"/>
        </w:trPr>
        <w:tc>
          <w:tcPr>
            <w:tcW w:w="2379"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仿宋" w:hAnsi="仿宋" w:eastAsia="仿宋" w:cs="Arial"/>
                <w:b/>
                <w:bCs/>
                <w:color w:val="000000"/>
                <w:kern w:val="0"/>
                <w:sz w:val="18"/>
                <w:szCs w:val="18"/>
              </w:rPr>
            </w:pPr>
            <w:r>
              <w:rPr>
                <w:rFonts w:hint="eastAsia" w:ascii="仿宋" w:hAnsi="仿宋" w:eastAsia="仿宋" w:cs="Arial"/>
                <w:b/>
                <w:bCs/>
                <w:color w:val="000000"/>
                <w:kern w:val="0"/>
                <w:sz w:val="18"/>
                <w:szCs w:val="18"/>
              </w:rPr>
              <w:t>总计</w:t>
            </w:r>
          </w:p>
        </w:tc>
        <w:tc>
          <w:tcPr>
            <w:tcW w:w="477"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29</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4,304.44</w:t>
            </w:r>
          </w:p>
        </w:tc>
        <w:tc>
          <w:tcPr>
            <w:tcW w:w="2227" w:type="dxa"/>
            <w:gridSpan w:val="8"/>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b/>
                <w:bCs/>
                <w:color w:val="000000"/>
                <w:kern w:val="0"/>
                <w:sz w:val="18"/>
                <w:szCs w:val="18"/>
              </w:rPr>
            </w:pPr>
            <w:r>
              <w:rPr>
                <w:rFonts w:hint="eastAsia" w:ascii="仿宋" w:hAnsi="仿宋" w:eastAsia="仿宋" w:cs="Arial"/>
                <w:b/>
                <w:bCs/>
                <w:color w:val="000000"/>
                <w:kern w:val="0"/>
                <w:sz w:val="18"/>
                <w:szCs w:val="18"/>
              </w:rPr>
              <w:t>总计</w:t>
            </w:r>
          </w:p>
        </w:tc>
        <w:tc>
          <w:tcPr>
            <w:tcW w:w="477" w:type="dxa"/>
            <w:gridSpan w:val="3"/>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58</w:t>
            </w:r>
          </w:p>
        </w:tc>
        <w:tc>
          <w:tcPr>
            <w:tcW w:w="936"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4,304.44</w:t>
            </w:r>
          </w:p>
        </w:tc>
        <w:tc>
          <w:tcPr>
            <w:tcW w:w="936"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3,521.86</w:t>
            </w:r>
          </w:p>
        </w:tc>
        <w:tc>
          <w:tcPr>
            <w:tcW w:w="1173"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r>
      <w:tr>
        <w:tblPrEx>
          <w:tblCellMar>
            <w:top w:w="0" w:type="dxa"/>
            <w:left w:w="108" w:type="dxa"/>
            <w:bottom w:w="0" w:type="dxa"/>
            <w:right w:w="108" w:type="dxa"/>
          </w:tblCellMar>
        </w:tblPrEx>
        <w:trPr>
          <w:gridAfter w:val="6"/>
          <w:wAfter w:w="1671" w:type="dxa"/>
          <w:trHeight w:val="308" w:hRule="atLeast"/>
        </w:trPr>
        <w:tc>
          <w:tcPr>
            <w:tcW w:w="9541" w:type="dxa"/>
            <w:gridSpan w:val="25"/>
            <w:tcBorders>
              <w:top w:val="nil"/>
              <w:left w:val="nil"/>
              <w:bottom w:val="nil"/>
              <w:right w:val="nil"/>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注：本表反映部门本年度一般公共预算财政拨款和政府性基金预算财政拨款的总收支和年末结转结余情况。</w:t>
            </w:r>
          </w:p>
        </w:tc>
      </w:tr>
      <w:tr>
        <w:tblPrEx>
          <w:tblCellMar>
            <w:top w:w="0" w:type="dxa"/>
            <w:left w:w="108" w:type="dxa"/>
            <w:bottom w:w="0" w:type="dxa"/>
            <w:right w:w="108" w:type="dxa"/>
          </w:tblCellMar>
        </w:tblPrEx>
        <w:trPr>
          <w:gridAfter w:val="5"/>
          <w:wAfter w:w="1572" w:type="dxa"/>
          <w:trHeight w:val="390" w:hRule="atLeast"/>
        </w:trPr>
        <w:tc>
          <w:tcPr>
            <w:tcW w:w="740" w:type="dxa"/>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p>
        </w:tc>
        <w:tc>
          <w:tcPr>
            <w:tcW w:w="7046" w:type="dxa"/>
            <w:gridSpan w:val="20"/>
            <w:tcBorders>
              <w:top w:val="nil"/>
              <w:left w:val="nil"/>
              <w:bottom w:val="nil"/>
              <w:right w:val="nil"/>
            </w:tcBorders>
            <w:shd w:val="clear" w:color="auto" w:fill="auto"/>
            <w:noWrap/>
            <w:vAlign w:val="bottom"/>
          </w:tcPr>
          <w:p>
            <w:pPr>
              <w:widowControl/>
              <w:ind w:firstLine="1754" w:firstLineChars="546"/>
              <w:jc w:val="left"/>
              <w:rPr>
                <w:rFonts w:ascii="仿宋" w:hAnsi="仿宋" w:eastAsia="仿宋" w:cs="Arial"/>
                <w:b/>
                <w:bCs/>
                <w:color w:val="000000"/>
                <w:kern w:val="0"/>
                <w:sz w:val="32"/>
                <w:szCs w:val="32"/>
              </w:rPr>
            </w:pPr>
            <w:r>
              <w:rPr>
                <w:rFonts w:hint="eastAsia" w:ascii="仿宋" w:hAnsi="仿宋" w:eastAsia="仿宋" w:cs="Arial"/>
                <w:b/>
                <w:bCs/>
                <w:color w:val="000000"/>
                <w:kern w:val="0"/>
                <w:sz w:val="32"/>
                <w:szCs w:val="32"/>
              </w:rPr>
              <w:t>一般公共预算财政拨款支出决算表</w:t>
            </w:r>
          </w:p>
        </w:tc>
        <w:tc>
          <w:tcPr>
            <w:tcW w:w="1854" w:type="dxa"/>
            <w:gridSpan w:val="5"/>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Cs w:val="21"/>
              </w:rPr>
            </w:pPr>
            <w:r>
              <w:rPr>
                <w:rFonts w:ascii="仿宋" w:hAnsi="仿宋" w:eastAsia="仿宋" w:cs="Arial"/>
                <w:color w:val="000000"/>
                <w:kern w:val="0"/>
                <w:sz w:val="32"/>
                <w:szCs w:val="32"/>
              </w:rPr>
              <w:t xml:space="preserve">    </w:t>
            </w:r>
            <w:r>
              <w:rPr>
                <w:rFonts w:hint="eastAsia" w:ascii="仿宋" w:hAnsi="仿宋" w:eastAsia="仿宋" w:cs="Arial"/>
                <w:color w:val="000000"/>
                <w:kern w:val="0"/>
                <w:szCs w:val="21"/>
              </w:rPr>
              <w:t>公开</w:t>
            </w:r>
            <w:r>
              <w:rPr>
                <w:rFonts w:ascii="仿宋" w:hAnsi="仿宋" w:eastAsia="仿宋" w:cs="Arial"/>
                <w:color w:val="000000"/>
                <w:kern w:val="0"/>
                <w:szCs w:val="21"/>
              </w:rPr>
              <w:t>05</w:t>
            </w:r>
            <w:r>
              <w:rPr>
                <w:rFonts w:hint="eastAsia" w:ascii="仿宋" w:hAnsi="仿宋" w:eastAsia="仿宋" w:cs="Arial"/>
                <w:color w:val="000000"/>
                <w:kern w:val="0"/>
                <w:szCs w:val="21"/>
              </w:rPr>
              <w:t>表</w:t>
            </w:r>
          </w:p>
        </w:tc>
      </w:tr>
      <w:tr>
        <w:tblPrEx>
          <w:tblCellMar>
            <w:top w:w="0" w:type="dxa"/>
            <w:left w:w="108" w:type="dxa"/>
            <w:bottom w:w="0" w:type="dxa"/>
            <w:right w:w="108" w:type="dxa"/>
          </w:tblCellMar>
        </w:tblPrEx>
        <w:trPr>
          <w:gridAfter w:val="5"/>
          <w:wAfter w:w="1572" w:type="dxa"/>
          <w:trHeight w:val="255" w:hRule="atLeast"/>
        </w:trPr>
        <w:tc>
          <w:tcPr>
            <w:tcW w:w="6188" w:type="dxa"/>
            <w:gridSpan w:val="17"/>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r>
              <w:rPr>
                <w:rFonts w:hint="eastAsia" w:ascii="仿宋" w:hAnsi="仿宋" w:eastAsia="仿宋" w:cs="Arial"/>
                <w:color w:val="000000"/>
                <w:kern w:val="0"/>
                <w:sz w:val="20"/>
                <w:szCs w:val="20"/>
              </w:rPr>
              <w:t xml:space="preserve">部门：石家庄市鹿泉区李村镇人民政府                                   </w:t>
            </w:r>
          </w:p>
        </w:tc>
        <w:tc>
          <w:tcPr>
            <w:tcW w:w="3452" w:type="dxa"/>
            <w:gridSpan w:val="9"/>
            <w:tcBorders>
              <w:top w:val="nil"/>
              <w:left w:val="nil"/>
              <w:bottom w:val="nil"/>
            </w:tcBorders>
            <w:shd w:val="clear" w:color="auto" w:fill="auto"/>
            <w:noWrap/>
            <w:vAlign w:val="bottom"/>
          </w:tcPr>
          <w:p>
            <w:pPr>
              <w:widowControl/>
              <w:ind w:right="300"/>
              <w:jc w:val="right"/>
              <w:rPr>
                <w:rFonts w:ascii="仿宋" w:hAnsi="仿宋" w:eastAsia="仿宋" w:cs="Arial"/>
                <w:color w:val="000000"/>
                <w:kern w:val="0"/>
                <w:sz w:val="20"/>
                <w:szCs w:val="20"/>
              </w:rPr>
            </w:pPr>
            <w:r>
              <w:rPr>
                <w:rFonts w:hint="eastAsia" w:ascii="仿宋" w:hAnsi="仿宋" w:eastAsia="仿宋" w:cs="Arial"/>
                <w:color w:val="000000"/>
                <w:kern w:val="0"/>
                <w:sz w:val="20"/>
                <w:szCs w:val="20"/>
              </w:rPr>
              <w:t xml:space="preserve">           金额单位：万元</w:t>
            </w:r>
          </w:p>
        </w:tc>
      </w:tr>
      <w:tr>
        <w:tblPrEx>
          <w:tblCellMar>
            <w:top w:w="0" w:type="dxa"/>
            <w:left w:w="108" w:type="dxa"/>
            <w:bottom w:w="0" w:type="dxa"/>
            <w:right w:w="108" w:type="dxa"/>
          </w:tblCellMar>
        </w:tblPrEx>
        <w:trPr>
          <w:gridAfter w:val="5"/>
          <w:wAfter w:w="1572" w:type="dxa"/>
          <w:trHeight w:val="308" w:hRule="atLeast"/>
        </w:trPr>
        <w:tc>
          <w:tcPr>
            <w:tcW w:w="4905" w:type="dxa"/>
            <w:gridSpan w:val="13"/>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项目</w:t>
            </w:r>
          </w:p>
        </w:tc>
        <w:tc>
          <w:tcPr>
            <w:tcW w:w="4735" w:type="dxa"/>
            <w:gridSpan w:val="1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本年支出</w:t>
            </w:r>
          </w:p>
        </w:tc>
      </w:tr>
      <w:tr>
        <w:tblPrEx>
          <w:tblCellMar>
            <w:top w:w="0" w:type="dxa"/>
            <w:left w:w="108" w:type="dxa"/>
            <w:bottom w:w="0" w:type="dxa"/>
            <w:right w:w="108" w:type="dxa"/>
          </w:tblCellMar>
        </w:tblPrEx>
        <w:trPr>
          <w:gridAfter w:val="5"/>
          <w:wAfter w:w="1572" w:type="dxa"/>
          <w:trHeight w:val="312" w:hRule="atLeast"/>
        </w:trPr>
        <w:tc>
          <w:tcPr>
            <w:tcW w:w="1398" w:type="dxa"/>
            <w:gridSpan w:val="3"/>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功能分类科目编码</w:t>
            </w:r>
          </w:p>
        </w:tc>
        <w:tc>
          <w:tcPr>
            <w:tcW w:w="3507" w:type="dxa"/>
            <w:gridSpan w:val="10"/>
            <w:vMerge w:val="restart"/>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科目名称</w:t>
            </w:r>
          </w:p>
        </w:tc>
        <w:tc>
          <w:tcPr>
            <w:tcW w:w="1283" w:type="dxa"/>
            <w:gridSpan w:val="4"/>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小计</w:t>
            </w:r>
          </w:p>
        </w:tc>
        <w:tc>
          <w:tcPr>
            <w:tcW w:w="1598" w:type="dxa"/>
            <w:gridSpan w:val="4"/>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基本支出</w:t>
            </w:r>
          </w:p>
        </w:tc>
        <w:tc>
          <w:tcPr>
            <w:tcW w:w="1854" w:type="dxa"/>
            <w:gridSpan w:val="5"/>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项目支出</w:t>
            </w:r>
          </w:p>
        </w:tc>
      </w:tr>
      <w:tr>
        <w:tblPrEx>
          <w:tblCellMar>
            <w:top w:w="0" w:type="dxa"/>
            <w:left w:w="108" w:type="dxa"/>
            <w:bottom w:w="0" w:type="dxa"/>
            <w:right w:w="108" w:type="dxa"/>
          </w:tblCellMar>
        </w:tblPrEx>
        <w:trPr>
          <w:gridAfter w:val="5"/>
          <w:wAfter w:w="1572" w:type="dxa"/>
          <w:trHeight w:val="312" w:hRule="atLeast"/>
        </w:trPr>
        <w:tc>
          <w:tcPr>
            <w:tcW w:w="1398"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3507" w:type="dxa"/>
            <w:gridSpan w:val="10"/>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1283" w:type="dxa"/>
            <w:gridSpan w:val="4"/>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1598" w:type="dxa"/>
            <w:gridSpan w:val="4"/>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1854" w:type="dxa"/>
            <w:gridSpan w:val="5"/>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r>
      <w:tr>
        <w:tblPrEx>
          <w:tblCellMar>
            <w:top w:w="0" w:type="dxa"/>
            <w:left w:w="108" w:type="dxa"/>
            <w:bottom w:w="0" w:type="dxa"/>
            <w:right w:w="108" w:type="dxa"/>
          </w:tblCellMar>
        </w:tblPrEx>
        <w:trPr>
          <w:gridAfter w:val="5"/>
          <w:wAfter w:w="1572" w:type="dxa"/>
          <w:trHeight w:val="312" w:hRule="atLeast"/>
        </w:trPr>
        <w:tc>
          <w:tcPr>
            <w:tcW w:w="1398"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3507" w:type="dxa"/>
            <w:gridSpan w:val="10"/>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1283" w:type="dxa"/>
            <w:gridSpan w:val="4"/>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1598" w:type="dxa"/>
            <w:gridSpan w:val="4"/>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c>
          <w:tcPr>
            <w:tcW w:w="1854" w:type="dxa"/>
            <w:gridSpan w:val="5"/>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22"/>
              </w:rPr>
            </w:pPr>
          </w:p>
        </w:tc>
      </w:tr>
      <w:tr>
        <w:tblPrEx>
          <w:tblCellMar>
            <w:top w:w="0" w:type="dxa"/>
            <w:left w:w="108" w:type="dxa"/>
            <w:bottom w:w="0" w:type="dxa"/>
            <w:right w:w="108" w:type="dxa"/>
          </w:tblCellMar>
        </w:tblPrEx>
        <w:trPr>
          <w:gridAfter w:val="5"/>
          <w:wAfter w:w="1572" w:type="dxa"/>
          <w:trHeight w:val="308" w:hRule="atLeast"/>
        </w:trPr>
        <w:tc>
          <w:tcPr>
            <w:tcW w:w="4905" w:type="dxa"/>
            <w:gridSpan w:val="13"/>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栏次</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1</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2</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3</w:t>
            </w:r>
          </w:p>
        </w:tc>
      </w:tr>
      <w:tr>
        <w:tblPrEx>
          <w:tblCellMar>
            <w:top w:w="0" w:type="dxa"/>
            <w:left w:w="108" w:type="dxa"/>
            <w:bottom w:w="0" w:type="dxa"/>
            <w:right w:w="108" w:type="dxa"/>
          </w:tblCellMar>
        </w:tblPrEx>
        <w:trPr>
          <w:gridAfter w:val="5"/>
          <w:wAfter w:w="1572" w:type="dxa"/>
          <w:trHeight w:val="308" w:hRule="atLeast"/>
        </w:trPr>
        <w:tc>
          <w:tcPr>
            <w:tcW w:w="4905" w:type="dxa"/>
            <w:gridSpan w:val="13"/>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合计</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b/>
                <w:bCs/>
                <w:color w:val="000000"/>
                <w:kern w:val="0"/>
                <w:sz w:val="22"/>
              </w:rPr>
            </w:pPr>
            <w:r>
              <w:rPr>
                <w:rFonts w:hint="eastAsia" w:ascii="仿宋" w:hAnsi="仿宋" w:eastAsia="仿宋" w:cs="Arial"/>
                <w:b/>
                <w:bCs/>
                <w:color w:val="000000"/>
                <w:kern w:val="0"/>
                <w:sz w:val="22"/>
              </w:rPr>
              <w:t>2,763.51</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b/>
                <w:bCs/>
                <w:color w:val="000000"/>
                <w:kern w:val="0"/>
                <w:sz w:val="22"/>
              </w:rPr>
            </w:pPr>
            <w:r>
              <w:rPr>
                <w:rFonts w:hint="eastAsia" w:ascii="仿宋" w:hAnsi="仿宋" w:eastAsia="仿宋" w:cs="Arial"/>
                <w:b/>
                <w:bCs/>
                <w:color w:val="000000"/>
                <w:kern w:val="0"/>
                <w:sz w:val="22"/>
              </w:rPr>
              <w:t>1,617.94</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b/>
                <w:bCs/>
                <w:color w:val="000000"/>
                <w:kern w:val="0"/>
                <w:sz w:val="22"/>
              </w:rPr>
            </w:pPr>
            <w:r>
              <w:rPr>
                <w:rFonts w:hint="eastAsia" w:ascii="仿宋" w:hAnsi="仿宋" w:eastAsia="仿宋" w:cs="Arial"/>
                <w:b/>
                <w:bCs/>
                <w:color w:val="000000"/>
                <w:kern w:val="0"/>
                <w:sz w:val="22"/>
              </w:rPr>
              <w:t>1,145.57</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201</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一般公共服务支出</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1,186.61</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1,166.96</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19.65</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20103</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政府办公厅（室）及相关机构事务</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1,152.82</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1,135.17</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17.65</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2010302</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 xml:space="preserve">  一般行政管理事务</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1,152.82</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1,135.17</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17.65</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20105</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统计信息事务</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19.15</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19.15</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2010502</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 xml:space="preserve">  一般行政管理事务</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19.15</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19.15</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20106</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财政事务</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14.64</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12.64</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2010602</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 xml:space="preserve">  一般行政管理事务</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14.64</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12.64</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205</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教育支出</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207.48</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207.48</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20501</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教育管理事务</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207.48</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207.48</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2050102</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 xml:space="preserve">  一般行政管理事务</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207.48</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207.48</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208</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社会保障和就业支出</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72.73</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72.73</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20805</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行政事业单位离退休</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18.28</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18.28</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2080505</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 xml:space="preserve">  机关事业单位基本养老保险缴费支出</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18.28</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18.28</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20809</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退役安置</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54.45</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54.45</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2080901</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 xml:space="preserve">  退役士兵安置</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54.45</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54.45</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210</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卫生健康支出</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53.19</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53.19</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21001</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卫生健康管理事务</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53.19</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53.19</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2100102</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 xml:space="preserve">  一般行政管理事务</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53.19</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53.19</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211</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节能环保支出</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860.27</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860.27</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21103</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污染防治</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25.70</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25.70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2110302</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 xml:space="preserve">  水体</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25.70</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25.70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21104</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自然生态保护</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834.57</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834.57</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2110401</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 xml:space="preserve">  生态保护</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834.57</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834.57</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212</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城乡社区支出</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152.91</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152.91</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21203</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城乡社区公共设施</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19.91</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19.91</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2120303</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 xml:space="preserve">  小城镇基础设施建设</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19.91</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19.91</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21205</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城乡社区环境卫生</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133.00</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133.00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2120501</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 xml:space="preserve">  城乡社区环境卫生</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133.00</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133.00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213</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农林水支出</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225.33</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190.32</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35.01</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21301</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农业</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215.33</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190.32</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25.01</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2130102</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 xml:space="preserve">  一般行政管理事务</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190.32</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190.32</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2130152</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 xml:space="preserve">  对高校毕业生到基层任职补助</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25.01</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25.01</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21303</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水利</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10.00</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10.00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2130303</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 xml:space="preserve">  机关服务</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10.00</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10.00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224</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灾害防治及应急管理支出</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5.00</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5.00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22403</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森林消防事务</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5.00</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5.00</w:t>
            </w:r>
          </w:p>
        </w:tc>
      </w:tr>
      <w:tr>
        <w:tblPrEx>
          <w:tblCellMar>
            <w:top w:w="0" w:type="dxa"/>
            <w:left w:w="108" w:type="dxa"/>
            <w:bottom w:w="0" w:type="dxa"/>
            <w:right w:w="108" w:type="dxa"/>
          </w:tblCellMar>
        </w:tblPrEx>
        <w:trPr>
          <w:gridAfter w:val="5"/>
          <w:wAfter w:w="1572" w:type="dxa"/>
          <w:trHeight w:val="308" w:hRule="atLeast"/>
        </w:trPr>
        <w:tc>
          <w:tcPr>
            <w:tcW w:w="1398"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2240304</w:t>
            </w:r>
          </w:p>
        </w:tc>
        <w:tc>
          <w:tcPr>
            <w:tcW w:w="3507" w:type="dxa"/>
            <w:gridSpan w:val="10"/>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22"/>
              </w:rPr>
            </w:pPr>
            <w:r>
              <w:rPr>
                <w:rFonts w:hint="eastAsia" w:ascii="仿宋" w:hAnsi="仿宋" w:eastAsia="仿宋" w:cs="Arial"/>
                <w:color w:val="000000"/>
                <w:kern w:val="0"/>
                <w:sz w:val="22"/>
              </w:rPr>
              <w:t xml:space="preserve">  森林消防应急救援</w:t>
            </w:r>
          </w:p>
        </w:tc>
        <w:tc>
          <w:tcPr>
            <w:tcW w:w="1283"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5.00</w:t>
            </w:r>
          </w:p>
        </w:tc>
        <w:tc>
          <w:tcPr>
            <w:tcW w:w="1598" w:type="dxa"/>
            <w:gridSpan w:val="4"/>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0.00</w:t>
            </w:r>
          </w:p>
        </w:tc>
        <w:tc>
          <w:tcPr>
            <w:tcW w:w="1854" w:type="dxa"/>
            <w:gridSpan w:val="5"/>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22"/>
              </w:rPr>
            </w:pPr>
            <w:r>
              <w:rPr>
                <w:rFonts w:hint="eastAsia" w:ascii="仿宋" w:hAnsi="仿宋" w:eastAsia="仿宋" w:cs="Arial"/>
                <w:color w:val="000000"/>
                <w:kern w:val="0"/>
                <w:sz w:val="22"/>
              </w:rPr>
              <w:t>5.00</w:t>
            </w:r>
          </w:p>
        </w:tc>
      </w:tr>
    </w:tbl>
    <w:p>
      <w:pPr>
        <w:rPr>
          <w:rFonts w:hint="eastAsia" w:ascii="仿宋" w:hAnsi="仿宋" w:eastAsia="仿宋"/>
        </w:rPr>
      </w:pPr>
    </w:p>
    <w:tbl>
      <w:tblPr>
        <w:tblStyle w:val="7"/>
        <w:tblW w:w="9988" w:type="dxa"/>
        <w:tblInd w:w="-318" w:type="dxa"/>
        <w:tblLayout w:type="autofit"/>
        <w:tblCellMar>
          <w:top w:w="0" w:type="dxa"/>
          <w:left w:w="108" w:type="dxa"/>
          <w:bottom w:w="0" w:type="dxa"/>
          <w:right w:w="108" w:type="dxa"/>
        </w:tblCellMar>
      </w:tblPr>
      <w:tblGrid>
        <w:gridCol w:w="16"/>
        <w:gridCol w:w="909"/>
        <w:gridCol w:w="166"/>
        <w:gridCol w:w="960"/>
        <w:gridCol w:w="502"/>
        <w:gridCol w:w="298"/>
        <w:gridCol w:w="638"/>
        <w:gridCol w:w="182"/>
        <w:gridCol w:w="484"/>
        <w:gridCol w:w="216"/>
        <w:gridCol w:w="800"/>
        <w:gridCol w:w="96"/>
        <w:gridCol w:w="733"/>
        <w:gridCol w:w="23"/>
        <w:gridCol w:w="194"/>
        <w:gridCol w:w="666"/>
        <w:gridCol w:w="238"/>
        <w:gridCol w:w="1134"/>
        <w:gridCol w:w="669"/>
        <w:gridCol w:w="739"/>
        <w:gridCol w:w="325"/>
      </w:tblGrid>
      <w:tr>
        <w:tblPrEx>
          <w:tblCellMar>
            <w:top w:w="0" w:type="dxa"/>
            <w:left w:w="108" w:type="dxa"/>
            <w:bottom w:w="0" w:type="dxa"/>
            <w:right w:w="108" w:type="dxa"/>
          </w:tblCellMar>
        </w:tblPrEx>
        <w:trPr>
          <w:trHeight w:val="255" w:hRule="atLeast"/>
        </w:trPr>
        <w:tc>
          <w:tcPr>
            <w:tcW w:w="8924" w:type="dxa"/>
            <w:gridSpan w:val="19"/>
            <w:tcBorders>
              <w:top w:val="nil"/>
              <w:left w:val="nil"/>
              <w:bottom w:val="nil"/>
              <w:right w:val="nil"/>
            </w:tcBorders>
            <w:shd w:val="clear" w:color="auto" w:fill="auto"/>
            <w:noWrap/>
            <w:vAlign w:val="bottom"/>
          </w:tcPr>
          <w:p>
            <w:pPr>
              <w:widowControl/>
              <w:jc w:val="center"/>
              <w:rPr>
                <w:rFonts w:ascii="仿宋" w:hAnsi="仿宋" w:eastAsia="仿宋" w:cs="Arial"/>
                <w:b/>
                <w:bCs/>
                <w:color w:val="000000"/>
                <w:kern w:val="0"/>
                <w:sz w:val="32"/>
                <w:szCs w:val="32"/>
              </w:rPr>
            </w:pPr>
            <w:r>
              <w:rPr>
                <w:rFonts w:hint="eastAsia" w:ascii="仿宋" w:hAnsi="仿宋" w:eastAsia="仿宋" w:cs="Arial"/>
                <w:b/>
                <w:bCs/>
                <w:color w:val="000000"/>
                <w:kern w:val="0"/>
                <w:sz w:val="32"/>
                <w:szCs w:val="32"/>
              </w:rPr>
              <w:t>一般公共预算财政拨款基本支出决算表</w:t>
            </w:r>
          </w:p>
        </w:tc>
        <w:tc>
          <w:tcPr>
            <w:tcW w:w="1064" w:type="dxa"/>
            <w:gridSpan w:val="2"/>
            <w:tcBorders>
              <w:top w:val="nil"/>
              <w:left w:val="nil"/>
              <w:bottom w:val="nil"/>
              <w:right w:val="nil"/>
            </w:tcBorders>
            <w:shd w:val="clear" w:color="auto" w:fill="auto"/>
            <w:noWrap/>
            <w:vAlign w:val="bottom"/>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公开</w:t>
            </w:r>
            <w:r>
              <w:rPr>
                <w:rFonts w:ascii="仿宋" w:hAnsi="仿宋" w:eastAsia="仿宋" w:cs="Arial"/>
                <w:color w:val="000000"/>
                <w:kern w:val="0"/>
                <w:sz w:val="18"/>
                <w:szCs w:val="18"/>
              </w:rPr>
              <w:t>06</w:t>
            </w:r>
            <w:r>
              <w:rPr>
                <w:rFonts w:hint="eastAsia" w:ascii="仿宋" w:hAnsi="仿宋" w:eastAsia="仿宋" w:cs="Arial"/>
                <w:color w:val="000000"/>
                <w:kern w:val="0"/>
                <w:sz w:val="18"/>
                <w:szCs w:val="18"/>
              </w:rPr>
              <w:t>表</w:t>
            </w:r>
          </w:p>
        </w:tc>
      </w:tr>
      <w:tr>
        <w:tblPrEx>
          <w:tblCellMar>
            <w:top w:w="0" w:type="dxa"/>
            <w:left w:w="108" w:type="dxa"/>
            <w:bottom w:w="0" w:type="dxa"/>
            <w:right w:w="108" w:type="dxa"/>
          </w:tblCellMar>
        </w:tblPrEx>
        <w:trPr>
          <w:trHeight w:val="255" w:hRule="atLeast"/>
        </w:trPr>
        <w:tc>
          <w:tcPr>
            <w:tcW w:w="5267" w:type="dxa"/>
            <w:gridSpan w:val="12"/>
            <w:tcBorders>
              <w:top w:val="nil"/>
              <w:left w:val="nil"/>
              <w:bottom w:val="single" w:color="000000" w:sz="4" w:space="0"/>
              <w:right w:val="nil"/>
            </w:tcBorders>
            <w:shd w:val="clear" w:color="auto" w:fill="auto"/>
            <w:noWrap/>
            <w:vAlign w:val="bottom"/>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部门：石家庄市鹿泉区李村镇人民政府</w:t>
            </w:r>
          </w:p>
        </w:tc>
        <w:tc>
          <w:tcPr>
            <w:tcW w:w="733" w:type="dxa"/>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18"/>
                <w:szCs w:val="18"/>
              </w:rPr>
            </w:pPr>
          </w:p>
        </w:tc>
        <w:tc>
          <w:tcPr>
            <w:tcW w:w="883" w:type="dxa"/>
            <w:gridSpan w:val="3"/>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18"/>
                <w:szCs w:val="18"/>
              </w:rPr>
            </w:pPr>
          </w:p>
        </w:tc>
        <w:tc>
          <w:tcPr>
            <w:tcW w:w="3105" w:type="dxa"/>
            <w:gridSpan w:val="5"/>
            <w:tcBorders>
              <w:top w:val="nil"/>
              <w:left w:val="nil"/>
              <w:bottom w:val="single" w:color="000000" w:sz="4" w:space="0"/>
              <w:right w:val="nil"/>
            </w:tcBorders>
            <w:shd w:val="clear" w:color="auto" w:fill="auto"/>
            <w:noWrap/>
            <w:vAlign w:val="bottom"/>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金额单位：万元</w:t>
            </w:r>
          </w:p>
        </w:tc>
      </w:tr>
      <w:tr>
        <w:tblPrEx>
          <w:tblCellMar>
            <w:top w:w="0" w:type="dxa"/>
            <w:left w:w="108" w:type="dxa"/>
            <w:bottom w:w="0" w:type="dxa"/>
            <w:right w:w="108" w:type="dxa"/>
          </w:tblCellMar>
        </w:tblPrEx>
        <w:trPr>
          <w:trHeight w:val="308" w:hRule="atLeast"/>
        </w:trPr>
        <w:tc>
          <w:tcPr>
            <w:tcW w:w="3489"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人员经费</w:t>
            </w:r>
          </w:p>
        </w:tc>
        <w:tc>
          <w:tcPr>
            <w:tcW w:w="6499" w:type="dxa"/>
            <w:gridSpan w:val="14"/>
            <w:tcBorders>
              <w:top w:val="single" w:color="000000" w:sz="4" w:space="0"/>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公用经费</w:t>
            </w:r>
          </w:p>
        </w:tc>
      </w:tr>
      <w:tr>
        <w:tblPrEx>
          <w:tblCellMar>
            <w:top w:w="0" w:type="dxa"/>
            <w:left w:w="108" w:type="dxa"/>
            <w:bottom w:w="0" w:type="dxa"/>
            <w:right w:w="108" w:type="dxa"/>
          </w:tblCellMar>
        </w:tblPrEx>
        <w:trPr>
          <w:trHeight w:val="312" w:hRule="atLeast"/>
        </w:trPr>
        <w:tc>
          <w:tcPr>
            <w:tcW w:w="925"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科目编码</w:t>
            </w:r>
          </w:p>
        </w:tc>
        <w:tc>
          <w:tcPr>
            <w:tcW w:w="1628" w:type="dxa"/>
            <w:gridSpan w:val="3"/>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科目名称</w:t>
            </w:r>
          </w:p>
        </w:tc>
        <w:tc>
          <w:tcPr>
            <w:tcW w:w="936" w:type="dxa"/>
            <w:gridSpan w:val="2"/>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决算数</w:t>
            </w:r>
          </w:p>
        </w:tc>
        <w:tc>
          <w:tcPr>
            <w:tcW w:w="666" w:type="dxa"/>
            <w:gridSpan w:val="2"/>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科目编码</w:t>
            </w:r>
          </w:p>
        </w:tc>
        <w:tc>
          <w:tcPr>
            <w:tcW w:w="1112" w:type="dxa"/>
            <w:gridSpan w:val="3"/>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科目名称</w:t>
            </w:r>
          </w:p>
        </w:tc>
        <w:tc>
          <w:tcPr>
            <w:tcW w:w="950" w:type="dxa"/>
            <w:gridSpan w:val="3"/>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决算数</w:t>
            </w:r>
          </w:p>
        </w:tc>
        <w:tc>
          <w:tcPr>
            <w:tcW w:w="666"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科目编码</w:t>
            </w:r>
          </w:p>
        </w:tc>
        <w:tc>
          <w:tcPr>
            <w:tcW w:w="2041" w:type="dxa"/>
            <w:gridSpan w:val="3"/>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科目名称</w:t>
            </w:r>
          </w:p>
        </w:tc>
        <w:tc>
          <w:tcPr>
            <w:tcW w:w="1064" w:type="dxa"/>
            <w:gridSpan w:val="2"/>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决算数</w:t>
            </w:r>
          </w:p>
        </w:tc>
      </w:tr>
      <w:tr>
        <w:tblPrEx>
          <w:tblCellMar>
            <w:top w:w="0" w:type="dxa"/>
            <w:left w:w="108" w:type="dxa"/>
            <w:bottom w:w="0" w:type="dxa"/>
            <w:right w:w="108" w:type="dxa"/>
          </w:tblCellMar>
        </w:tblPrEx>
        <w:trPr>
          <w:trHeight w:val="312" w:hRule="atLeast"/>
        </w:trPr>
        <w:tc>
          <w:tcPr>
            <w:tcW w:w="925" w:type="dxa"/>
            <w:gridSpan w:val="2"/>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1628" w:type="dxa"/>
            <w:gridSpan w:val="3"/>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936" w:type="dxa"/>
            <w:gridSpan w:val="2"/>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666" w:type="dxa"/>
            <w:gridSpan w:val="2"/>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1112" w:type="dxa"/>
            <w:gridSpan w:val="3"/>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950" w:type="dxa"/>
            <w:gridSpan w:val="3"/>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666"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2041" w:type="dxa"/>
            <w:gridSpan w:val="3"/>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1064" w:type="dxa"/>
            <w:gridSpan w:val="2"/>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301</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工资福利支出</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875.20</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商品和服务支出</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369.69</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307</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债务利息及费用支出</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30101</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基本工资</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297.24</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30201</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办公费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53.72</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30701</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国内债务付息</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30102</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津贴补贴</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106.05</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30202</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印刷费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3.51</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30702</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国外债务付息</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30103</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奖金</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246.78</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30203</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咨询费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310</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资本性支出</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30106</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伙食补助费</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30204</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手续费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31001</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房屋建筑物购建</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30107</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绩效工资</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49.11</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30205</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水费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31002</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办公设备购置</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30108</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机关事业单位基本养老保险缴费</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67.71</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30206</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电费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18.00</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31003</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专用设备购置</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30109</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职业年金缴费</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30207</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邮电费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32.46</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31005</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基础设施建设</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30110</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职工基本医疗保险缴费</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52.00</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30208</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取暖费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12.00</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31006</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大型修缮</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30111</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公务员医疗补助缴费</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30209</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物业管理费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18.60</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31007</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信息网络及软件购置更新</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30112</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其他社会保障缴费</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30211</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差旅费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23.20</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31008</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物资储备</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30113</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住房公积金</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56.32</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30212</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因公出国（境）费用</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31009</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土地补偿</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30114</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医疗费</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30213</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维修（护）费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2.52</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31010</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安置补助</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30199</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其他工资福利支出</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30214</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租赁费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31011</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地上附着物和青苗补偿</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303</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对个人和家庭的补助</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373.05</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30215</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会议费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31012</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拆迁补偿</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30304</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抚恤金</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4.03</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30224</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被装购置费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31022</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无形资产购置</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30305</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生活补助</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369.03</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30225</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专用燃料费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31099</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其他资本性支出</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30306</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救济费</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30226</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劳务费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171.61</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399</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其他支出</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30307</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医疗费补助</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30227</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委托业务费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39906</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赠与</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30308</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助学金</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30228</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工会经费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39907</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国家赔偿费用支出</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30309</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奖励金</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30229</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福利费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11.50</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39908</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对民间非营利组织和群众性自治组织补贴</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30310</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个人农业生产补贴</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30231</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公务用车运行维护费</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5.22</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39999</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其他支出</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0" w:hRule="atLeast"/>
        </w:trPr>
        <w:tc>
          <w:tcPr>
            <w:tcW w:w="925"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30399</w:t>
            </w:r>
          </w:p>
        </w:tc>
        <w:tc>
          <w:tcPr>
            <w:tcW w:w="1628"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其他对个人和家庭的补助</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666"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30239</w:t>
            </w:r>
          </w:p>
        </w:tc>
        <w:tc>
          <w:tcPr>
            <w:tcW w:w="1112"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其他交通费用</w:t>
            </w:r>
          </w:p>
        </w:tc>
        <w:tc>
          <w:tcPr>
            <w:tcW w:w="95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17.34</w:t>
            </w:r>
          </w:p>
        </w:tc>
        <w:tc>
          <w:tcPr>
            <w:tcW w:w="666"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041"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r>
      <w:tr>
        <w:tblPrEx>
          <w:tblCellMar>
            <w:top w:w="0" w:type="dxa"/>
            <w:left w:w="108" w:type="dxa"/>
            <w:bottom w:w="0" w:type="dxa"/>
            <w:right w:w="108" w:type="dxa"/>
          </w:tblCellMar>
        </w:tblPrEx>
        <w:trPr>
          <w:trHeight w:val="308" w:hRule="atLeast"/>
        </w:trPr>
        <w:tc>
          <w:tcPr>
            <w:tcW w:w="2553" w:type="dxa"/>
            <w:gridSpan w:val="5"/>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人员经费合计</w:t>
            </w:r>
          </w:p>
        </w:tc>
        <w:tc>
          <w:tcPr>
            <w:tcW w:w="93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1,248.25</w:t>
            </w:r>
          </w:p>
        </w:tc>
        <w:tc>
          <w:tcPr>
            <w:tcW w:w="5435" w:type="dxa"/>
            <w:gridSpan w:val="12"/>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公用经费合计</w:t>
            </w:r>
          </w:p>
        </w:tc>
        <w:tc>
          <w:tcPr>
            <w:tcW w:w="1064"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369.69</w:t>
            </w:r>
          </w:p>
        </w:tc>
      </w:tr>
      <w:tr>
        <w:tblPrEx>
          <w:tblCellMar>
            <w:top w:w="0" w:type="dxa"/>
            <w:left w:w="0" w:type="dxa"/>
            <w:bottom w:w="0" w:type="dxa"/>
            <w:right w:w="0" w:type="dxa"/>
          </w:tblCellMar>
        </w:tblPrEx>
        <w:trPr>
          <w:gridBefore w:val="1"/>
          <w:gridAfter w:val="1"/>
          <w:wBefore w:w="16" w:type="dxa"/>
          <w:wAfter w:w="325" w:type="dxa"/>
          <w:trHeight w:val="638" w:hRule="atLeast"/>
          <w:jc w:val="center"/>
        </w:trPr>
        <w:tc>
          <w:tcPr>
            <w:tcW w:w="9647" w:type="dxa"/>
            <w:gridSpan w:val="19"/>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仿宋" w:hAnsi="仿宋" w:eastAsia="仿宋" w:cs="黑体"/>
                <w:color w:val="000000"/>
                <w:sz w:val="32"/>
                <w:szCs w:val="32"/>
              </w:rPr>
            </w:pPr>
            <w:r>
              <w:rPr>
                <w:rFonts w:hint="eastAsia" w:ascii="仿宋" w:hAnsi="仿宋" w:eastAsia="仿宋" w:cs="黑体"/>
                <w:b/>
                <w:color w:val="000000"/>
                <w:kern w:val="0"/>
                <w:sz w:val="32"/>
                <w:szCs w:val="32"/>
              </w:rPr>
              <w:t xml:space="preserve">    一般公共预算财政拨款“三公”经费支出决算表  </w:t>
            </w:r>
            <w:r>
              <w:rPr>
                <w:rFonts w:hint="eastAsia" w:ascii="仿宋" w:hAnsi="仿宋" w:eastAsia="仿宋" w:cs="黑体"/>
                <w:color w:val="000000"/>
                <w:kern w:val="0"/>
                <w:sz w:val="32"/>
                <w:szCs w:val="32"/>
              </w:rPr>
              <w:t xml:space="preserve"> </w:t>
            </w:r>
            <w:r>
              <w:rPr>
                <w:rFonts w:hint="eastAsia" w:ascii="仿宋" w:hAnsi="仿宋" w:eastAsia="仿宋" w:cs="黑体"/>
                <w:color w:val="000000"/>
                <w:kern w:val="0"/>
                <w:sz w:val="18"/>
                <w:szCs w:val="18"/>
              </w:rPr>
              <w:t>公开07表</w:t>
            </w:r>
          </w:p>
        </w:tc>
      </w:tr>
      <w:tr>
        <w:tblPrEx>
          <w:tblCellMar>
            <w:top w:w="0" w:type="dxa"/>
            <w:left w:w="108" w:type="dxa"/>
            <w:bottom w:w="0" w:type="dxa"/>
            <w:right w:w="108" w:type="dxa"/>
          </w:tblCellMar>
        </w:tblPrEx>
        <w:trPr>
          <w:gridAfter w:val="1"/>
          <w:wAfter w:w="325" w:type="dxa"/>
          <w:trHeight w:val="255" w:hRule="atLeast"/>
        </w:trPr>
        <w:tc>
          <w:tcPr>
            <w:tcW w:w="4371" w:type="dxa"/>
            <w:gridSpan w:val="10"/>
            <w:tcBorders>
              <w:top w:val="nil"/>
              <w:left w:val="nil"/>
              <w:bottom w:val="single" w:color="000000" w:sz="4" w:space="0"/>
              <w:right w:val="nil"/>
            </w:tcBorders>
            <w:shd w:val="clear" w:color="auto" w:fill="auto"/>
            <w:noWrap/>
            <w:vAlign w:val="bottom"/>
          </w:tcPr>
          <w:p>
            <w:pPr>
              <w:widowControl/>
              <w:jc w:val="left"/>
              <w:rPr>
                <w:rFonts w:ascii="仿宋" w:hAnsi="仿宋" w:eastAsia="仿宋" w:cs="Arial"/>
                <w:color w:val="000000"/>
                <w:kern w:val="0"/>
                <w:sz w:val="20"/>
                <w:szCs w:val="20"/>
              </w:rPr>
            </w:pPr>
            <w:r>
              <w:rPr>
                <w:rFonts w:hint="eastAsia" w:ascii="仿宋" w:hAnsi="仿宋" w:eastAsia="仿宋" w:cs="Arial"/>
                <w:color w:val="000000"/>
                <w:kern w:val="0"/>
                <w:sz w:val="20"/>
                <w:szCs w:val="20"/>
              </w:rPr>
              <w:t>部门：石家庄市鹿泉区李村镇人民政府</w:t>
            </w:r>
          </w:p>
        </w:tc>
        <w:tc>
          <w:tcPr>
            <w:tcW w:w="800" w:type="dxa"/>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p>
        </w:tc>
        <w:tc>
          <w:tcPr>
            <w:tcW w:w="852" w:type="dxa"/>
            <w:gridSpan w:val="3"/>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p>
        </w:tc>
        <w:tc>
          <w:tcPr>
            <w:tcW w:w="3640" w:type="dxa"/>
            <w:gridSpan w:val="6"/>
            <w:tcBorders>
              <w:top w:val="nil"/>
              <w:left w:val="nil"/>
              <w:bottom w:val="single" w:color="000000" w:sz="4" w:space="0"/>
              <w:right w:val="nil"/>
            </w:tcBorders>
            <w:shd w:val="clear" w:color="auto" w:fill="auto"/>
            <w:noWrap/>
            <w:vAlign w:val="bottom"/>
          </w:tcPr>
          <w:p>
            <w:pPr>
              <w:widowControl/>
              <w:jc w:val="right"/>
              <w:rPr>
                <w:rFonts w:ascii="仿宋" w:hAnsi="仿宋" w:eastAsia="仿宋" w:cs="Arial"/>
                <w:color w:val="000000"/>
                <w:kern w:val="0"/>
                <w:sz w:val="20"/>
                <w:szCs w:val="20"/>
              </w:rPr>
            </w:pPr>
            <w:r>
              <w:rPr>
                <w:rFonts w:hint="eastAsia" w:ascii="仿宋" w:hAnsi="仿宋" w:eastAsia="仿宋" w:cs="Arial"/>
                <w:color w:val="000000"/>
                <w:kern w:val="0"/>
                <w:sz w:val="20"/>
                <w:szCs w:val="20"/>
              </w:rPr>
              <w:t>金额单位：万元</w:t>
            </w:r>
          </w:p>
        </w:tc>
      </w:tr>
      <w:tr>
        <w:tblPrEx>
          <w:tblCellMar>
            <w:top w:w="0" w:type="dxa"/>
            <w:left w:w="108" w:type="dxa"/>
            <w:bottom w:w="0" w:type="dxa"/>
            <w:right w:w="108" w:type="dxa"/>
          </w:tblCellMar>
        </w:tblPrEx>
        <w:trPr>
          <w:gridAfter w:val="1"/>
          <w:wAfter w:w="325" w:type="dxa"/>
          <w:trHeight w:val="308" w:hRule="atLeast"/>
        </w:trPr>
        <w:tc>
          <w:tcPr>
            <w:tcW w:w="437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预算数</w:t>
            </w:r>
          </w:p>
        </w:tc>
        <w:tc>
          <w:tcPr>
            <w:tcW w:w="5292" w:type="dxa"/>
            <w:gridSpan w:val="10"/>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22"/>
              </w:rPr>
            </w:pPr>
            <w:r>
              <w:rPr>
                <w:rFonts w:hint="eastAsia" w:ascii="仿宋" w:hAnsi="仿宋" w:eastAsia="仿宋" w:cs="Arial"/>
                <w:color w:val="000000"/>
                <w:kern w:val="0"/>
                <w:sz w:val="22"/>
              </w:rPr>
              <w:t>决算数</w:t>
            </w:r>
          </w:p>
        </w:tc>
      </w:tr>
      <w:tr>
        <w:tblPrEx>
          <w:tblCellMar>
            <w:top w:w="0" w:type="dxa"/>
            <w:left w:w="108" w:type="dxa"/>
            <w:bottom w:w="0" w:type="dxa"/>
            <w:right w:w="108" w:type="dxa"/>
          </w:tblCellMar>
        </w:tblPrEx>
        <w:trPr>
          <w:gridAfter w:val="1"/>
          <w:wAfter w:w="325" w:type="dxa"/>
          <w:trHeight w:val="308" w:hRule="atLeast"/>
        </w:trPr>
        <w:tc>
          <w:tcPr>
            <w:tcW w:w="1091" w:type="dxa"/>
            <w:gridSpan w:val="3"/>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合计</w:t>
            </w:r>
          </w:p>
        </w:tc>
        <w:tc>
          <w:tcPr>
            <w:tcW w:w="960"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因公出国（境）费</w:t>
            </w:r>
          </w:p>
        </w:tc>
        <w:tc>
          <w:tcPr>
            <w:tcW w:w="2320" w:type="dxa"/>
            <w:gridSpan w:val="6"/>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公务用车购置及运行费</w:t>
            </w:r>
          </w:p>
        </w:tc>
        <w:tc>
          <w:tcPr>
            <w:tcW w:w="896" w:type="dxa"/>
            <w:gridSpan w:val="2"/>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合计</w:t>
            </w:r>
          </w:p>
        </w:tc>
        <w:tc>
          <w:tcPr>
            <w:tcW w:w="756" w:type="dxa"/>
            <w:gridSpan w:val="2"/>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因公出国（境）费</w:t>
            </w:r>
          </w:p>
        </w:tc>
        <w:tc>
          <w:tcPr>
            <w:tcW w:w="3640" w:type="dxa"/>
            <w:gridSpan w:val="6"/>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公务用车购置及运行费</w:t>
            </w:r>
          </w:p>
        </w:tc>
      </w:tr>
      <w:tr>
        <w:tblPrEx>
          <w:tblCellMar>
            <w:top w:w="0" w:type="dxa"/>
            <w:left w:w="108" w:type="dxa"/>
            <w:bottom w:w="0" w:type="dxa"/>
            <w:right w:w="108" w:type="dxa"/>
          </w:tblCellMar>
        </w:tblPrEx>
        <w:trPr>
          <w:gridAfter w:val="1"/>
          <w:wAfter w:w="325" w:type="dxa"/>
          <w:trHeight w:val="615" w:hRule="atLeast"/>
        </w:trPr>
        <w:tc>
          <w:tcPr>
            <w:tcW w:w="1091"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960"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800"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小计</w:t>
            </w:r>
          </w:p>
        </w:tc>
        <w:tc>
          <w:tcPr>
            <w:tcW w:w="820"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公务用车购置费</w:t>
            </w:r>
          </w:p>
        </w:tc>
        <w:tc>
          <w:tcPr>
            <w:tcW w:w="700"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公务用车运行费</w:t>
            </w:r>
          </w:p>
        </w:tc>
        <w:tc>
          <w:tcPr>
            <w:tcW w:w="896" w:type="dxa"/>
            <w:gridSpan w:val="2"/>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756" w:type="dxa"/>
            <w:gridSpan w:val="2"/>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1098" w:type="dxa"/>
            <w:gridSpan w:val="3"/>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小计</w:t>
            </w:r>
          </w:p>
        </w:tc>
        <w:tc>
          <w:tcPr>
            <w:tcW w:w="1134"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公务用车购置费</w:t>
            </w:r>
          </w:p>
        </w:tc>
        <w:tc>
          <w:tcPr>
            <w:tcW w:w="1408"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公务用车运行费</w:t>
            </w:r>
          </w:p>
        </w:tc>
      </w:tr>
      <w:tr>
        <w:tblPrEx>
          <w:tblCellMar>
            <w:top w:w="0" w:type="dxa"/>
            <w:left w:w="108" w:type="dxa"/>
            <w:bottom w:w="0" w:type="dxa"/>
            <w:right w:w="108" w:type="dxa"/>
          </w:tblCellMar>
        </w:tblPrEx>
        <w:trPr>
          <w:gridAfter w:val="1"/>
          <w:wAfter w:w="325" w:type="dxa"/>
          <w:trHeight w:val="308" w:hRule="atLeast"/>
        </w:trPr>
        <w:tc>
          <w:tcPr>
            <w:tcW w:w="109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1</w:t>
            </w:r>
          </w:p>
        </w:tc>
        <w:tc>
          <w:tcPr>
            <w:tcW w:w="96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2</w:t>
            </w:r>
          </w:p>
        </w:tc>
        <w:tc>
          <w:tcPr>
            <w:tcW w:w="800"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3</w:t>
            </w:r>
          </w:p>
        </w:tc>
        <w:tc>
          <w:tcPr>
            <w:tcW w:w="820"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4</w:t>
            </w:r>
          </w:p>
        </w:tc>
        <w:tc>
          <w:tcPr>
            <w:tcW w:w="700"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5</w:t>
            </w:r>
          </w:p>
        </w:tc>
        <w:tc>
          <w:tcPr>
            <w:tcW w:w="896"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7</w:t>
            </w:r>
          </w:p>
        </w:tc>
        <w:tc>
          <w:tcPr>
            <w:tcW w:w="756"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8</w:t>
            </w:r>
          </w:p>
        </w:tc>
        <w:tc>
          <w:tcPr>
            <w:tcW w:w="1098" w:type="dxa"/>
            <w:gridSpan w:val="3"/>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9</w:t>
            </w:r>
          </w:p>
        </w:tc>
        <w:tc>
          <w:tcPr>
            <w:tcW w:w="1134"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10</w:t>
            </w:r>
          </w:p>
        </w:tc>
        <w:tc>
          <w:tcPr>
            <w:tcW w:w="1408"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11</w:t>
            </w:r>
          </w:p>
        </w:tc>
      </w:tr>
      <w:tr>
        <w:tblPrEx>
          <w:tblCellMar>
            <w:top w:w="0" w:type="dxa"/>
            <w:left w:w="108" w:type="dxa"/>
            <w:bottom w:w="0" w:type="dxa"/>
            <w:right w:w="108" w:type="dxa"/>
          </w:tblCellMar>
        </w:tblPrEx>
        <w:trPr>
          <w:gridAfter w:val="1"/>
          <w:wAfter w:w="325" w:type="dxa"/>
          <w:trHeight w:val="308" w:hRule="atLeast"/>
        </w:trPr>
        <w:tc>
          <w:tcPr>
            <w:tcW w:w="109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5.40</w:t>
            </w:r>
          </w:p>
        </w:tc>
        <w:tc>
          <w:tcPr>
            <w:tcW w:w="96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80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5.40</w:t>
            </w:r>
          </w:p>
        </w:tc>
        <w:tc>
          <w:tcPr>
            <w:tcW w:w="8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70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5.40</w:t>
            </w:r>
          </w:p>
        </w:tc>
        <w:tc>
          <w:tcPr>
            <w:tcW w:w="89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5.22</w:t>
            </w:r>
          </w:p>
        </w:tc>
        <w:tc>
          <w:tcPr>
            <w:tcW w:w="75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098"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5.22</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408"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5.22</w:t>
            </w:r>
          </w:p>
        </w:tc>
      </w:tr>
    </w:tbl>
    <w:p>
      <w:pPr>
        <w:rPr>
          <w:rFonts w:hint="eastAsia" w:ascii="仿宋" w:hAnsi="仿宋" w:eastAsia="仿宋"/>
        </w:rPr>
      </w:pPr>
      <w:r>
        <w:rPr>
          <w:rFonts w:hint="eastAsia" w:ascii="仿宋" w:hAnsi="仿宋" w:eastAsia="仿宋"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 w:hAnsi="仿宋" w:eastAsia="仿宋" w:cs="仿宋_GB2312"/>
        </w:rPr>
        <w:tab/>
      </w:r>
      <w:r>
        <w:rPr>
          <w:rFonts w:ascii="仿宋" w:hAnsi="仿宋" w:eastAsia="仿宋"/>
        </w:rPr>
        <w:tab/>
      </w:r>
      <w:r>
        <w:rPr>
          <w:rFonts w:ascii="仿宋" w:hAnsi="仿宋" w:eastAsia="仿宋"/>
        </w:rPr>
        <w:tab/>
      </w:r>
      <w:r>
        <w:rPr>
          <w:rFonts w:ascii="仿宋" w:hAnsi="仿宋" w:eastAsia="仿宋"/>
        </w:rPr>
        <w:tab/>
      </w:r>
      <w:r>
        <w:rPr>
          <w:rFonts w:ascii="仿宋" w:hAnsi="仿宋" w:eastAsia="仿宋"/>
        </w:rPr>
        <w:tab/>
      </w:r>
      <w:r>
        <w:rPr>
          <w:rFonts w:ascii="仿宋" w:hAnsi="仿宋" w:eastAsia="仿宋"/>
        </w:rPr>
        <w:tab/>
      </w:r>
      <w:r>
        <w:rPr>
          <w:rFonts w:ascii="仿宋" w:hAnsi="仿宋" w:eastAsia="仿宋"/>
        </w:rPr>
        <w:tab/>
      </w:r>
    </w:p>
    <w:p>
      <w:pPr>
        <w:rPr>
          <w:rFonts w:hint="eastAsia" w:ascii="仿宋" w:hAnsi="仿宋" w:eastAsia="仿宋"/>
        </w:rPr>
      </w:pPr>
    </w:p>
    <w:p>
      <w:pPr>
        <w:rPr>
          <w:rFonts w:hint="eastAsia" w:ascii="仿宋" w:hAnsi="仿宋" w:eastAsia="仿宋"/>
        </w:rPr>
      </w:pPr>
    </w:p>
    <w:p>
      <w:pPr>
        <w:rPr>
          <w:rFonts w:hint="eastAsia" w:ascii="仿宋" w:hAnsi="仿宋" w:eastAsia="仿宋"/>
        </w:rPr>
      </w:pPr>
    </w:p>
    <w:p>
      <w:pPr>
        <w:rPr>
          <w:rFonts w:hint="eastAsia" w:ascii="仿宋" w:hAnsi="仿宋" w:eastAsia="仿宋"/>
        </w:rPr>
      </w:pPr>
    </w:p>
    <w:p>
      <w:pPr>
        <w:rPr>
          <w:rFonts w:hint="eastAsia" w:ascii="仿宋" w:hAnsi="仿宋" w:eastAsia="仿宋"/>
        </w:rPr>
      </w:pPr>
    </w:p>
    <w:p>
      <w:pPr>
        <w:rPr>
          <w:rFonts w:hint="eastAsia" w:ascii="仿宋" w:hAnsi="仿宋" w:eastAsia="仿宋"/>
        </w:rPr>
      </w:pPr>
    </w:p>
    <w:tbl>
      <w:tblPr>
        <w:tblStyle w:val="7"/>
        <w:tblW w:w="9199" w:type="dxa"/>
        <w:tblInd w:w="89" w:type="dxa"/>
        <w:tblLayout w:type="autofit"/>
        <w:tblCellMar>
          <w:top w:w="0" w:type="dxa"/>
          <w:left w:w="108" w:type="dxa"/>
          <w:bottom w:w="0" w:type="dxa"/>
          <w:right w:w="108" w:type="dxa"/>
        </w:tblCellMar>
      </w:tblPr>
      <w:tblGrid>
        <w:gridCol w:w="846"/>
        <w:gridCol w:w="2845"/>
        <w:gridCol w:w="1000"/>
        <w:gridCol w:w="1138"/>
        <w:gridCol w:w="994"/>
        <w:gridCol w:w="206"/>
        <w:gridCol w:w="579"/>
        <w:gridCol w:w="761"/>
        <w:gridCol w:w="830"/>
      </w:tblGrid>
      <w:tr>
        <w:tblPrEx>
          <w:tblCellMar>
            <w:top w:w="0" w:type="dxa"/>
            <w:left w:w="108" w:type="dxa"/>
            <w:bottom w:w="0" w:type="dxa"/>
            <w:right w:w="108" w:type="dxa"/>
          </w:tblCellMar>
        </w:tblPrEx>
        <w:trPr>
          <w:trHeight w:val="390" w:hRule="atLeast"/>
        </w:trPr>
        <w:tc>
          <w:tcPr>
            <w:tcW w:w="9199" w:type="dxa"/>
            <w:gridSpan w:val="9"/>
            <w:tcBorders>
              <w:top w:val="nil"/>
              <w:left w:val="nil"/>
              <w:bottom w:val="nil"/>
            </w:tcBorders>
            <w:shd w:val="clear" w:color="auto" w:fill="auto"/>
            <w:noWrap/>
            <w:vAlign w:val="bottom"/>
          </w:tcPr>
          <w:p>
            <w:pPr>
              <w:widowControl/>
              <w:jc w:val="center"/>
              <w:rPr>
                <w:rFonts w:ascii="仿宋" w:hAnsi="仿宋" w:eastAsia="仿宋" w:cs="Arial"/>
                <w:b/>
                <w:bCs/>
                <w:color w:val="000000"/>
                <w:kern w:val="0"/>
                <w:sz w:val="32"/>
                <w:szCs w:val="32"/>
              </w:rPr>
            </w:pPr>
            <w:r>
              <w:rPr>
                <w:rFonts w:hint="eastAsia" w:ascii="仿宋" w:hAnsi="仿宋" w:eastAsia="仿宋" w:cs="Arial"/>
                <w:b/>
                <w:bCs/>
                <w:color w:val="000000"/>
                <w:kern w:val="0"/>
                <w:sz w:val="32"/>
                <w:szCs w:val="32"/>
              </w:rPr>
              <w:t>政府性基金预算财政拨款收入支出决算表</w:t>
            </w:r>
          </w:p>
          <w:p>
            <w:pPr>
              <w:widowControl/>
              <w:ind w:right="100"/>
              <w:jc w:val="right"/>
              <w:rPr>
                <w:rFonts w:ascii="仿宋" w:hAnsi="仿宋" w:eastAsia="仿宋" w:cs="Arial"/>
                <w:color w:val="000000"/>
                <w:kern w:val="0"/>
                <w:sz w:val="20"/>
                <w:szCs w:val="20"/>
              </w:rPr>
            </w:pPr>
            <w:r>
              <w:rPr>
                <w:rFonts w:hint="eastAsia" w:ascii="仿宋" w:hAnsi="仿宋" w:eastAsia="仿宋" w:cs="Arial"/>
                <w:color w:val="000000"/>
                <w:kern w:val="0"/>
                <w:sz w:val="20"/>
                <w:szCs w:val="20"/>
              </w:rPr>
              <w:t>公开08表</w:t>
            </w:r>
          </w:p>
        </w:tc>
      </w:tr>
      <w:tr>
        <w:tblPrEx>
          <w:tblCellMar>
            <w:top w:w="0" w:type="dxa"/>
            <w:left w:w="108" w:type="dxa"/>
            <w:bottom w:w="0" w:type="dxa"/>
            <w:right w:w="108" w:type="dxa"/>
          </w:tblCellMar>
        </w:tblPrEx>
        <w:trPr>
          <w:trHeight w:val="255" w:hRule="atLeast"/>
        </w:trPr>
        <w:tc>
          <w:tcPr>
            <w:tcW w:w="5829" w:type="dxa"/>
            <w:gridSpan w:val="4"/>
            <w:tcBorders>
              <w:top w:val="nil"/>
              <w:left w:val="nil"/>
              <w:bottom w:val="single" w:color="000000" w:sz="4" w:space="0"/>
              <w:right w:val="nil"/>
            </w:tcBorders>
            <w:shd w:val="clear" w:color="auto" w:fill="auto"/>
            <w:noWrap/>
            <w:vAlign w:val="bottom"/>
          </w:tcPr>
          <w:p>
            <w:pPr>
              <w:widowControl/>
              <w:jc w:val="left"/>
              <w:rPr>
                <w:rFonts w:ascii="仿宋" w:hAnsi="仿宋" w:eastAsia="仿宋" w:cs="Arial"/>
                <w:color w:val="000000"/>
                <w:kern w:val="0"/>
                <w:sz w:val="20"/>
                <w:szCs w:val="20"/>
              </w:rPr>
            </w:pPr>
            <w:r>
              <w:rPr>
                <w:rFonts w:hint="eastAsia" w:ascii="仿宋" w:hAnsi="仿宋" w:eastAsia="仿宋" w:cs="Arial"/>
                <w:color w:val="000000"/>
                <w:kern w:val="0"/>
                <w:sz w:val="20"/>
                <w:szCs w:val="20"/>
              </w:rPr>
              <w:t>部门：石家庄市鹿泉区李村镇人民政府</w:t>
            </w:r>
          </w:p>
        </w:tc>
        <w:tc>
          <w:tcPr>
            <w:tcW w:w="1200" w:type="dxa"/>
            <w:gridSpan w:val="2"/>
            <w:tcBorders>
              <w:top w:val="nil"/>
              <w:left w:val="nil"/>
              <w:bottom w:val="nil"/>
              <w:right w:val="nil"/>
            </w:tcBorders>
            <w:shd w:val="clear" w:color="auto" w:fill="auto"/>
            <w:noWrap/>
            <w:vAlign w:val="bottom"/>
          </w:tcPr>
          <w:p>
            <w:pPr>
              <w:widowControl/>
              <w:jc w:val="left"/>
              <w:rPr>
                <w:rFonts w:ascii="仿宋" w:hAnsi="仿宋" w:eastAsia="仿宋" w:cs="Arial"/>
                <w:color w:val="000000"/>
                <w:kern w:val="0"/>
                <w:sz w:val="20"/>
                <w:szCs w:val="20"/>
              </w:rPr>
            </w:pPr>
          </w:p>
        </w:tc>
        <w:tc>
          <w:tcPr>
            <w:tcW w:w="2170" w:type="dxa"/>
            <w:gridSpan w:val="3"/>
            <w:tcBorders>
              <w:top w:val="nil"/>
              <w:left w:val="nil"/>
              <w:bottom w:val="single" w:color="000000" w:sz="4" w:space="0"/>
              <w:right w:val="nil"/>
            </w:tcBorders>
            <w:shd w:val="clear" w:color="auto" w:fill="auto"/>
            <w:noWrap/>
            <w:vAlign w:val="bottom"/>
          </w:tcPr>
          <w:p>
            <w:pPr>
              <w:widowControl/>
              <w:jc w:val="right"/>
              <w:rPr>
                <w:rFonts w:ascii="仿宋" w:hAnsi="仿宋" w:eastAsia="仿宋" w:cs="Arial"/>
                <w:color w:val="000000"/>
                <w:kern w:val="0"/>
                <w:sz w:val="20"/>
                <w:szCs w:val="20"/>
              </w:rPr>
            </w:pPr>
            <w:r>
              <w:rPr>
                <w:rFonts w:hint="eastAsia" w:ascii="仿宋" w:hAnsi="仿宋" w:eastAsia="仿宋" w:cs="Arial"/>
                <w:color w:val="000000"/>
                <w:kern w:val="0"/>
                <w:sz w:val="20"/>
                <w:szCs w:val="20"/>
              </w:rPr>
              <w:t>金额单位：万元</w:t>
            </w:r>
          </w:p>
        </w:tc>
      </w:tr>
      <w:tr>
        <w:tblPrEx>
          <w:tblCellMar>
            <w:top w:w="0" w:type="dxa"/>
            <w:left w:w="108" w:type="dxa"/>
            <w:bottom w:w="0" w:type="dxa"/>
            <w:right w:w="108" w:type="dxa"/>
          </w:tblCellMar>
        </w:tblPrEx>
        <w:trPr>
          <w:trHeight w:val="308" w:hRule="atLeast"/>
        </w:trPr>
        <w:tc>
          <w:tcPr>
            <w:tcW w:w="369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项目</w:t>
            </w:r>
          </w:p>
        </w:tc>
        <w:tc>
          <w:tcPr>
            <w:tcW w:w="1000"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年初结转和结余</w:t>
            </w:r>
          </w:p>
        </w:tc>
        <w:tc>
          <w:tcPr>
            <w:tcW w:w="1138"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本年收入</w:t>
            </w:r>
          </w:p>
        </w:tc>
        <w:tc>
          <w:tcPr>
            <w:tcW w:w="2540" w:type="dxa"/>
            <w:gridSpan w:val="4"/>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本年支出</w:t>
            </w:r>
          </w:p>
        </w:tc>
        <w:tc>
          <w:tcPr>
            <w:tcW w:w="830"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年末结转和结余</w:t>
            </w:r>
          </w:p>
        </w:tc>
      </w:tr>
      <w:tr>
        <w:tblPrEx>
          <w:tblCellMar>
            <w:top w:w="0" w:type="dxa"/>
            <w:left w:w="108" w:type="dxa"/>
            <w:bottom w:w="0" w:type="dxa"/>
            <w:right w:w="108" w:type="dxa"/>
          </w:tblCellMar>
        </w:tblPrEx>
        <w:trPr>
          <w:trHeight w:val="312" w:hRule="atLeast"/>
        </w:trPr>
        <w:tc>
          <w:tcPr>
            <w:tcW w:w="846"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功能分类科目编码</w:t>
            </w:r>
          </w:p>
        </w:tc>
        <w:tc>
          <w:tcPr>
            <w:tcW w:w="2845" w:type="dxa"/>
            <w:vMerge w:val="restart"/>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科目名称</w:t>
            </w:r>
          </w:p>
        </w:tc>
        <w:tc>
          <w:tcPr>
            <w:tcW w:w="1000"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1138"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994"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小计</w:t>
            </w:r>
          </w:p>
        </w:tc>
        <w:tc>
          <w:tcPr>
            <w:tcW w:w="785" w:type="dxa"/>
            <w:gridSpan w:val="2"/>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基本支出</w:t>
            </w:r>
          </w:p>
        </w:tc>
        <w:tc>
          <w:tcPr>
            <w:tcW w:w="761"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项目支出</w:t>
            </w:r>
          </w:p>
        </w:tc>
        <w:tc>
          <w:tcPr>
            <w:tcW w:w="830"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r>
      <w:tr>
        <w:tblPrEx>
          <w:tblCellMar>
            <w:top w:w="0" w:type="dxa"/>
            <w:left w:w="108" w:type="dxa"/>
            <w:bottom w:w="0" w:type="dxa"/>
            <w:right w:w="108" w:type="dxa"/>
          </w:tblCellMar>
        </w:tblPrEx>
        <w:trPr>
          <w:trHeight w:val="312" w:hRule="atLeast"/>
        </w:trPr>
        <w:tc>
          <w:tcPr>
            <w:tcW w:w="846" w:type="dxa"/>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2845"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1000"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1138"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994"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785" w:type="dxa"/>
            <w:gridSpan w:val="2"/>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761"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830"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r>
      <w:tr>
        <w:tblPrEx>
          <w:tblCellMar>
            <w:top w:w="0" w:type="dxa"/>
            <w:left w:w="108" w:type="dxa"/>
            <w:bottom w:w="0" w:type="dxa"/>
            <w:right w:w="108" w:type="dxa"/>
          </w:tblCellMar>
        </w:tblPrEx>
        <w:trPr>
          <w:trHeight w:val="312" w:hRule="atLeast"/>
        </w:trPr>
        <w:tc>
          <w:tcPr>
            <w:tcW w:w="846" w:type="dxa"/>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2845"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1000"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1138"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994"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785" w:type="dxa"/>
            <w:gridSpan w:val="2"/>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761"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c>
          <w:tcPr>
            <w:tcW w:w="830" w:type="dxa"/>
            <w:vMerge w:val="continue"/>
            <w:tcBorders>
              <w:top w:val="nil"/>
              <w:left w:val="nil"/>
              <w:bottom w:val="single" w:color="000000" w:sz="4" w:space="0"/>
              <w:right w:val="single" w:color="000000" w:sz="4" w:space="0"/>
            </w:tcBorders>
            <w:vAlign w:val="center"/>
          </w:tcPr>
          <w:p>
            <w:pPr>
              <w:widowControl/>
              <w:jc w:val="left"/>
              <w:rPr>
                <w:rFonts w:ascii="仿宋" w:hAnsi="仿宋" w:eastAsia="仿宋" w:cs="Arial"/>
                <w:color w:val="000000"/>
                <w:kern w:val="0"/>
                <w:sz w:val="18"/>
                <w:szCs w:val="18"/>
              </w:rPr>
            </w:pPr>
          </w:p>
        </w:tc>
      </w:tr>
      <w:tr>
        <w:tblPrEx>
          <w:tblCellMar>
            <w:top w:w="0" w:type="dxa"/>
            <w:left w:w="108" w:type="dxa"/>
            <w:bottom w:w="0" w:type="dxa"/>
            <w:right w:w="108" w:type="dxa"/>
          </w:tblCellMar>
        </w:tblPrEx>
        <w:trPr>
          <w:trHeight w:val="308" w:hRule="atLeast"/>
        </w:trPr>
        <w:tc>
          <w:tcPr>
            <w:tcW w:w="3691"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栏次</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1</w:t>
            </w:r>
          </w:p>
        </w:tc>
        <w:tc>
          <w:tcPr>
            <w:tcW w:w="1138"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2</w:t>
            </w:r>
          </w:p>
        </w:tc>
        <w:tc>
          <w:tcPr>
            <w:tcW w:w="994"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3</w:t>
            </w:r>
          </w:p>
        </w:tc>
        <w:tc>
          <w:tcPr>
            <w:tcW w:w="78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4</w:t>
            </w:r>
          </w:p>
        </w:tc>
        <w:tc>
          <w:tcPr>
            <w:tcW w:w="761"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5</w:t>
            </w:r>
          </w:p>
        </w:tc>
        <w:tc>
          <w:tcPr>
            <w:tcW w:w="830" w:type="dxa"/>
            <w:tcBorders>
              <w:top w:val="nil"/>
              <w:left w:val="nil"/>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6</w:t>
            </w:r>
          </w:p>
        </w:tc>
      </w:tr>
      <w:tr>
        <w:tblPrEx>
          <w:tblCellMar>
            <w:top w:w="0" w:type="dxa"/>
            <w:left w:w="108" w:type="dxa"/>
            <w:bottom w:w="0" w:type="dxa"/>
            <w:right w:w="108" w:type="dxa"/>
          </w:tblCellMar>
        </w:tblPrEx>
        <w:trPr>
          <w:trHeight w:val="308" w:hRule="atLeast"/>
        </w:trPr>
        <w:tc>
          <w:tcPr>
            <w:tcW w:w="3691"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仿宋" w:hAnsi="仿宋" w:eastAsia="仿宋" w:cs="Arial"/>
                <w:color w:val="000000"/>
                <w:kern w:val="0"/>
                <w:sz w:val="18"/>
                <w:szCs w:val="18"/>
              </w:rPr>
            </w:pPr>
            <w:r>
              <w:rPr>
                <w:rFonts w:hint="eastAsia" w:ascii="仿宋" w:hAnsi="仿宋" w:eastAsia="仿宋" w:cs="Arial"/>
                <w:color w:val="000000"/>
                <w:kern w:val="0"/>
                <w:sz w:val="18"/>
                <w:szCs w:val="18"/>
              </w:rPr>
              <w:t>合计</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b/>
                <w:bCs/>
                <w:color w:val="000000"/>
                <w:kern w:val="0"/>
                <w:sz w:val="18"/>
                <w:szCs w:val="18"/>
              </w:rPr>
            </w:pPr>
            <w:r>
              <w:rPr>
                <w:rFonts w:hint="eastAsia" w:ascii="仿宋" w:hAnsi="仿宋" w:eastAsia="仿宋" w:cs="Arial"/>
                <w:b/>
                <w:bCs/>
                <w:color w:val="000000"/>
                <w:kern w:val="0"/>
                <w:sz w:val="18"/>
                <w:szCs w:val="18"/>
              </w:rPr>
              <w:t>0.00</w:t>
            </w:r>
          </w:p>
        </w:tc>
        <w:tc>
          <w:tcPr>
            <w:tcW w:w="1138"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b/>
                <w:bCs/>
                <w:color w:val="000000"/>
                <w:kern w:val="0"/>
                <w:sz w:val="18"/>
                <w:szCs w:val="18"/>
              </w:rPr>
            </w:pPr>
            <w:r>
              <w:rPr>
                <w:rFonts w:hint="eastAsia" w:ascii="仿宋" w:hAnsi="仿宋" w:eastAsia="仿宋" w:cs="Arial"/>
                <w:b/>
                <w:bCs/>
                <w:color w:val="000000"/>
                <w:kern w:val="0"/>
                <w:sz w:val="18"/>
                <w:szCs w:val="18"/>
              </w:rPr>
              <w:t>782.58</w:t>
            </w:r>
          </w:p>
        </w:tc>
        <w:tc>
          <w:tcPr>
            <w:tcW w:w="994"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b/>
                <w:bCs/>
                <w:color w:val="000000"/>
                <w:kern w:val="0"/>
                <w:sz w:val="18"/>
                <w:szCs w:val="18"/>
              </w:rPr>
            </w:pPr>
            <w:r>
              <w:rPr>
                <w:rFonts w:hint="eastAsia" w:ascii="仿宋" w:hAnsi="仿宋" w:eastAsia="仿宋" w:cs="Arial"/>
                <w:b/>
                <w:bCs/>
                <w:color w:val="000000"/>
                <w:kern w:val="0"/>
                <w:sz w:val="18"/>
                <w:szCs w:val="18"/>
              </w:rPr>
              <w:t>782.58</w:t>
            </w:r>
          </w:p>
        </w:tc>
        <w:tc>
          <w:tcPr>
            <w:tcW w:w="78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b/>
                <w:bCs/>
                <w:color w:val="000000"/>
                <w:kern w:val="0"/>
                <w:sz w:val="18"/>
                <w:szCs w:val="18"/>
              </w:rPr>
            </w:pPr>
            <w:r>
              <w:rPr>
                <w:rFonts w:hint="eastAsia" w:ascii="仿宋" w:hAnsi="仿宋" w:eastAsia="仿宋" w:cs="Arial"/>
                <w:b/>
                <w:bCs/>
                <w:color w:val="000000"/>
                <w:kern w:val="0"/>
                <w:sz w:val="18"/>
                <w:szCs w:val="18"/>
              </w:rPr>
              <w:t>0.00</w:t>
            </w:r>
          </w:p>
        </w:tc>
        <w:tc>
          <w:tcPr>
            <w:tcW w:w="761"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b/>
                <w:bCs/>
                <w:color w:val="000000"/>
                <w:kern w:val="0"/>
                <w:sz w:val="18"/>
                <w:szCs w:val="18"/>
              </w:rPr>
            </w:pPr>
            <w:r>
              <w:rPr>
                <w:rFonts w:hint="eastAsia" w:ascii="仿宋" w:hAnsi="仿宋" w:eastAsia="仿宋" w:cs="Arial"/>
                <w:b/>
                <w:bCs/>
                <w:color w:val="000000"/>
                <w:kern w:val="0"/>
                <w:sz w:val="18"/>
                <w:szCs w:val="18"/>
              </w:rPr>
              <w:t>782.58</w:t>
            </w:r>
          </w:p>
        </w:tc>
        <w:tc>
          <w:tcPr>
            <w:tcW w:w="83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b/>
                <w:bCs/>
                <w:color w:val="000000"/>
                <w:kern w:val="0"/>
                <w:sz w:val="18"/>
                <w:szCs w:val="18"/>
              </w:rPr>
            </w:pPr>
            <w:r>
              <w:rPr>
                <w:rFonts w:hint="eastAsia" w:ascii="仿宋" w:hAnsi="仿宋" w:eastAsia="仿宋" w:cs="Arial"/>
                <w:b/>
                <w:bCs/>
                <w:color w:val="000000"/>
                <w:kern w:val="0"/>
                <w:sz w:val="18"/>
                <w:szCs w:val="18"/>
              </w:rPr>
              <w:t>0.00</w:t>
            </w:r>
          </w:p>
        </w:tc>
      </w:tr>
      <w:tr>
        <w:tblPrEx>
          <w:tblCellMar>
            <w:top w:w="0" w:type="dxa"/>
            <w:left w:w="108" w:type="dxa"/>
            <w:bottom w:w="0" w:type="dxa"/>
            <w:right w:w="108" w:type="dxa"/>
          </w:tblCellMar>
        </w:tblPrEx>
        <w:trPr>
          <w:trHeight w:val="308" w:hRule="atLeast"/>
        </w:trPr>
        <w:tc>
          <w:tcPr>
            <w:tcW w:w="84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212</w:t>
            </w:r>
          </w:p>
        </w:tc>
        <w:tc>
          <w:tcPr>
            <w:tcW w:w="2845"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城乡社区支出</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138"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c>
          <w:tcPr>
            <w:tcW w:w="994"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c>
          <w:tcPr>
            <w:tcW w:w="78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761"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c>
          <w:tcPr>
            <w:tcW w:w="83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84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21208</w:t>
            </w:r>
          </w:p>
        </w:tc>
        <w:tc>
          <w:tcPr>
            <w:tcW w:w="2845"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国有土地使用权出让收入及对应专项债务收入安排的支出</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138"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c>
          <w:tcPr>
            <w:tcW w:w="994"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c>
          <w:tcPr>
            <w:tcW w:w="78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761"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c>
          <w:tcPr>
            <w:tcW w:w="83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84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2120804</w:t>
            </w:r>
          </w:p>
        </w:tc>
        <w:tc>
          <w:tcPr>
            <w:tcW w:w="2845"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xml:space="preserve">  农村基础设施建设支出</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1138"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c>
          <w:tcPr>
            <w:tcW w:w="994"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c>
          <w:tcPr>
            <w:tcW w:w="78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c>
          <w:tcPr>
            <w:tcW w:w="761"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782.58</w:t>
            </w:r>
          </w:p>
        </w:tc>
        <w:tc>
          <w:tcPr>
            <w:tcW w:w="83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0.00</w:t>
            </w:r>
          </w:p>
        </w:tc>
      </w:tr>
      <w:tr>
        <w:tblPrEx>
          <w:tblCellMar>
            <w:top w:w="0" w:type="dxa"/>
            <w:left w:w="108" w:type="dxa"/>
            <w:bottom w:w="0" w:type="dxa"/>
            <w:right w:w="108" w:type="dxa"/>
          </w:tblCellMar>
        </w:tblPrEx>
        <w:trPr>
          <w:trHeight w:val="308" w:hRule="atLeast"/>
        </w:trPr>
        <w:tc>
          <w:tcPr>
            <w:tcW w:w="84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845"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1138"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994"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78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761"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83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r>
      <w:tr>
        <w:tblPrEx>
          <w:tblCellMar>
            <w:top w:w="0" w:type="dxa"/>
            <w:left w:w="108" w:type="dxa"/>
            <w:bottom w:w="0" w:type="dxa"/>
            <w:right w:w="108" w:type="dxa"/>
          </w:tblCellMar>
        </w:tblPrEx>
        <w:trPr>
          <w:trHeight w:val="308" w:hRule="atLeast"/>
        </w:trPr>
        <w:tc>
          <w:tcPr>
            <w:tcW w:w="84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845"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1138"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994"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78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761"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83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r>
      <w:tr>
        <w:tblPrEx>
          <w:tblCellMar>
            <w:top w:w="0" w:type="dxa"/>
            <w:left w:w="108" w:type="dxa"/>
            <w:bottom w:w="0" w:type="dxa"/>
            <w:right w:w="108" w:type="dxa"/>
          </w:tblCellMar>
        </w:tblPrEx>
        <w:trPr>
          <w:trHeight w:val="308" w:hRule="atLeast"/>
        </w:trPr>
        <w:tc>
          <w:tcPr>
            <w:tcW w:w="84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845"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1138"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994"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78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761"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83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r>
      <w:tr>
        <w:tblPrEx>
          <w:tblCellMar>
            <w:top w:w="0" w:type="dxa"/>
            <w:left w:w="108" w:type="dxa"/>
            <w:bottom w:w="0" w:type="dxa"/>
            <w:right w:w="108" w:type="dxa"/>
          </w:tblCellMar>
        </w:tblPrEx>
        <w:trPr>
          <w:trHeight w:val="308" w:hRule="atLeast"/>
        </w:trPr>
        <w:tc>
          <w:tcPr>
            <w:tcW w:w="84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845"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1138"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994"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78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761"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83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r>
      <w:tr>
        <w:tblPrEx>
          <w:tblCellMar>
            <w:top w:w="0" w:type="dxa"/>
            <w:left w:w="108" w:type="dxa"/>
            <w:bottom w:w="0" w:type="dxa"/>
            <w:right w:w="108" w:type="dxa"/>
          </w:tblCellMar>
        </w:tblPrEx>
        <w:trPr>
          <w:trHeight w:val="308" w:hRule="atLeast"/>
        </w:trPr>
        <w:tc>
          <w:tcPr>
            <w:tcW w:w="84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2845" w:type="dxa"/>
            <w:tcBorders>
              <w:top w:val="nil"/>
              <w:left w:val="nil"/>
              <w:bottom w:val="single" w:color="000000" w:sz="4" w:space="0"/>
              <w:right w:val="single" w:color="000000" w:sz="4" w:space="0"/>
            </w:tcBorders>
            <w:shd w:val="clear" w:color="auto" w:fill="auto"/>
            <w:noWrap/>
            <w:vAlign w:val="center"/>
          </w:tcPr>
          <w:p>
            <w:pPr>
              <w:widowControl/>
              <w:jc w:val="lef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1138"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994"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78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761"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c>
          <w:tcPr>
            <w:tcW w:w="830" w:type="dxa"/>
            <w:tcBorders>
              <w:top w:val="nil"/>
              <w:left w:val="nil"/>
              <w:bottom w:val="single" w:color="000000" w:sz="4" w:space="0"/>
              <w:right w:val="single" w:color="000000" w:sz="4" w:space="0"/>
            </w:tcBorders>
            <w:shd w:val="clear" w:color="auto" w:fill="auto"/>
            <w:noWrap/>
            <w:vAlign w:val="center"/>
          </w:tcPr>
          <w:p>
            <w:pPr>
              <w:widowControl/>
              <w:jc w:val="right"/>
              <w:rPr>
                <w:rFonts w:ascii="仿宋" w:hAnsi="仿宋" w:eastAsia="仿宋" w:cs="Arial"/>
                <w:color w:val="000000"/>
                <w:kern w:val="0"/>
                <w:sz w:val="18"/>
                <w:szCs w:val="18"/>
              </w:rPr>
            </w:pPr>
            <w:r>
              <w:rPr>
                <w:rFonts w:hint="eastAsia" w:ascii="仿宋" w:hAnsi="仿宋" w:eastAsia="仿宋" w:cs="Arial"/>
                <w:color w:val="000000"/>
                <w:kern w:val="0"/>
                <w:sz w:val="18"/>
                <w:szCs w:val="18"/>
              </w:rPr>
              <w:t>　</w:t>
            </w:r>
          </w:p>
        </w:tc>
      </w:tr>
    </w:tbl>
    <w:p>
      <w:pPr>
        <w:rPr>
          <w:rFonts w:hint="eastAsia" w:ascii="仿宋" w:hAnsi="仿宋" w:eastAsia="仿宋"/>
        </w:rPr>
      </w:pPr>
      <w:r>
        <w:rPr>
          <w:rFonts w:hint="eastAsia" w:ascii="仿宋" w:hAnsi="仿宋" w:eastAsia="仿宋"/>
          <w:szCs w:val="21"/>
        </w:rPr>
        <w:t>注：本表反映部门本年度政府性基金预算财政拨款收入、支出及结转和结余情况。</w:t>
      </w:r>
    </w:p>
    <w:p>
      <w:pPr>
        <w:rPr>
          <w:rFonts w:hint="eastAsia" w:ascii="仿宋" w:hAnsi="仿宋" w:eastAsia="仿宋"/>
        </w:rPr>
      </w:pPr>
    </w:p>
    <w:tbl>
      <w:tblPr>
        <w:tblStyle w:val="7"/>
        <w:tblW w:w="9917" w:type="dxa"/>
        <w:jc w:val="center"/>
        <w:tblLayout w:type="autofit"/>
        <w:tblCellMar>
          <w:top w:w="0" w:type="dxa"/>
          <w:left w:w="0" w:type="dxa"/>
          <w:bottom w:w="0" w:type="dxa"/>
          <w:right w:w="0" w:type="dxa"/>
        </w:tblCellMar>
      </w:tblPr>
      <w:tblGrid>
        <w:gridCol w:w="4565"/>
        <w:gridCol w:w="48"/>
        <w:gridCol w:w="48"/>
        <w:gridCol w:w="2208"/>
        <w:gridCol w:w="626"/>
        <w:gridCol w:w="1211"/>
        <w:gridCol w:w="1211"/>
      </w:tblGrid>
      <w:tr>
        <w:tblPrEx>
          <w:tblCellMar>
            <w:top w:w="0" w:type="dxa"/>
            <w:left w:w="0" w:type="dxa"/>
            <w:bottom w:w="0" w:type="dxa"/>
            <w:right w:w="0" w:type="dxa"/>
          </w:tblCellMar>
        </w:tblPrEx>
        <w:trPr>
          <w:trHeight w:val="840" w:hRule="atLeast"/>
          <w:jc w:val="center"/>
        </w:trPr>
        <w:tc>
          <w:tcPr>
            <w:tcW w:w="9917"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仿宋" w:hAnsi="仿宋" w:eastAsia="仿宋" w:cs="黑体"/>
                <w:b/>
                <w:color w:val="000000"/>
                <w:sz w:val="32"/>
                <w:szCs w:val="32"/>
              </w:rPr>
            </w:pPr>
            <w:r>
              <w:rPr>
                <w:rFonts w:hint="eastAsia" w:ascii="仿宋" w:hAnsi="仿宋" w:eastAsia="仿宋" w:cs="黑体"/>
                <w:b/>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仿宋" w:hAnsi="仿宋" w:eastAsia="仿宋"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仿宋" w:hAnsi="仿宋" w:eastAsia="仿宋"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仿宋" w:hAnsi="仿宋" w:eastAsia="仿宋"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仿宋" w:hAnsi="仿宋" w:eastAsia="仿宋"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仿宋" w:hAnsi="仿宋" w:eastAsia="仿宋"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仿宋" w:hAnsi="仿宋" w:eastAsia="仿宋" w:cs="宋体"/>
                <w:color w:val="000000"/>
                <w:sz w:val="20"/>
                <w:szCs w:val="20"/>
              </w:rPr>
            </w:pPr>
            <w:r>
              <w:rPr>
                <w:rFonts w:hint="eastAsia" w:ascii="仿宋" w:hAnsi="仿宋" w:eastAsia="仿宋"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仿宋" w:hAnsi="仿宋" w:eastAsia="仿宋" w:cs="宋体"/>
                <w:color w:val="000000"/>
                <w:sz w:val="20"/>
                <w:szCs w:val="20"/>
              </w:rPr>
            </w:pPr>
            <w:r>
              <w:rPr>
                <w:rFonts w:hint="eastAsia" w:ascii="仿宋" w:hAnsi="仿宋" w:eastAsia="仿宋" w:cs="宋体"/>
                <w:color w:val="000000"/>
                <w:kern w:val="0"/>
                <w:sz w:val="20"/>
                <w:szCs w:val="20"/>
              </w:rPr>
              <w:t>部门：石家庄市鹿泉区李村镇人民政府</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仿宋" w:hAnsi="仿宋" w:eastAsia="仿宋"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仿宋" w:hAnsi="仿宋" w:eastAsia="仿宋"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仿宋" w:hAnsi="仿宋" w:eastAsia="仿宋"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仿宋" w:hAnsi="仿宋" w:eastAsia="仿宋"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仿宋" w:hAnsi="仿宋" w:eastAsia="仿宋" w:cs="宋体"/>
                <w:color w:val="000000"/>
                <w:sz w:val="20"/>
                <w:szCs w:val="20"/>
              </w:rPr>
            </w:pPr>
            <w:r>
              <w:rPr>
                <w:rFonts w:hint="eastAsia" w:ascii="仿宋" w:hAnsi="仿宋" w:eastAsia="仿宋"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仿宋" w:hAnsi="仿宋" w:eastAsia="仿宋" w:cs="宋体"/>
                <w:color w:val="000000"/>
                <w:sz w:val="22"/>
              </w:rPr>
            </w:pPr>
            <w:r>
              <w:rPr>
                <w:rFonts w:hint="eastAsia" w:ascii="仿宋" w:hAnsi="仿宋" w:eastAsia="仿宋" w:cs="宋体"/>
                <w:color w:val="000000"/>
                <w:kern w:val="0"/>
                <w:sz w:val="22"/>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仿宋" w:hAnsi="仿宋" w:eastAsia="仿宋" w:cs="宋体"/>
                <w:color w:val="000000"/>
                <w:sz w:val="22"/>
              </w:rPr>
            </w:pPr>
            <w:r>
              <w:rPr>
                <w:rFonts w:hint="eastAsia" w:ascii="仿宋" w:hAnsi="仿宋" w:eastAsia="仿宋"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45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宋体"/>
                <w:color w:val="000000"/>
                <w:sz w:val="22"/>
              </w:rPr>
            </w:pPr>
            <w:r>
              <w:rPr>
                <w:rFonts w:hint="eastAsia" w:ascii="仿宋" w:hAnsi="仿宋" w:eastAsia="仿宋" w:cs="宋体"/>
                <w:color w:val="000000"/>
                <w:kern w:val="0"/>
                <w:sz w:val="22"/>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仿宋" w:hAnsi="仿宋" w:eastAsia="仿宋" w:cs="宋体"/>
                <w:color w:val="000000"/>
                <w:sz w:val="22"/>
              </w:rPr>
            </w:pPr>
            <w:r>
              <w:rPr>
                <w:rFonts w:hint="eastAsia" w:ascii="仿宋" w:hAnsi="仿宋" w:eastAsia="仿宋" w:cs="宋体"/>
                <w:color w:val="000000"/>
                <w:kern w:val="0"/>
                <w:sz w:val="22"/>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仿宋" w:hAnsi="仿宋" w:eastAsia="仿宋" w:cs="宋体"/>
                <w:color w:val="000000"/>
                <w:sz w:val="22"/>
              </w:rPr>
            </w:pPr>
            <w:r>
              <w:rPr>
                <w:rFonts w:hint="eastAsia" w:ascii="仿宋" w:hAnsi="仿宋" w:eastAsia="仿宋" w:cs="宋体"/>
                <w:color w:val="000000"/>
                <w:kern w:val="0"/>
                <w:sz w:val="22"/>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仿宋" w:hAnsi="仿宋" w:eastAsia="仿宋" w:cs="宋体"/>
                <w:color w:val="000000"/>
                <w:sz w:val="22"/>
              </w:rPr>
            </w:pPr>
            <w:r>
              <w:rPr>
                <w:rFonts w:hint="eastAsia" w:ascii="仿宋" w:hAnsi="仿宋" w:eastAsia="仿宋" w:cs="宋体"/>
                <w:color w:val="000000"/>
                <w:kern w:val="0"/>
                <w:sz w:val="22"/>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仿宋" w:hAnsi="仿宋" w:eastAsia="仿宋" w:cs="宋体"/>
                <w:color w:val="000000"/>
                <w:sz w:val="22"/>
              </w:rPr>
            </w:pPr>
            <w:r>
              <w:rPr>
                <w:rFonts w:hint="eastAsia" w:ascii="仿宋" w:hAnsi="仿宋" w:eastAsia="仿宋"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仿宋" w:hAnsi="仿宋" w:eastAsia="仿宋" w:cs="宋体"/>
                <w:color w:val="000000"/>
                <w:sz w:val="22"/>
              </w:rPr>
            </w:pPr>
            <w:r>
              <w:rPr>
                <w:rFonts w:hint="eastAsia" w:ascii="仿宋" w:hAnsi="仿宋" w:eastAsia="仿宋"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仿宋" w:hAnsi="仿宋" w:eastAsia="仿宋" w:cs="宋体"/>
                <w:color w:val="000000"/>
                <w:sz w:val="22"/>
              </w:rPr>
            </w:pPr>
            <w:r>
              <w:rPr>
                <w:rFonts w:hint="eastAsia" w:ascii="仿宋" w:hAnsi="仿宋" w:eastAsia="仿宋"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仿宋" w:hAnsi="仿宋" w:eastAsia="仿宋" w:cs="宋体"/>
                <w:color w:val="000000"/>
                <w:sz w:val="22"/>
              </w:rPr>
            </w:pPr>
            <w:r>
              <w:rPr>
                <w:rFonts w:hint="eastAsia" w:ascii="仿宋" w:hAnsi="仿宋" w:eastAsia="仿宋"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仿宋" w:hAnsi="仿宋" w:eastAsia="仿宋" w:cs="宋体"/>
                <w:color w:val="000000"/>
                <w:sz w:val="22"/>
              </w:rPr>
            </w:pPr>
            <w:r>
              <w:rPr>
                <w:rFonts w:hint="eastAsia" w:ascii="仿宋" w:hAnsi="仿宋" w:eastAsia="仿宋"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仿宋" w:hAnsi="仿宋" w:eastAsia="仿宋" w:cs="宋体"/>
                <w:color w:val="000000"/>
                <w:sz w:val="22"/>
              </w:rPr>
            </w:pPr>
            <w:r>
              <w:rPr>
                <w:rFonts w:hint="eastAsia" w:ascii="仿宋" w:hAnsi="仿宋" w:eastAsia="仿宋"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 w:hAnsi="仿宋" w:eastAsia="仿宋" w:cs="宋体"/>
                <w:color w:val="000000"/>
                <w:sz w:val="22"/>
              </w:rPr>
            </w:pPr>
          </w:p>
        </w:tc>
        <w:tc>
          <w:tcPr>
            <w:tcW w:w="2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仿宋" w:hAnsi="仿宋" w:eastAsia="仿宋"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 w:hAnsi="仿宋" w:eastAsia="仿宋" w:cs="宋体"/>
                <w:color w:val="000000"/>
                <w:sz w:val="22"/>
              </w:rPr>
            </w:pPr>
          </w:p>
        </w:tc>
        <w:tc>
          <w:tcPr>
            <w:tcW w:w="2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仿宋" w:hAnsi="仿宋" w:eastAsia="仿宋"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 w:hAnsi="仿宋" w:eastAsia="仿宋" w:cs="宋体"/>
                <w:color w:val="000000"/>
                <w:sz w:val="22"/>
              </w:rPr>
            </w:pPr>
          </w:p>
        </w:tc>
        <w:tc>
          <w:tcPr>
            <w:tcW w:w="2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仿宋" w:hAnsi="仿宋" w:eastAsia="仿宋"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 w:hAnsi="仿宋" w:eastAsia="仿宋" w:cs="宋体"/>
                <w:color w:val="000000"/>
                <w:sz w:val="22"/>
              </w:rPr>
            </w:pPr>
          </w:p>
        </w:tc>
        <w:tc>
          <w:tcPr>
            <w:tcW w:w="2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仿宋" w:hAnsi="仿宋" w:eastAsia="仿宋"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 w:hAnsi="仿宋" w:eastAsia="仿宋" w:cs="宋体"/>
                <w:color w:val="000000"/>
                <w:sz w:val="22"/>
              </w:rPr>
            </w:pPr>
          </w:p>
        </w:tc>
        <w:tc>
          <w:tcPr>
            <w:tcW w:w="2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仿宋" w:hAnsi="仿宋" w:eastAsia="仿宋"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仿宋" w:hAnsi="仿宋" w:eastAsia="仿宋" w:cs="宋体"/>
                <w:color w:val="000000"/>
                <w:sz w:val="22"/>
              </w:rPr>
            </w:pPr>
          </w:p>
        </w:tc>
      </w:tr>
    </w:tbl>
    <w:p>
      <w:pPr>
        <w:rPr>
          <w:rFonts w:ascii="仿宋" w:hAnsi="仿宋" w:eastAsia="仿宋"/>
        </w:rPr>
      </w:pPr>
      <w:r>
        <w:rPr>
          <w:rFonts w:hint="eastAsia" w:ascii="仿宋" w:hAnsi="仿宋" w:eastAsia="仿宋"/>
        </w:rPr>
        <w:t>注：本表反映部门本年度国有资本经营预算财政拨款支出情况。</w: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Yu Gothic UI Semibold">
    <w:panose1 w:val="020B0700000000000000"/>
    <w:charset w:val="80"/>
    <w:family w:val="swiss"/>
    <w:pitch w:val="default"/>
    <w:sig w:usb0="E00002FF" w:usb1="2AC7FDFF" w:usb2="00000016" w:usb3="00000000" w:csb0="2002009F" w:csb1="00000000"/>
  </w:font>
  <w:font w:name="微软雅黑">
    <w:panose1 w:val="020B0503020204020204"/>
    <w:charset w:val="86"/>
    <w:family w:val="swiss"/>
    <w:pitch w:val="default"/>
    <w:sig w:usb0="80000287" w:usb1="2ACF3C50" w:usb2="00000016" w:usb3="00000000" w:csb0="0004001F" w:csb1="00000000"/>
  </w:font>
  <w:font w:name="思源黑体 HW Bold">
    <w:altName w:val="黑体"/>
    <w:panose1 w:val="00000000000000000000"/>
    <w:charset w:val="86"/>
    <w:family w:val="swiss"/>
    <w:pitch w:val="default"/>
    <w:sig w:usb0="00000000" w:usb1="00000000" w:usb2="00000016" w:usb3="00000000" w:csb0="002E0107"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2" o:spid="_x0000_s2092"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100" o:spid="_x0000_s2100"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- 15 -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05" o:spid="_x0000_s2105" o:spt="203" style="position:absolute;left:0pt;margin-top:29.75pt;height:32pt;width:157.5pt;mso-position-horizontal:left;mso-position-horizontal-relative:page;mso-position-vertical-relative:page;z-index:25166028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29" o:spid="_x0000_s2129" o:spt="203" style="position:absolute;left:0pt;margin-left:24pt;margin-top:74.1pt;height:31.5pt;width:594.8pt;mso-position-horizontal-relative:page;mso-position-vertical-relative:page;z-index:25169100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130"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131"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32"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65" o:spid="_x0000_s2065" o:spt="203" style="position:absolute;left:0pt;margin-left:-2.15pt;margin-top:59pt;height:32.8pt;width:596.85pt;mso-position-horizontal-relative:page;mso-position-vertical-relative:page;z-index:25168691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文本框 6" o:spid="_x0000_s2064"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both"/>
      <w:rPr>
        <w:b/>
        <w:sz w:val="32"/>
        <w:szCs w:val="32"/>
      </w:rPr>
    </w:pPr>
    <w:r>
      <w:rPr>
        <w:b/>
        <w:sz w:val="32"/>
        <w:szCs w:val="32"/>
      </w:rPr>
      <w:pict>
        <v:group id="_x0000_s2133" o:spid="_x0000_s2133" o:spt="203" style="position:absolute;left:0pt;margin-left:36pt;margin-top:86.1pt;height:31.5pt;width:594.8pt;mso-position-horizontal-relative:page;mso-position-vertical-relative:page;z-index:251692032;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134"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135"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36"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rPr>
        <w:b/>
        <w:sz w:val="32"/>
        <w:szCs w:val="32"/>
      </w:rPr>
      <w:pict>
        <v:group id="_x0000_s2053" o:spid="_x0000_s2053" o:spt="203" style="position:absolute;left:0pt;margin-left:2.5pt;margin-top:28.75pt;height:35.25pt;width:594.8pt;mso-position-horizontal-relative:page;mso-position-vertical-relative:page;z-index:25168486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rPr>
        <w:b/>
        <w:sz w:val="32"/>
        <w:szCs w:val="32"/>
      </w:rPr>
      <w:pict>
        <v:group id="_x0000_s2050" o:spid="_x0000_s2050" o:spt="203" style="position:absolute;left:0pt;margin-left:0pt;margin-top:29.75pt;height:32pt;width:280pt;mso-position-horizontal-relative:page;mso-position-vertical-relative:page;z-index:251685888;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r>
      <w:rPr>
        <w:b/>
        <w:sz w:val="32"/>
        <w:szCs w:val="32"/>
      </w:rPr>
      <w:t>第四部分</w:t>
    </w:r>
    <w:r>
      <w:rPr>
        <w:rFonts w:hint="eastAsia"/>
        <w:b/>
        <w:sz w:val="32"/>
        <w:szCs w:val="32"/>
      </w:rPr>
      <w:t>2019年度部门决算报表</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82816;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jc w:val="both"/>
      <w:rPr>
        <w:b/>
        <w:sz w:val="32"/>
        <w:szCs w:val="32"/>
      </w:rPr>
    </w:pPr>
    <w:r>
      <w:rPr>
        <w:b/>
        <w:sz w:val="32"/>
        <w:szCs w:val="32"/>
      </w:rPr>
      <w:pict>
        <v:group id="_x0000_s2121" o:spid="_x0000_s2121" o:spt="203" style="position:absolute;left:0pt;margin-left:0pt;margin-top:50.1pt;height:31.5pt;width:594.8pt;mso-position-horizontal-relative:page;mso-position-vertical-relative:page;z-index:251688960;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122"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123"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24"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rPr>
        <w:b/>
        <w:sz w:val="32"/>
        <w:szCs w:val="32"/>
      </w:rPr>
      <w:pict>
        <v:group id="_x0000_s2096" o:spid="_x0000_s2096"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09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rPr>
        <w:b/>
        <w:sz w:val="32"/>
        <w:szCs w:val="32"/>
      </w:rPr>
      <w:pict>
        <v:group id="_x0000_s2093" o:spid="_x0000_s2093" o:spt="203" style="position:absolute;left:0pt;margin-left:-2.15pt;margin-top:47.15pt;height:32pt;width:235.7pt;mso-position-horizontal-relative:page;mso-position-vertical-relative:page;z-index:25167667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rPr>
        <w:b/>
        <w:sz w:val="32"/>
        <w:szCs w:val="32"/>
      </w:rPr>
      <w:t>第一部分</w:t>
    </w:r>
    <w:r>
      <w:rPr>
        <w:rFonts w:hint="eastAsia"/>
        <w:b/>
        <w:sz w:val="32"/>
        <w:szCs w:val="32"/>
      </w:rPr>
      <w:t>：</w:t>
    </w:r>
    <w:r>
      <w:rPr>
        <w:b/>
        <w:sz w:val="32"/>
        <w:szCs w:val="32"/>
      </w:rPr>
      <w:t>部门概况</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both"/>
      <w:rPr>
        <w:b/>
        <w:sz w:val="32"/>
        <w:szCs w:val="32"/>
      </w:rPr>
    </w:pPr>
    <w:r>
      <w:rPr>
        <w:b/>
        <w:sz w:val="32"/>
        <w:szCs w:val="32"/>
      </w:rPr>
      <w:pict>
        <v:group id="_x0000_s2125" o:spid="_x0000_s2125" o:spt="203" style="position:absolute;left:0pt;margin-left:12pt;margin-top:62.1pt;height:31.5pt;width:594.8pt;mso-position-horizontal-relative:page;mso-position-vertical-relative:page;z-index:251689984;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126"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127"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28"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rPr>
        <w:b/>
        <w:sz w:val="32"/>
        <w:szCs w:val="32"/>
      </w:rPr>
      <w:pict>
        <v:group id="_x0000_s2089" o:spid="_x0000_s2089" o:spt="203" style="position:absolute;left:0pt;margin-left:2.25pt;margin-top:45.75pt;height:32.05pt;width:239.85pt;mso-position-horizontal-relative:page;mso-position-vertical-relative:page;z-index:251669504;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rPr>
        <w:b/>
        <w:sz w:val="32"/>
        <w:szCs w:val="32"/>
      </w:rPr>
      <w:pict>
        <v:group id="_x0000_s2085" o:spid="_x0000_s2085"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r>
      <w:rPr>
        <w:b/>
        <w:sz w:val="32"/>
        <w:szCs w:val="32"/>
      </w:rPr>
      <w:t>第二部分</w:t>
    </w:r>
    <w:r>
      <w:rPr>
        <w:rFonts w:hint="eastAsia"/>
        <w:b/>
        <w:sz w:val="32"/>
        <w:szCs w:val="32"/>
      </w:rPr>
      <w:t>：</w:t>
    </w:r>
    <w:r>
      <w:rPr>
        <w:b/>
        <w:sz w:val="32"/>
        <w:szCs w:val="32"/>
      </w:rPr>
      <w:t>部门决算情况说明</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7155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673600;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950409"/>
    <w:multiLevelType w:val="singleLevel"/>
    <w:tmpl w:val="59950409"/>
    <w:lvl w:ilvl="0" w:tentative="0">
      <w:start w:val="1"/>
      <w:numFmt w:val="decimal"/>
      <w:suff w:val="space"/>
      <w:lvlText w:val="%1."/>
      <w:lvlJc w:val="left"/>
    </w:lvl>
  </w:abstractNum>
  <w:abstractNum w:abstractNumId="1">
    <w:nsid w:val="78C1413D"/>
    <w:multiLevelType w:val="singleLevel"/>
    <w:tmpl w:val="78C1413D"/>
    <w:lvl w:ilvl="0" w:tentative="0">
      <w:start w:val="1"/>
      <w:numFmt w:val="decimal"/>
      <w:suff w:val="space"/>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doNotDisplayPageBoundaries w:val="1"/>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FhN2M5YjRhMGIzYzY3NzJiMGMzOWE0ZDBmMDVmN2YifQ=="/>
  </w:docVars>
  <w:rsids>
    <w:rsidRoot w:val="6AAF1C96"/>
    <w:rsid w:val="000009C8"/>
    <w:rsid w:val="00012784"/>
    <w:rsid w:val="00033182"/>
    <w:rsid w:val="00036331"/>
    <w:rsid w:val="000365DC"/>
    <w:rsid w:val="00041819"/>
    <w:rsid w:val="000618E2"/>
    <w:rsid w:val="00064E18"/>
    <w:rsid w:val="000667BB"/>
    <w:rsid w:val="0007063E"/>
    <w:rsid w:val="00073392"/>
    <w:rsid w:val="00073F4E"/>
    <w:rsid w:val="00086C89"/>
    <w:rsid w:val="000A39FB"/>
    <w:rsid w:val="000C68B2"/>
    <w:rsid w:val="00117746"/>
    <w:rsid w:val="00121ABC"/>
    <w:rsid w:val="00142190"/>
    <w:rsid w:val="00163F95"/>
    <w:rsid w:val="00180A9A"/>
    <w:rsid w:val="001829C0"/>
    <w:rsid w:val="00184809"/>
    <w:rsid w:val="00192112"/>
    <w:rsid w:val="001971DD"/>
    <w:rsid w:val="001B0127"/>
    <w:rsid w:val="001C12D5"/>
    <w:rsid w:val="001C69F7"/>
    <w:rsid w:val="001D6F97"/>
    <w:rsid w:val="001E4DAC"/>
    <w:rsid w:val="001F0914"/>
    <w:rsid w:val="002172A8"/>
    <w:rsid w:val="002374BE"/>
    <w:rsid w:val="002650EC"/>
    <w:rsid w:val="002A6C46"/>
    <w:rsid w:val="002B1D32"/>
    <w:rsid w:val="002C19B5"/>
    <w:rsid w:val="003945F7"/>
    <w:rsid w:val="003A4EE8"/>
    <w:rsid w:val="003F6484"/>
    <w:rsid w:val="00442CC2"/>
    <w:rsid w:val="00446244"/>
    <w:rsid w:val="0046687E"/>
    <w:rsid w:val="00470F77"/>
    <w:rsid w:val="00473C20"/>
    <w:rsid w:val="00497E80"/>
    <w:rsid w:val="004D61CB"/>
    <w:rsid w:val="004E196F"/>
    <w:rsid w:val="005011D6"/>
    <w:rsid w:val="00503F2E"/>
    <w:rsid w:val="00515D77"/>
    <w:rsid w:val="00552226"/>
    <w:rsid w:val="00552CCF"/>
    <w:rsid w:val="00566120"/>
    <w:rsid w:val="00582E6D"/>
    <w:rsid w:val="00587C84"/>
    <w:rsid w:val="005954D5"/>
    <w:rsid w:val="005A53FA"/>
    <w:rsid w:val="005B4118"/>
    <w:rsid w:val="005D1293"/>
    <w:rsid w:val="00612F15"/>
    <w:rsid w:val="0061528C"/>
    <w:rsid w:val="00635A3D"/>
    <w:rsid w:val="00644D5F"/>
    <w:rsid w:val="00647A51"/>
    <w:rsid w:val="00657F86"/>
    <w:rsid w:val="00664EE7"/>
    <w:rsid w:val="006727AD"/>
    <w:rsid w:val="00677380"/>
    <w:rsid w:val="00685C7C"/>
    <w:rsid w:val="00691425"/>
    <w:rsid w:val="006A516E"/>
    <w:rsid w:val="006B0830"/>
    <w:rsid w:val="006C7876"/>
    <w:rsid w:val="006E5D61"/>
    <w:rsid w:val="007057F5"/>
    <w:rsid w:val="00716390"/>
    <w:rsid w:val="00716E2B"/>
    <w:rsid w:val="0076442D"/>
    <w:rsid w:val="00770F18"/>
    <w:rsid w:val="00773B74"/>
    <w:rsid w:val="0078290C"/>
    <w:rsid w:val="007A6FDE"/>
    <w:rsid w:val="007C06CA"/>
    <w:rsid w:val="007E1152"/>
    <w:rsid w:val="008036F9"/>
    <w:rsid w:val="00811D30"/>
    <w:rsid w:val="008163FB"/>
    <w:rsid w:val="0082605B"/>
    <w:rsid w:val="00855C36"/>
    <w:rsid w:val="00857DBE"/>
    <w:rsid w:val="00867C3A"/>
    <w:rsid w:val="008701BC"/>
    <w:rsid w:val="0088176F"/>
    <w:rsid w:val="00883D92"/>
    <w:rsid w:val="008846EB"/>
    <w:rsid w:val="008A5362"/>
    <w:rsid w:val="008E2DB9"/>
    <w:rsid w:val="008F21F1"/>
    <w:rsid w:val="008F221B"/>
    <w:rsid w:val="008F5A2D"/>
    <w:rsid w:val="00906A18"/>
    <w:rsid w:val="00913DBA"/>
    <w:rsid w:val="00917C05"/>
    <w:rsid w:val="00921602"/>
    <w:rsid w:val="00956350"/>
    <w:rsid w:val="00957EA1"/>
    <w:rsid w:val="00966E5B"/>
    <w:rsid w:val="00975686"/>
    <w:rsid w:val="009B114D"/>
    <w:rsid w:val="009B4EF0"/>
    <w:rsid w:val="009D0F26"/>
    <w:rsid w:val="009D271F"/>
    <w:rsid w:val="00A06B70"/>
    <w:rsid w:val="00A768B3"/>
    <w:rsid w:val="00A929C2"/>
    <w:rsid w:val="00AC5701"/>
    <w:rsid w:val="00AD097F"/>
    <w:rsid w:val="00B04D3B"/>
    <w:rsid w:val="00B34990"/>
    <w:rsid w:val="00B410F7"/>
    <w:rsid w:val="00B4433C"/>
    <w:rsid w:val="00B5102F"/>
    <w:rsid w:val="00B844F4"/>
    <w:rsid w:val="00BA06A1"/>
    <w:rsid w:val="00BA770A"/>
    <w:rsid w:val="00C0499C"/>
    <w:rsid w:val="00C054DE"/>
    <w:rsid w:val="00C4661F"/>
    <w:rsid w:val="00C506F6"/>
    <w:rsid w:val="00C54339"/>
    <w:rsid w:val="00C679A9"/>
    <w:rsid w:val="00C7541C"/>
    <w:rsid w:val="00CA0416"/>
    <w:rsid w:val="00CB5A1E"/>
    <w:rsid w:val="00CC0FAA"/>
    <w:rsid w:val="00CD0736"/>
    <w:rsid w:val="00CD7197"/>
    <w:rsid w:val="00D03484"/>
    <w:rsid w:val="00D1570F"/>
    <w:rsid w:val="00D32830"/>
    <w:rsid w:val="00D56357"/>
    <w:rsid w:val="00D66887"/>
    <w:rsid w:val="00D97021"/>
    <w:rsid w:val="00DB7153"/>
    <w:rsid w:val="00DB7F05"/>
    <w:rsid w:val="00DC24B0"/>
    <w:rsid w:val="00DD745D"/>
    <w:rsid w:val="00DE2332"/>
    <w:rsid w:val="00DE79AC"/>
    <w:rsid w:val="00DE7FED"/>
    <w:rsid w:val="00DF27A5"/>
    <w:rsid w:val="00E028C3"/>
    <w:rsid w:val="00E11347"/>
    <w:rsid w:val="00E14F77"/>
    <w:rsid w:val="00E15D03"/>
    <w:rsid w:val="00E21860"/>
    <w:rsid w:val="00E3063D"/>
    <w:rsid w:val="00E3076B"/>
    <w:rsid w:val="00E36978"/>
    <w:rsid w:val="00E36E4E"/>
    <w:rsid w:val="00E408EC"/>
    <w:rsid w:val="00E44747"/>
    <w:rsid w:val="00E82A1E"/>
    <w:rsid w:val="00EA05EC"/>
    <w:rsid w:val="00EC06F4"/>
    <w:rsid w:val="00EE4E36"/>
    <w:rsid w:val="00EF2C9E"/>
    <w:rsid w:val="00EF510E"/>
    <w:rsid w:val="00EF7576"/>
    <w:rsid w:val="00F01E64"/>
    <w:rsid w:val="00F10156"/>
    <w:rsid w:val="00F570E4"/>
    <w:rsid w:val="00F664FA"/>
    <w:rsid w:val="00F665F4"/>
    <w:rsid w:val="00F75C25"/>
    <w:rsid w:val="00FA33FA"/>
    <w:rsid w:val="00FD225F"/>
    <w:rsid w:val="00FD3E70"/>
    <w:rsid w:val="05B00A30"/>
    <w:rsid w:val="0B011416"/>
    <w:rsid w:val="1E1D7145"/>
    <w:rsid w:val="31C2036A"/>
    <w:rsid w:val="320D02A5"/>
    <w:rsid w:val="348E566F"/>
    <w:rsid w:val="3A226944"/>
    <w:rsid w:val="3AEE6A48"/>
    <w:rsid w:val="3C1620AA"/>
    <w:rsid w:val="3D8F080F"/>
    <w:rsid w:val="44CE1FA4"/>
    <w:rsid w:val="487F73ED"/>
    <w:rsid w:val="4A347EAE"/>
    <w:rsid w:val="52600405"/>
    <w:rsid w:val="529B4319"/>
    <w:rsid w:val="57773DD6"/>
    <w:rsid w:val="578B79AB"/>
    <w:rsid w:val="5CCD3FD5"/>
    <w:rsid w:val="61FA5F9D"/>
    <w:rsid w:val="64CD6910"/>
    <w:rsid w:val="6789158D"/>
    <w:rsid w:val="67D81BA4"/>
    <w:rsid w:val="68995897"/>
    <w:rsid w:val="6AAF1C96"/>
    <w:rsid w:val="75681757"/>
    <w:rsid w:val="75A346A8"/>
    <w:rsid w:val="79B9382C"/>
    <w:rsid w:val="7B043B76"/>
    <w:rsid w:val="7C041A6A"/>
    <w:rsid w:val="7E3275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uiPriority w:val="99"/>
    <w:rPr>
      <w:rFonts w:asciiTheme="minorHAnsi" w:hAnsiTheme="minorHAnsi" w:eastAsiaTheme="minorEastAsia" w:cstheme="minorBidi"/>
      <w:kern w:val="2"/>
      <w:sz w:val="18"/>
      <w:szCs w:val="18"/>
    </w:rPr>
  </w:style>
  <w:style w:type="paragraph" w:styleId="14">
    <w:name w:val="List Paragraph"/>
    <w:basedOn w:val="1"/>
    <w:unhideWhenUsed/>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customXml" Target="../customXml/item2.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image" Target="media/image7.png"/><Relationship Id="rId32" Type="http://schemas.openxmlformats.org/officeDocument/2006/relationships/image" Target="media/image6.png"/><Relationship Id="rId31" Type="http://schemas.openxmlformats.org/officeDocument/2006/relationships/image" Target="media/image5.png"/><Relationship Id="rId30" Type="http://schemas.openxmlformats.org/officeDocument/2006/relationships/image" Target="media/image4.png"/><Relationship Id="rId3" Type="http://schemas.openxmlformats.org/officeDocument/2006/relationships/header" Target="header1.xml"/><Relationship Id="rId29" Type="http://schemas.openxmlformats.org/officeDocument/2006/relationships/image" Target="media/image3.png"/><Relationship Id="rId28" Type="http://schemas.openxmlformats.org/officeDocument/2006/relationships/image" Target="media/image2.GIF"/><Relationship Id="rId27" Type="http://schemas.openxmlformats.org/officeDocument/2006/relationships/theme" Target="theme/theme1.xml"/><Relationship Id="rId26" Type="http://schemas.openxmlformats.org/officeDocument/2006/relationships/footer" Target="footer10.xml"/><Relationship Id="rId25" Type="http://schemas.openxmlformats.org/officeDocument/2006/relationships/header" Target="header14.xml"/><Relationship Id="rId24" Type="http://schemas.openxmlformats.org/officeDocument/2006/relationships/header" Target="header13.xml"/><Relationship Id="rId23" Type="http://schemas.openxmlformats.org/officeDocument/2006/relationships/header" Target="header12.xml"/><Relationship Id="rId22" Type="http://schemas.openxmlformats.org/officeDocument/2006/relationships/header" Target="header11.xml"/><Relationship Id="rId21" Type="http://schemas.openxmlformats.org/officeDocument/2006/relationships/header" Target="header10.xml"/><Relationship Id="rId20" Type="http://schemas.openxmlformats.org/officeDocument/2006/relationships/footer" Target="footer9.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header" Target="header9.xml"/><Relationship Id="rId17" Type="http://schemas.openxmlformats.org/officeDocument/2006/relationships/header" Target="header8.xml"/><Relationship Id="rId16" Type="http://schemas.openxmlformats.org/officeDocument/2006/relationships/header" Target="header7.xml"/><Relationship Id="rId15" Type="http://schemas.openxmlformats.org/officeDocument/2006/relationships/footer" Target="footer7.xml"/><Relationship Id="rId14" Type="http://schemas.openxmlformats.org/officeDocument/2006/relationships/footer" Target="footer6.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122"/>
    <customShpInfo spid="_x0000_s2123"/>
    <customShpInfo spid="_x0000_s2124"/>
    <customShpInfo spid="_x0000_s212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126"/>
    <customShpInfo spid="_x0000_s2127"/>
    <customShpInfo spid="_x0000_s2128"/>
    <customShpInfo spid="_x0000_s2125"/>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130"/>
    <customShpInfo spid="_x0000_s2131"/>
    <customShpInfo spid="_x0000_s2132"/>
    <customShpInfo spid="_x0000_s2129"/>
    <customShpInfo spid="_x0000_s2068"/>
    <customShpInfo spid="_x0000_s2067"/>
    <customShpInfo spid="_x0000_s2066"/>
    <customShpInfo spid="_x0000_s2065"/>
    <customShpInfo spid="_x0000_s2064"/>
    <customShpInfo spid="_x0000_s2134"/>
    <customShpInfo spid="_x0000_s2135"/>
    <customShpInfo spid="_x0000_s2136"/>
    <customShpInfo spid="_x0000_s2133"/>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51"/>
    <customShpInfo spid="_x0000_s1050"/>
    <customShpInfo spid="_x0000_s1049"/>
    <customShpInfo spid="_x0000_s1048"/>
    <customShpInfo spid="_x0000_s1047"/>
    <customShpInfo spid="_x0000_s1046"/>
    <customShpInfo spid="_x0000_s1042"/>
    <customShpInfo spid="_x0000_s1054"/>
    <customShpInfo spid="_x0000_s1055"/>
    <customShpInfo spid="_x0000_s1053"/>
    <customShpInfo spid="_x0000_s1026"/>
    <customShpInfo spid="_x0000_s1045"/>
    <customShpInfo spid="_x0000_s1044"/>
    <customShpInfo spid="_x0000_s1043"/>
    <customShpInfo spid="_x0000_s1041"/>
    <customShpInfo spid="_x0000_s1058"/>
    <customShpInfo spid="_x0000_s1059"/>
    <customShpInfo spid="_x0000_s1060"/>
    <customShpInfo spid="_x0000_s1057"/>
    <customShpInfo spid="_x0000_s1040"/>
    <customShpInfo spid="_x0000_s1039"/>
    <customShpInfo spid="_x0000_s1029"/>
    <customShpInfo spid="_x0000_s1028"/>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4D025F-2DB8-42F2-9DAF-1A25C3472C4E}">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30</Pages>
  <Words>9626</Words>
  <Characters>13523</Characters>
  <Lines>115</Lines>
  <Paragraphs>32</Paragraphs>
  <TotalTime>690</TotalTime>
  <ScaleCrop>false</ScaleCrop>
  <LinksUpToDate>false</LinksUpToDate>
  <CharactersWithSpaces>14174</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cp:lastModifiedBy>
  <cp:lastPrinted>2020-07-30T02:37:00Z</cp:lastPrinted>
  <dcterms:modified xsi:type="dcterms:W3CDTF">2023-09-14T02:50:04Z</dcterms:modified>
  <cp:revision>80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D2827684E3F3411EBADED13DCAF13C86_12</vt:lpwstr>
  </property>
</Properties>
</file>