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仿宋" w:hAnsi="仿宋" w:eastAsia="仿宋" w:cs="仿宋"/>
          <w:sz w:val="32"/>
          <w:szCs w:val="32"/>
        </w:rPr>
      </w:pPr>
      <w:r>
        <w:rPr>
          <w:rFonts w:hint="eastAsia" w:ascii="宋体"/>
          <w:b/>
          <w:bCs/>
          <w:sz w:val="36"/>
          <w:szCs w:val="32"/>
        </w:rPr>
        <w:t>黄壁庄镇生活污水项目绩效评价报告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根据《石家庄市鹿泉区区级部门预算绩效管理办法》（鹿财字[2019]65号），遵循“科学性、规范性、客观性和公正性”的原则，对黄壁庄镇生活污水项目实施了绩效评价，形成本评价报告。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ind w:firstLine="800" w:firstLineChars="250"/>
        <w:rPr>
          <w:rFonts w:hint="eastAsia" w:ascii="仿宋_GB2312" w:eastAsia="仿宋_GB2312"/>
          <w:sz w:val="32"/>
          <w:szCs w:val="32"/>
        </w:rPr>
      </w:pPr>
      <w:r>
        <w:rPr>
          <w:rFonts w:hint="eastAsia" w:ascii="仿宋_GB2312" w:eastAsia="仿宋_GB2312"/>
          <w:sz w:val="32"/>
          <w:szCs w:val="32"/>
        </w:rPr>
        <w:t>黄壁庄镇生活污水项目实施单位为：石家庄市鹿泉区</w:t>
      </w:r>
      <w:r>
        <w:rPr>
          <w:rFonts w:ascii="仿宋_GB2312" w:eastAsia="仿宋_GB2312"/>
          <w:sz w:val="32"/>
          <w:szCs w:val="32"/>
        </w:rPr>
        <w:t>黄壁庄镇人民政府</w:t>
      </w:r>
      <w:r>
        <w:rPr>
          <w:rFonts w:hint="eastAsia" w:ascii="仿宋_GB2312" w:eastAsia="仿宋_GB2312"/>
          <w:sz w:val="32"/>
          <w:szCs w:val="32"/>
        </w:rPr>
        <w:t>。该项目按照石家庄鹿泉区行政审批局相关规定办理项目立项。</w:t>
      </w:r>
    </w:p>
    <w:p>
      <w:pPr>
        <w:ind w:firstLine="800" w:firstLineChars="250"/>
        <w:rPr>
          <w:rFonts w:hint="eastAsia" w:ascii="仿宋_GB2312" w:eastAsia="仿宋_GB2312"/>
          <w:sz w:val="32"/>
          <w:szCs w:val="32"/>
        </w:rPr>
      </w:pPr>
      <w:r>
        <w:rPr>
          <w:rFonts w:hint="eastAsia" w:ascii="仿宋_GB2312" w:eastAsia="仿宋_GB2312"/>
          <w:sz w:val="32"/>
          <w:szCs w:val="32"/>
        </w:rPr>
        <w:t>2019年9月10日，审批通过了项目建议书，批准文号：鹿行审[2019]100号</w:t>
      </w:r>
    </w:p>
    <w:p>
      <w:pPr>
        <w:ind w:firstLine="800" w:firstLineChars="250"/>
        <w:rPr>
          <w:rFonts w:hint="eastAsia" w:ascii="仿宋_GB2312" w:eastAsia="仿宋_GB2312"/>
          <w:sz w:val="32"/>
          <w:szCs w:val="32"/>
        </w:rPr>
      </w:pPr>
      <w:r>
        <w:rPr>
          <w:rFonts w:hint="eastAsia" w:ascii="仿宋_GB2312" w:eastAsia="仿宋_GB2312"/>
          <w:sz w:val="32"/>
          <w:szCs w:val="32"/>
        </w:rPr>
        <w:t>2019年 9月30日，审批通过了项目可行性研究报告及社会稳定风险分析报告，批准文号：鹿行审[2019]114号</w:t>
      </w:r>
    </w:p>
    <w:p>
      <w:pPr>
        <w:ind w:firstLine="800" w:firstLineChars="250"/>
        <w:rPr>
          <w:rFonts w:hint="eastAsia" w:ascii="仿宋_GB2312" w:eastAsia="仿宋_GB2312"/>
          <w:sz w:val="32"/>
          <w:szCs w:val="32"/>
        </w:rPr>
      </w:pPr>
      <w:r>
        <w:rPr>
          <w:rFonts w:hint="eastAsia" w:ascii="仿宋_GB2312" w:eastAsia="仿宋_GB2312"/>
          <w:sz w:val="32"/>
          <w:szCs w:val="32"/>
        </w:rPr>
        <w:t>2019年11月4日，审批通过了项目初步设计，批准文号：鹿行审[2019]141号。</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2.项目主要实施内容和范围；</w:t>
      </w:r>
    </w:p>
    <w:p>
      <w:pPr>
        <w:ind w:firstLine="800" w:firstLineChars="25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实施范围</w:t>
      </w:r>
      <w:r>
        <w:rPr>
          <w:rFonts w:ascii="仿宋_GB2312" w:eastAsia="仿宋_GB2312"/>
          <w:sz w:val="32"/>
          <w:szCs w:val="32"/>
        </w:rPr>
        <w:t>：石家庄鹿泉区黄壁庄镇上黄壁、下黄壁、田村、东升村、北庄村、沿村、黄壁庄村、上吕村8个村。</w:t>
      </w:r>
    </w:p>
    <w:p>
      <w:pPr>
        <w:ind w:firstLine="640" w:firstLineChars="200"/>
        <w:rPr>
          <w:rFonts w:ascii="仿宋_GB2312" w:eastAsia="仿宋_GB2312"/>
          <w:sz w:val="32"/>
          <w:szCs w:val="32"/>
        </w:rPr>
      </w:pPr>
      <w:r>
        <w:rPr>
          <w:rFonts w:hint="eastAsia" w:ascii="仿宋_GB2312" w:eastAsia="仿宋_GB2312"/>
          <w:sz w:val="32"/>
          <w:szCs w:val="32"/>
        </w:rPr>
        <w:t>（2）</w:t>
      </w:r>
      <w:r>
        <w:rPr>
          <w:rFonts w:ascii="仿宋_GB2312" w:eastAsia="仿宋_GB2312"/>
          <w:sz w:val="32"/>
          <w:szCs w:val="32"/>
        </w:rPr>
        <w:t>项目</w:t>
      </w:r>
      <w:r>
        <w:rPr>
          <w:rFonts w:hint="eastAsia" w:ascii="仿宋_GB2312" w:eastAsia="仿宋_GB2312"/>
          <w:sz w:val="32"/>
          <w:szCs w:val="32"/>
        </w:rPr>
        <w:t>实施</w:t>
      </w:r>
      <w:r>
        <w:rPr>
          <w:rFonts w:ascii="仿宋_GB2312" w:eastAsia="仿宋_GB2312"/>
          <w:sz w:val="32"/>
          <w:szCs w:val="32"/>
        </w:rPr>
        <w:t>内容：</w:t>
      </w:r>
      <w:r>
        <w:rPr>
          <w:rFonts w:hint="eastAsia" w:ascii="仿宋_GB2312" w:eastAsia="仿宋_GB2312"/>
          <w:sz w:val="32"/>
          <w:szCs w:val="32"/>
        </w:rPr>
        <w:t>建设黄壁庄镇8个村农村污水处理工程,具体包括新建全地下式污水处理站7座，新上一体化污水处理设备7套，污水管道63366米建设，检查井4061座。</w:t>
      </w:r>
      <w:r>
        <w:rPr>
          <w:rFonts w:ascii="仿宋_GB2312" w:eastAsia="仿宋_GB2312"/>
          <w:sz w:val="32"/>
          <w:szCs w:val="32"/>
        </w:rPr>
        <w:t>项目建设后达到日污水处理能力上黄壁村100m3/d，下黄壁村150m3/d，东升村</w:t>
      </w:r>
      <w:r>
        <w:rPr>
          <w:rFonts w:hint="eastAsia" w:ascii="仿宋_GB2312" w:eastAsia="仿宋_GB2312"/>
          <w:sz w:val="32"/>
          <w:szCs w:val="32"/>
        </w:rPr>
        <w:t>50</w:t>
      </w:r>
      <w:r>
        <w:rPr>
          <w:rFonts w:ascii="仿宋_GB2312" w:eastAsia="仿宋_GB2312"/>
          <w:sz w:val="32"/>
          <w:szCs w:val="32"/>
        </w:rPr>
        <w:t>m3/d，田村1</w:t>
      </w:r>
      <w:r>
        <w:rPr>
          <w:rFonts w:hint="eastAsia" w:ascii="仿宋_GB2312" w:eastAsia="仿宋_GB2312"/>
          <w:sz w:val="32"/>
          <w:szCs w:val="32"/>
        </w:rPr>
        <w:t>5</w:t>
      </w:r>
      <w:r>
        <w:rPr>
          <w:rFonts w:ascii="仿宋_GB2312" w:eastAsia="仿宋_GB2312"/>
          <w:sz w:val="32"/>
          <w:szCs w:val="32"/>
        </w:rPr>
        <w:t>0m3/d，沿村和北庄村合计</w:t>
      </w:r>
      <w:r>
        <w:rPr>
          <w:rFonts w:hint="eastAsia" w:ascii="仿宋_GB2312" w:eastAsia="仿宋_GB2312"/>
          <w:sz w:val="32"/>
          <w:szCs w:val="32"/>
        </w:rPr>
        <w:t>25</w:t>
      </w:r>
      <w:r>
        <w:rPr>
          <w:rFonts w:ascii="仿宋_GB2312" w:eastAsia="仿宋_GB2312"/>
          <w:sz w:val="32"/>
          <w:szCs w:val="32"/>
        </w:rPr>
        <w:t>0m3/d，黄壁庄村100m3/d，上吕村100m3/d，</w:t>
      </w:r>
      <w:r>
        <w:rPr>
          <w:rFonts w:hint="eastAsia" w:ascii="仿宋_GB2312" w:eastAsia="仿宋_GB2312"/>
          <w:sz w:val="32"/>
          <w:szCs w:val="32"/>
        </w:rPr>
        <w:t>道路破除恢复面积74878.8m2，</w:t>
      </w:r>
      <w:r>
        <w:rPr>
          <w:rFonts w:ascii="仿宋_GB2312" w:eastAsia="仿宋_GB2312"/>
          <w:sz w:val="32"/>
          <w:szCs w:val="32"/>
        </w:rPr>
        <w:t>总计生活污水日处理量为900 m3/d。</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3.项目资金投入情况（资金数量、资金结构、资金来源渠道等）</w:t>
      </w:r>
    </w:p>
    <w:p>
      <w:pPr>
        <w:tabs>
          <w:tab w:val="left" w:pos="8400"/>
        </w:tabs>
        <w:topLinePunct/>
        <w:ind w:firstLine="640" w:firstLineChars="200"/>
        <w:textAlignment w:val="center"/>
        <w:rPr>
          <w:rFonts w:hint="eastAsia" w:ascii="仿宋_GB2312" w:hAnsi="Calibri" w:eastAsia="仿宋_GB2312" w:cs="Times New Roman"/>
          <w:sz w:val="32"/>
          <w:szCs w:val="32"/>
        </w:rPr>
      </w:pPr>
      <w:r>
        <w:rPr>
          <w:rFonts w:hint="eastAsia" w:ascii="仿宋_GB2312" w:hAnsi="Calibri" w:eastAsia="仿宋_GB2312" w:cs="Times New Roman"/>
          <w:sz w:val="32"/>
          <w:szCs w:val="32"/>
        </w:rPr>
        <w:t>项目工程总投资3263.73万元。</w:t>
      </w:r>
    </w:p>
    <w:p>
      <w:pPr>
        <w:topLinePunct/>
        <w:ind w:firstLine="640" w:firstLineChars="200"/>
        <w:textAlignment w:val="center"/>
        <w:rPr>
          <w:rFonts w:hint="eastAsia" w:ascii="仿宋_GB2312" w:hAnsi="Calibri" w:eastAsia="仿宋_GB2312" w:cs="Times New Roman"/>
          <w:sz w:val="32"/>
          <w:szCs w:val="32"/>
        </w:rPr>
      </w:pPr>
      <w:r>
        <w:rPr>
          <w:rFonts w:hint="eastAsia" w:ascii="仿宋_GB2312" w:hAnsi="Calibri" w:eastAsia="仿宋_GB2312" w:cs="Times New Roman"/>
          <w:sz w:val="32"/>
          <w:szCs w:val="32"/>
        </w:rPr>
        <w:t>其中：建筑安装工程费用2872.72万元，占总投资的88.02%；</w:t>
      </w:r>
    </w:p>
    <w:p>
      <w:pPr>
        <w:topLinePunct/>
        <w:ind w:firstLine="1600" w:firstLineChars="500"/>
        <w:textAlignment w:val="center"/>
        <w:rPr>
          <w:rFonts w:hint="eastAsia" w:ascii="仿宋_GB2312" w:hAnsi="Calibri" w:eastAsia="仿宋_GB2312" w:cs="Times New Roman"/>
          <w:sz w:val="32"/>
          <w:szCs w:val="32"/>
        </w:rPr>
      </w:pPr>
      <w:r>
        <w:rPr>
          <w:rFonts w:hint="eastAsia" w:ascii="仿宋_GB2312" w:hAnsi="Calibri" w:eastAsia="仿宋_GB2312" w:cs="Times New Roman"/>
          <w:sz w:val="32"/>
          <w:szCs w:val="32"/>
        </w:rPr>
        <w:t>工程建设其他费235.59万元，占总投资的7.22%；</w:t>
      </w:r>
    </w:p>
    <w:p>
      <w:pPr>
        <w:tabs>
          <w:tab w:val="left" w:pos="8400"/>
        </w:tabs>
        <w:topLinePunct/>
        <w:ind w:firstLine="1600" w:firstLineChars="500"/>
        <w:textAlignment w:val="center"/>
        <w:rPr>
          <w:rFonts w:hint="eastAsia" w:ascii="仿宋_GB2312" w:eastAsia="仿宋_GB2312"/>
          <w:sz w:val="32"/>
          <w:szCs w:val="32"/>
        </w:rPr>
      </w:pPr>
      <w:r>
        <w:rPr>
          <w:rFonts w:hint="eastAsia" w:ascii="仿宋_GB2312" w:hAnsi="Calibri" w:eastAsia="仿宋_GB2312" w:cs="Times New Roman"/>
          <w:sz w:val="32"/>
          <w:szCs w:val="32"/>
        </w:rPr>
        <w:t>预备费155.42万元，占总投资的4.76%。</w:t>
      </w:r>
    </w:p>
    <w:p>
      <w:pPr>
        <w:tabs>
          <w:tab w:val="left" w:pos="8400"/>
        </w:tabs>
        <w:topLinePunct/>
        <w:ind w:firstLine="800" w:firstLineChars="250"/>
        <w:textAlignment w:val="center"/>
        <w:rPr>
          <w:rFonts w:ascii="仿宋_GB2312" w:eastAsia="仿宋_GB2312"/>
          <w:sz w:val="32"/>
          <w:szCs w:val="32"/>
        </w:rPr>
      </w:pPr>
      <w:r>
        <w:rPr>
          <w:rFonts w:hint="eastAsia" w:ascii="仿宋_GB2312" w:eastAsia="仿宋_GB2312"/>
          <w:sz w:val="32"/>
          <w:szCs w:val="32"/>
        </w:rPr>
        <w:t>资金全部来源为鹿泉区财政资金出资。</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仿宋_GB2312" w:hAnsi="Calibri" w:eastAsia="仿宋_GB2312" w:cs="Times New Roman"/>
          <w:sz w:val="32"/>
          <w:szCs w:val="32"/>
        </w:rPr>
        <w:t>解决鹿泉区黄壁庄镇8个村生活污水排放问题，改善农村的生态环境，促进可持续的经济发展。</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仿宋_GB2312" w:hAnsi="Calibri" w:eastAsia="仿宋_GB2312" w:cs="Times New Roman"/>
          <w:sz w:val="32"/>
          <w:szCs w:val="32"/>
        </w:rPr>
        <w:t>项目阶段性目标：日均处理生活污水900吨。</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spacing w:line="560" w:lineRule="exact"/>
        <w:ind w:firstLine="640" w:firstLineChars="200"/>
        <w:rPr>
          <w:rFonts w:hint="eastAsia" w:ascii="宋体" w:hAnsi="宋体" w:cs="宋体"/>
          <w:color w:val="000000"/>
          <w:sz w:val="32"/>
          <w:szCs w:val="32"/>
        </w:rPr>
      </w:pPr>
      <w:r>
        <w:rPr>
          <w:rFonts w:hint="eastAsia" w:ascii="仿宋_GB2312" w:eastAsia="仿宋_GB2312"/>
          <w:sz w:val="32"/>
          <w:szCs w:val="32"/>
        </w:rPr>
        <w:t xml:space="preserve">    </w:t>
      </w:r>
      <w:r>
        <w:rPr>
          <w:rFonts w:hint="eastAsia" w:ascii="宋体" w:hAnsi="宋体" w:cs="宋体"/>
          <w:color w:val="000000"/>
          <w:sz w:val="32"/>
          <w:szCs w:val="32"/>
        </w:rPr>
        <w:t>按照绩效评价的要求，成立评价小组，进行前期准备工作并制定绩效评价工作方案。</w:t>
      </w:r>
    </w:p>
    <w:p>
      <w:pPr>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spacing w:line="560" w:lineRule="exact"/>
        <w:ind w:firstLine="640" w:firstLineChars="200"/>
        <w:rPr>
          <w:rFonts w:hint="eastAsia" w:ascii="宋体" w:hAnsi="宋体" w:cs="宋体"/>
          <w:color w:val="000000"/>
          <w:sz w:val="32"/>
          <w:szCs w:val="32"/>
        </w:rPr>
      </w:pPr>
      <w:r>
        <w:rPr>
          <w:rFonts w:hint="eastAsia" w:ascii="宋体" w:hAnsi="宋体" w:cs="宋体"/>
          <w:color w:val="000000"/>
          <w:sz w:val="32"/>
          <w:szCs w:val="32"/>
        </w:rPr>
        <w:t>绩效评价方法主要采用成本效益分析法、比较法、实地调查法等。</w:t>
      </w:r>
    </w:p>
    <w:p>
      <w:pPr>
        <w:spacing w:line="560" w:lineRule="exact"/>
        <w:ind w:firstLine="640" w:firstLineChars="200"/>
        <w:rPr>
          <w:rFonts w:hint="eastAsia" w:ascii="宋体" w:hAnsi="宋体" w:cs="宋体"/>
          <w:color w:val="000000"/>
          <w:sz w:val="32"/>
          <w:szCs w:val="32"/>
        </w:rPr>
      </w:pPr>
      <w:r>
        <w:rPr>
          <w:rFonts w:hint="eastAsia" w:ascii="宋体" w:hAnsi="宋体" w:cs="宋体"/>
          <w:color w:val="000000"/>
          <w:sz w:val="32"/>
          <w:szCs w:val="32"/>
        </w:rPr>
        <w:t>（1）成本效益分析法。是指将一定时期内的支出与效益进行对比分析，以评价绩效目标实现程度。</w:t>
      </w:r>
    </w:p>
    <w:p>
      <w:pPr>
        <w:spacing w:line="560" w:lineRule="exact"/>
        <w:ind w:firstLine="640" w:firstLineChars="200"/>
        <w:rPr>
          <w:rFonts w:hint="eastAsia" w:ascii="宋体" w:hAnsi="宋体" w:cs="宋体"/>
          <w:color w:val="000000"/>
          <w:sz w:val="32"/>
          <w:szCs w:val="32"/>
        </w:rPr>
      </w:pPr>
      <w:r>
        <w:rPr>
          <w:rFonts w:hint="eastAsia" w:ascii="宋体" w:hAnsi="宋体" w:cs="宋体"/>
          <w:color w:val="000000"/>
          <w:sz w:val="32"/>
          <w:szCs w:val="32"/>
        </w:rPr>
        <w:t>（2）分析评价法。是指通过对绩效目标与实施效果、效目标实现程度进行分析评价。</w:t>
      </w:r>
    </w:p>
    <w:p>
      <w:pPr>
        <w:spacing w:line="560" w:lineRule="exact"/>
        <w:ind w:firstLine="640" w:firstLineChars="200"/>
        <w:rPr>
          <w:rFonts w:hint="eastAsia" w:ascii="宋体" w:hAnsi="宋体" w:cs="宋体"/>
          <w:color w:val="000000"/>
          <w:sz w:val="32"/>
          <w:szCs w:val="32"/>
        </w:rPr>
      </w:pPr>
      <w:r>
        <w:rPr>
          <w:rFonts w:hint="eastAsia" w:ascii="宋体" w:hAnsi="宋体" w:cs="宋体"/>
          <w:color w:val="000000"/>
          <w:sz w:val="32"/>
          <w:szCs w:val="32"/>
        </w:rPr>
        <w:t>（3）公众评判法。是指通过专家评估、公众问卷及抽样调查等对财政支出效果进行评判，评价绩效目标实现程度。</w:t>
      </w:r>
    </w:p>
    <w:p>
      <w:pPr>
        <w:spacing w:line="560" w:lineRule="exact"/>
        <w:ind w:firstLine="640" w:firstLineChars="200"/>
        <w:rPr>
          <w:rFonts w:hint="eastAsia" w:ascii="宋体" w:hAnsi="宋体" w:cs="宋体"/>
          <w:color w:val="000000"/>
          <w:sz w:val="32"/>
          <w:szCs w:val="32"/>
        </w:rPr>
      </w:pPr>
      <w:r>
        <w:rPr>
          <w:rFonts w:hint="eastAsia" w:ascii="宋体" w:hAnsi="宋体" w:cs="宋体"/>
          <w:color w:val="000000"/>
          <w:sz w:val="32"/>
          <w:szCs w:val="32"/>
        </w:rPr>
        <w:t>（4）实地调查法。是指实地走访，核实项目情况。</w:t>
      </w:r>
    </w:p>
    <w:p>
      <w:pPr>
        <w:spacing w:line="560" w:lineRule="exact"/>
        <w:ind w:firstLine="640" w:firstLineChars="200"/>
        <w:rPr>
          <w:rFonts w:hint="eastAsia" w:ascii="宋体" w:hAnsi="宋体" w:cs="宋体"/>
          <w:color w:val="000000"/>
          <w:sz w:val="32"/>
          <w:szCs w:val="32"/>
        </w:rPr>
      </w:pPr>
      <w:r>
        <w:rPr>
          <w:rFonts w:hint="eastAsia" w:ascii="宋体" w:hAnsi="宋体" w:cs="宋体"/>
          <w:color w:val="000000"/>
          <w:sz w:val="32"/>
          <w:szCs w:val="32"/>
        </w:rPr>
        <w:t>评价小组对黄壁庄镇生活污水处理项目进行了实地调查，了解项目实施单位项目管理和项目资金使用的情况，听取他们对项目支出绩效评价的意见和建议，收集项目相关资料。</w:t>
      </w:r>
    </w:p>
    <w:p>
      <w:pPr>
        <w:spacing w:line="560" w:lineRule="exact"/>
        <w:ind w:firstLine="640" w:firstLineChars="200"/>
        <w:rPr>
          <w:rFonts w:ascii="宋体" w:hAnsi="宋体" w:cs="宋体"/>
          <w:color w:val="000000"/>
          <w:sz w:val="32"/>
          <w:szCs w:val="32"/>
        </w:rPr>
      </w:pPr>
      <w:r>
        <w:rPr>
          <w:rFonts w:hint="eastAsia" w:ascii="宋体" w:hAnsi="宋体" w:cs="宋体"/>
          <w:color w:val="000000"/>
          <w:sz w:val="32"/>
          <w:szCs w:val="32"/>
        </w:rPr>
        <w:t>利用分析评价法与公众评判法，对绩效评价指标逐项分解落实，并对照各项指标进行分析研究，咨询有关专家，制定项目支出绩效评价个性指标并进行评分。</w:t>
      </w:r>
    </w:p>
    <w:p>
      <w:pPr>
        <w:rPr>
          <w:rFonts w:hint="eastAsia"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adjustRightInd w:val="0"/>
        <w:spacing w:line="360" w:lineRule="auto"/>
        <w:ind w:firstLine="640" w:firstLineChars="200"/>
        <w:rPr>
          <w:rFonts w:ascii="宋体" w:hAnsi="宋体" w:cs="宋体"/>
          <w:color w:val="000000"/>
          <w:sz w:val="32"/>
          <w:szCs w:val="32"/>
        </w:rPr>
      </w:pPr>
      <w:r>
        <w:rPr>
          <w:rFonts w:hint="eastAsia" w:ascii="宋体" w:hAnsi="宋体" w:cs="宋体"/>
          <w:color w:val="000000"/>
          <w:sz w:val="32"/>
          <w:szCs w:val="32"/>
        </w:rPr>
        <w:t>根据本次绩效评价的要求，参考《</w:t>
      </w:r>
      <w:r>
        <w:rPr>
          <w:rFonts w:ascii="宋体" w:hAnsi="宋体" w:cs="宋体"/>
          <w:color w:val="000000"/>
          <w:sz w:val="32"/>
          <w:szCs w:val="32"/>
        </w:rPr>
        <w:t>项目支出绩效评价共性指标体系框架</w:t>
      </w:r>
      <w:r>
        <w:rPr>
          <w:rFonts w:hint="eastAsia" w:ascii="宋体" w:hAnsi="宋体" w:cs="宋体"/>
          <w:color w:val="000000"/>
          <w:sz w:val="32"/>
          <w:szCs w:val="32"/>
        </w:rPr>
        <w:t>》中的项目支出绩效评价共性指标体系框架，设置本次评价的指标体系。本绩效评价体系采取打分评价的形式，满分为100分。指标权重设置为：项目投入10分，项目实施过程10分，项目产出60分，项目效果20分。</w:t>
      </w:r>
    </w:p>
    <w:p>
      <w:pPr>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ind w:firstLine="640" w:firstLineChars="200"/>
        <w:rPr>
          <w:rFonts w:hint="eastAsia" w:ascii="仿宋_GB2312" w:eastAsia="仿宋_GB2312"/>
          <w:sz w:val="32"/>
          <w:szCs w:val="32"/>
        </w:rPr>
      </w:pPr>
      <w:r>
        <w:rPr>
          <w:rFonts w:hint="eastAsia" w:ascii="仿宋_GB2312" w:eastAsia="仿宋_GB2312"/>
          <w:sz w:val="32"/>
          <w:szCs w:val="32"/>
        </w:rPr>
        <w:t>项目按照</w:t>
      </w:r>
      <w:r>
        <w:rPr>
          <w:rFonts w:ascii="仿宋_GB2312" w:eastAsia="仿宋_GB2312"/>
          <w:sz w:val="32"/>
          <w:szCs w:val="32"/>
        </w:rPr>
        <w:t>规定的程序申请设立</w:t>
      </w:r>
      <w:r>
        <w:rPr>
          <w:rFonts w:hint="eastAsia" w:ascii="仿宋_GB2312" w:eastAsia="仿宋_GB2312"/>
          <w:sz w:val="32"/>
          <w:szCs w:val="32"/>
        </w:rPr>
        <w:t>，审批通过了项目建议书、</w:t>
      </w:r>
      <w:r>
        <w:rPr>
          <w:rFonts w:ascii="仿宋_GB2312" w:eastAsia="仿宋_GB2312"/>
          <w:sz w:val="32"/>
          <w:szCs w:val="32"/>
        </w:rPr>
        <w:t>可行性研究、风险评估、</w:t>
      </w:r>
      <w:r>
        <w:rPr>
          <w:rFonts w:hint="eastAsia" w:ascii="仿宋_GB2312" w:eastAsia="仿宋_GB2312"/>
          <w:sz w:val="32"/>
          <w:szCs w:val="32"/>
        </w:rPr>
        <w:t>初步设计等内容，项目立项规范，绩效目标合理性和绩效指标明确性，得4分。</w:t>
      </w:r>
    </w:p>
    <w:p>
      <w:pPr>
        <w:ind w:firstLine="640" w:firstLineChars="200"/>
        <w:rPr>
          <w:rFonts w:ascii="仿宋_GB2312" w:eastAsia="仿宋_GB2312"/>
          <w:sz w:val="32"/>
          <w:szCs w:val="32"/>
        </w:rPr>
      </w:pPr>
      <w:r>
        <w:rPr>
          <w:rFonts w:hint="eastAsia" w:ascii="仿宋_GB2312" w:eastAsia="仿宋_GB2312"/>
          <w:sz w:val="32"/>
          <w:szCs w:val="32"/>
        </w:rPr>
        <w:t>2.资金落实情况分析。资金由鹿泉区财政全额拨款，资金有保障，到位较及时。得3分。</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1.业务管理情况分析。该项目管理制度健较为健全，</w:t>
      </w:r>
    </w:p>
    <w:p>
      <w:pPr>
        <w:rPr>
          <w:rFonts w:hint="eastAsia" w:ascii="仿宋_GB2312" w:eastAsia="仿宋_GB2312"/>
          <w:sz w:val="32"/>
          <w:szCs w:val="32"/>
        </w:rPr>
      </w:pPr>
      <w:r>
        <w:rPr>
          <w:rFonts w:hint="eastAsia" w:ascii="仿宋_GB2312" w:eastAsia="仿宋_GB2312"/>
          <w:sz w:val="32"/>
          <w:szCs w:val="32"/>
        </w:rPr>
        <w:t>制度执行有效性强，项目质量可控，得4分。</w:t>
      </w:r>
    </w:p>
    <w:p>
      <w:pPr>
        <w:ind w:firstLine="640" w:firstLineChars="200"/>
        <w:rPr>
          <w:rFonts w:ascii="仿宋_GB2312" w:eastAsia="仿宋_GB2312"/>
          <w:sz w:val="32"/>
          <w:szCs w:val="32"/>
        </w:rPr>
      </w:pPr>
      <w:r>
        <w:rPr>
          <w:rFonts w:hint="eastAsia" w:ascii="仿宋_GB2312" w:eastAsia="仿宋_GB2312"/>
          <w:sz w:val="32"/>
          <w:szCs w:val="32"/>
        </w:rPr>
        <w:t>2.财务管理。对管理制度健全性、资金使用合规性和财务监控有效性等情况进行分析后，得3分。</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（1）实际完成率：标值为日均处理污水量900吨。通过对生活污水处理减排台账统计分析，达到设计日处理污水量负荷的91.19%。得8.5分（按全年平均数计算）；</w:t>
      </w:r>
    </w:p>
    <w:p>
      <w:pPr>
        <w:ind w:firstLine="640" w:firstLineChars="200"/>
        <w:rPr>
          <w:rFonts w:hint="eastAsia" w:ascii="仿宋_GB2312" w:eastAsia="仿宋_GB2312"/>
          <w:sz w:val="32"/>
          <w:szCs w:val="32"/>
        </w:rPr>
      </w:pPr>
      <w:r>
        <w:rPr>
          <w:rFonts w:hint="eastAsia" w:ascii="仿宋_GB2312" w:eastAsia="仿宋_GB2312"/>
          <w:sz w:val="32"/>
          <w:szCs w:val="32"/>
        </w:rPr>
        <w:t>（2）完成及时率：基本按照计划时间节点完成项目阶段目标，完成率为85%，指标得分8分；</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（3）质量达标率：目标值为污水处理后出水数据符合（DB13/2171-2015）一级A类标准，得38分。</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经济效益：农村生活污水处理项目是一项具有公益性质的公共事业项目，项目实施目前没有对经济发展所带来的直接经济效益，但水质的提高改善了人民生活用水质量，环境条件的改善可降低与污染有关疾病的传播，提高了人民的身体素质减少由此引起的经济损失，有效地促进了农村经济的发展，有一定的间接经济效益。得2分。</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⑵社会效益：生活污水处理项目实施以来，有效解决农村生活污水排放而污染水源的问题；提高了人民的生活、生产用水质量；有利于降低与污染有关疾病的传播。得3分。</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⑶生态效益：生活污水经处理后质量达标率100%，相对生活污水直排到地面及沟渠里，较好地改善了当地的水质，一定程度上改善了当地生态环境。得2分。</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⑷ 可持续影响：该项目于2019年正式建设至今已取得了良好</w:t>
      </w:r>
      <w:bookmarkStart w:id="0" w:name="_GoBack"/>
      <w:bookmarkEnd w:id="0"/>
      <w:r>
        <w:rPr>
          <w:rFonts w:hint="eastAsia" w:ascii="仿宋_GB2312" w:eastAsia="仿宋_GB2312"/>
          <w:sz w:val="32"/>
          <w:szCs w:val="32"/>
        </w:rPr>
        <w:t>的社会效果。随着城镇一体化进程的发展，农村生活污水的增量和处理要求都会有所增加。预计今后对生活污水的处理能力还将有所提高，可持续影响重大。得3分。</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5）满意度：服务对象满意度指标：对社会公众和服务对象对项目实施效果的进行满意度调查，并设置了：非常满意、满意、一般、不满意、很不满意等五个指标，汇总有关调查信息进行评分。评价人员发放了20余份调查问卷，收回了18份有效问卷，从收回的问卷统计来看，回答基本上都是为：非常满意或满意。评价人员认为社会公众或服务对象对污水处理项目满意度还是较高的。得3分。</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pStyle w:val="5"/>
        <w:spacing w:before="0" w:beforeAutospacing="0" w:after="0" w:afterAutospacing="0" w:line="260" w:lineRule="atLeast"/>
        <w:ind w:firstLine="360"/>
        <w:rPr>
          <w:rFonts w:hint="eastAsia" w:ascii="仿宋_GB2312" w:eastAsia="仿宋_GB2312" w:hAnsiTheme="minorHAnsi" w:cstheme="minorBidi"/>
          <w:kern w:val="2"/>
          <w:sz w:val="32"/>
          <w:szCs w:val="32"/>
        </w:rPr>
      </w:pPr>
      <w:r>
        <w:rPr>
          <w:rFonts w:hint="eastAsia" w:ascii="仿宋_GB2312" w:eastAsia="仿宋_GB2312" w:hAnsiTheme="minorHAnsi" w:cstheme="minorBidi"/>
          <w:kern w:val="2"/>
          <w:sz w:val="32"/>
          <w:szCs w:val="32"/>
        </w:rPr>
        <w:t>评价小组对所收集的项目资料进行了认真整理分析，并结合实地调查情况，对评价项目充分发表了看法和建议。对照设定的《</w:t>
      </w:r>
      <w:r>
        <w:rPr>
          <w:rFonts w:ascii="仿宋_GB2312" w:eastAsia="仿宋_GB2312" w:hAnsiTheme="minorHAnsi" w:cstheme="minorBidi"/>
          <w:kern w:val="2"/>
          <w:sz w:val="32"/>
          <w:szCs w:val="32"/>
        </w:rPr>
        <w:t>项目支出绩效评价共性指标体系框架</w:t>
      </w:r>
      <w:r>
        <w:rPr>
          <w:rFonts w:hint="eastAsia" w:ascii="仿宋_GB2312" w:eastAsia="仿宋_GB2312" w:hAnsiTheme="minorHAnsi" w:cstheme="minorBidi"/>
          <w:kern w:val="2"/>
          <w:sz w:val="32"/>
          <w:szCs w:val="32"/>
        </w:rPr>
        <w:t>》进行逐项分析评议，遵循“互不干扰，独立打分”的原则，进行了打分工作。经评价，本项目相关性高，效率性良好，可持续性较好，综合评价得分81.5分，项目总体绩效良好。</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pStyle w:val="5"/>
        <w:spacing w:before="0" w:beforeAutospacing="0" w:after="0" w:afterAutospacing="0" w:line="260" w:lineRule="atLeast"/>
        <w:ind w:firstLine="360"/>
        <w:rPr>
          <w:rFonts w:hint="eastAsia" w:ascii="仿宋_GB2312" w:eastAsia="仿宋_GB2312" w:hAnsiTheme="minorHAnsi" w:cstheme="minorBidi"/>
          <w:kern w:val="2"/>
          <w:sz w:val="32"/>
          <w:szCs w:val="32"/>
        </w:rPr>
      </w:pPr>
      <w:r>
        <w:rPr>
          <w:rFonts w:hint="eastAsia" w:ascii="仿宋_GB2312" w:eastAsia="仿宋_GB2312" w:hAnsiTheme="minorHAnsi" w:cstheme="minorBidi"/>
          <w:kern w:val="2"/>
          <w:sz w:val="32"/>
          <w:szCs w:val="32"/>
        </w:rPr>
        <w:t>项目建设及运维程序管理有待提升。</w:t>
      </w:r>
    </w:p>
    <w:p>
      <w:pPr>
        <w:pStyle w:val="5"/>
        <w:spacing w:before="0" w:beforeAutospacing="0" w:after="0" w:afterAutospacing="0" w:line="260" w:lineRule="atLeast"/>
        <w:ind w:firstLine="360"/>
        <w:rPr>
          <w:rFonts w:hint="eastAsia" w:ascii="仿宋_GB2312" w:eastAsia="仿宋_GB2312" w:hAnsiTheme="minorHAnsi" w:cstheme="minorBidi"/>
          <w:kern w:val="2"/>
          <w:sz w:val="32"/>
          <w:szCs w:val="32"/>
        </w:rPr>
      </w:pPr>
      <w:r>
        <w:rPr>
          <w:rFonts w:hint="eastAsia" w:ascii="仿宋_GB2312" w:eastAsia="仿宋_GB2312" w:hAnsiTheme="minorHAnsi" w:cstheme="minorBidi"/>
          <w:kern w:val="2"/>
          <w:sz w:val="32"/>
          <w:szCs w:val="32"/>
        </w:rPr>
        <w:t>建设期间许沟通协调部门较多，存在沟通不及时与不到位等问题，造成项目推进难度增加或滞后等现象，在项目建设与后期等方面存在交接不完善等问题。</w:t>
      </w:r>
    </w:p>
    <w:p>
      <w:pPr>
        <w:rPr>
          <w:rFonts w:hint="eastAsia" w:ascii="仿宋_GB2312" w:eastAsia="仿宋_GB2312"/>
          <w:sz w:val="32"/>
          <w:szCs w:val="32"/>
        </w:rPr>
      </w:pPr>
      <w:r>
        <w:rPr>
          <w:rFonts w:hint="eastAsia" w:ascii="仿宋_GB2312" w:eastAsia="仿宋_GB2312"/>
          <w:sz w:val="32"/>
          <w:szCs w:val="32"/>
        </w:rPr>
        <w:t xml:space="preserve">   </w:t>
      </w:r>
      <w:r>
        <w:rPr>
          <w:rFonts w:hint="eastAsia" w:ascii="楷体_GB2312" w:hAnsi="楷体_GB2312" w:eastAsia="楷体_GB2312"/>
          <w:sz w:val="32"/>
          <w:szCs w:val="32"/>
        </w:rPr>
        <w:t>（二）</w:t>
      </w:r>
      <w:r>
        <w:rPr>
          <w:rFonts w:hint="eastAsia" w:ascii="仿宋_GB2312" w:eastAsia="仿宋_GB2312"/>
          <w:sz w:val="32"/>
          <w:szCs w:val="32"/>
        </w:rPr>
        <w:t>针对问题提出具体的改进措施或建议</w:t>
      </w:r>
    </w:p>
    <w:p>
      <w:pPr>
        <w:pStyle w:val="5"/>
        <w:spacing w:before="0" w:beforeAutospacing="0" w:after="0" w:afterAutospacing="0" w:line="260" w:lineRule="atLeast"/>
        <w:ind w:firstLine="320" w:firstLineChars="100"/>
        <w:rPr>
          <w:rFonts w:hint="eastAsia" w:ascii="仿宋_GB2312" w:eastAsia="仿宋_GB2312" w:hAnsiTheme="minorHAnsi" w:cstheme="minorBidi"/>
          <w:kern w:val="2"/>
          <w:sz w:val="32"/>
          <w:szCs w:val="32"/>
        </w:rPr>
      </w:pPr>
      <w:r>
        <w:rPr>
          <w:rFonts w:hint="eastAsia" w:ascii="仿宋_GB2312" w:eastAsia="仿宋_GB2312" w:hAnsiTheme="minorHAnsi" w:cstheme="minorBidi"/>
          <w:kern w:val="2"/>
          <w:sz w:val="32"/>
          <w:szCs w:val="32"/>
        </w:rPr>
        <w:t>建议项目建设主管单位进一步加强设计、建设环节监管力度。加强项目资料的归档管理，细化工程建设程序管理，细化移交标准，增强制度的可操作性。加强后期同类项目设计评价及设计执行管理，督促业主单位做好农户的政策处理工作。</w:t>
      </w:r>
    </w:p>
    <w:p>
      <w:pPr>
        <w:numPr>
          <w:ilvl w:val="0"/>
          <w:numId w:val="1"/>
        </w:numPr>
        <w:adjustRightInd w:val="0"/>
        <w:snapToGrid w:val="0"/>
        <w:spacing w:line="360" w:lineRule="auto"/>
        <w:ind w:firstLine="640" w:firstLineChars="200"/>
        <w:rPr>
          <w:rFonts w:hint="eastAsia" w:ascii="仿宋_GB2312" w:eastAsia="仿宋_GB2312"/>
          <w:b w:val="0"/>
          <w:bCs w:val="0"/>
          <w:color w:val="auto"/>
          <w:sz w:val="32"/>
          <w:szCs w:val="32"/>
          <w:highlight w:val="none"/>
        </w:rPr>
      </w:pPr>
      <w:r>
        <w:rPr>
          <w:rFonts w:hint="eastAsia" w:ascii="黑体" w:eastAsia="黑体"/>
          <w:b w:val="0"/>
          <w:bCs w:val="0"/>
          <w:color w:val="auto"/>
          <w:sz w:val="32"/>
          <w:szCs w:val="32"/>
          <w:highlight w:val="none"/>
        </w:rPr>
        <w:t>评价工作组人员名单及签字</w:t>
      </w:r>
      <w:r>
        <w:rPr>
          <w:rFonts w:hint="eastAsia" w:ascii="仿宋_GB2312" w:eastAsia="仿宋_GB2312"/>
          <w:b w:val="0"/>
          <w:bCs w:val="0"/>
          <w:color w:val="auto"/>
          <w:sz w:val="32"/>
          <w:szCs w:val="32"/>
          <w:highlight w:val="none"/>
        </w:rPr>
        <w:t>（姓名、工作单位、职务、职称）</w:t>
      </w:r>
    </w:p>
    <w:p>
      <w:pPr>
        <w:numPr>
          <w:ilvl w:val="0"/>
          <w:numId w:val="0"/>
        </w:numPr>
        <w:adjustRightInd w:val="0"/>
        <w:snapToGrid w:val="0"/>
        <w:spacing w:line="360" w:lineRule="auto"/>
        <w:ind w:firstLine="960" w:firstLineChars="300"/>
        <w:rPr>
          <w:rFonts w:hint="eastAsia" w:ascii="仿宋_GB2312" w:eastAsia="仿宋_GB2312"/>
          <w:b w:val="0"/>
          <w:bCs w:val="0"/>
          <w:color w:val="auto"/>
          <w:sz w:val="32"/>
          <w:szCs w:val="32"/>
          <w:highlight w:val="none"/>
          <w:lang w:val="en-US" w:eastAsia="zh-CN"/>
        </w:rPr>
      </w:pPr>
      <w:r>
        <w:rPr>
          <w:rFonts w:hint="eastAsia" w:ascii="仿宋_GB2312" w:eastAsia="仿宋_GB2312"/>
          <w:b w:val="0"/>
          <w:bCs w:val="0"/>
          <w:color w:val="auto"/>
          <w:sz w:val="32"/>
          <w:szCs w:val="32"/>
          <w:highlight w:val="none"/>
          <w:lang w:val="en-US" w:eastAsia="zh-CN"/>
        </w:rPr>
        <w:t>高建忠    黄壁庄镇人大主席</w:t>
      </w:r>
    </w:p>
    <w:p>
      <w:pPr>
        <w:ind w:firstLine="960" w:firstLineChars="300"/>
        <w:rPr>
          <w:rFonts w:hint="eastAsia" w:ascii="仿宋_GB2312" w:eastAsia="仿宋_GB2312"/>
          <w:b w:val="0"/>
          <w:bCs w:val="0"/>
          <w:color w:val="auto"/>
          <w:sz w:val="32"/>
          <w:szCs w:val="32"/>
          <w:lang w:val="en-US" w:eastAsia="zh-CN"/>
        </w:rPr>
      </w:pPr>
      <w:r>
        <w:rPr>
          <w:rFonts w:hint="eastAsia" w:ascii="仿宋_GB2312" w:eastAsia="仿宋_GB2312"/>
          <w:b w:val="0"/>
          <w:bCs w:val="0"/>
          <w:color w:val="auto"/>
          <w:sz w:val="32"/>
          <w:szCs w:val="32"/>
          <w:lang w:eastAsia="zh-CN"/>
        </w:rPr>
        <w:t>范碧溪</w:t>
      </w:r>
      <w:r>
        <w:rPr>
          <w:rFonts w:hint="eastAsia" w:ascii="仿宋_GB2312" w:eastAsia="仿宋_GB2312"/>
          <w:b w:val="0"/>
          <w:bCs w:val="0"/>
          <w:color w:val="auto"/>
          <w:sz w:val="32"/>
          <w:szCs w:val="32"/>
          <w:lang w:val="en-US" w:eastAsia="zh-CN"/>
        </w:rPr>
        <w:t xml:space="preserve">    </w:t>
      </w:r>
      <w:r>
        <w:rPr>
          <w:rFonts w:hint="eastAsia" w:ascii="仿宋_GB2312" w:eastAsia="仿宋_GB2312"/>
          <w:b w:val="0"/>
          <w:bCs w:val="0"/>
          <w:color w:val="auto"/>
          <w:sz w:val="32"/>
          <w:szCs w:val="32"/>
          <w:lang w:eastAsia="zh-CN"/>
        </w:rPr>
        <w:t>中盛弘宇建设科技有限公司</w:t>
      </w:r>
      <w:r>
        <w:rPr>
          <w:rFonts w:hint="eastAsia" w:ascii="仿宋_GB2312" w:eastAsia="仿宋_GB2312"/>
          <w:b w:val="0"/>
          <w:bCs w:val="0"/>
          <w:color w:val="auto"/>
          <w:sz w:val="32"/>
          <w:szCs w:val="32"/>
          <w:lang w:val="en-US" w:eastAsia="zh-CN"/>
        </w:rPr>
        <w:t xml:space="preserve"> 设计室副主任</w:t>
      </w:r>
    </w:p>
    <w:p>
      <w:pPr>
        <w:ind w:firstLine="960" w:firstLineChars="300"/>
        <w:rPr>
          <w:rFonts w:hint="default" w:ascii="仿宋_GB2312" w:eastAsia="仿宋_GB2312"/>
          <w:b w:val="0"/>
          <w:bCs w:val="0"/>
          <w:color w:val="auto"/>
          <w:sz w:val="32"/>
          <w:szCs w:val="32"/>
          <w:lang w:val="en-US" w:eastAsia="zh-CN"/>
        </w:rPr>
      </w:pPr>
      <w:r>
        <w:rPr>
          <w:rFonts w:hint="eastAsia" w:ascii="仿宋_GB2312" w:eastAsia="仿宋_GB2312"/>
          <w:b w:val="0"/>
          <w:bCs w:val="0"/>
          <w:color w:val="auto"/>
          <w:sz w:val="32"/>
          <w:szCs w:val="32"/>
          <w:lang w:val="en-US" w:eastAsia="zh-CN"/>
        </w:rPr>
        <w:t>赵志斌    黄壁庄镇政府科员</w:t>
      </w:r>
    </w:p>
    <w:p>
      <w:pPr>
        <w:rPr>
          <w:rFonts w:hint="eastAsia" w:ascii="仿宋_GB2312" w:eastAsia="仿宋_GB2312"/>
          <w:sz w:val="32"/>
          <w:szCs w:val="32"/>
        </w:rPr>
      </w:pPr>
    </w:p>
    <w:p>
      <w:pPr>
        <w:rPr>
          <w:rFonts w:ascii="仿宋_GB2312" w:eastAsia="仿宋_GB2312"/>
          <w:sz w:val="32"/>
          <w:szCs w:val="32"/>
        </w:rPr>
      </w:pPr>
    </w:p>
    <w:p>
      <w:pPr>
        <w:adjustRightInd w:val="0"/>
        <w:spacing w:line="360" w:lineRule="auto"/>
        <w:rPr>
          <w:rFonts w:ascii="仿宋_GB2312" w:hAnsi="宋体" w:eastAsia="仿宋_GB2312"/>
          <w:sz w:val="32"/>
          <w:szCs w:val="32"/>
        </w:rPr>
      </w:pPr>
    </w:p>
    <w:p>
      <w:pPr>
        <w:adjustRightInd w:val="0"/>
        <w:spacing w:line="360" w:lineRule="auto"/>
        <w:rPr>
          <w:rFonts w:ascii="仿宋_GB2312" w:hAnsi="宋体" w:eastAsia="仿宋_GB2312"/>
          <w:sz w:val="32"/>
          <w:szCs w:val="32"/>
        </w:rPr>
      </w:pPr>
    </w:p>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0000000000000000000"/>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3"/>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DD974F"/>
    <w:multiLevelType w:val="singleLevel"/>
    <w:tmpl w:val="14DD974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M3MGQzZDAxYmY5NDgyOTRjZTNkNWI5NThlNzk0MGUifQ=="/>
  </w:docVars>
  <w:rsids>
    <w:rsidRoot w:val="2A2941B7"/>
    <w:rsid w:val="00041C63"/>
    <w:rsid w:val="000564EB"/>
    <w:rsid w:val="0006687A"/>
    <w:rsid w:val="000B4678"/>
    <w:rsid w:val="000C0777"/>
    <w:rsid w:val="001B360D"/>
    <w:rsid w:val="001F6B66"/>
    <w:rsid w:val="002879D4"/>
    <w:rsid w:val="002D624B"/>
    <w:rsid w:val="002D7DF5"/>
    <w:rsid w:val="0045188E"/>
    <w:rsid w:val="004C2683"/>
    <w:rsid w:val="004C34B4"/>
    <w:rsid w:val="004C5AD0"/>
    <w:rsid w:val="00523BE7"/>
    <w:rsid w:val="005D057A"/>
    <w:rsid w:val="00606AC0"/>
    <w:rsid w:val="0061115D"/>
    <w:rsid w:val="00634A25"/>
    <w:rsid w:val="0063770F"/>
    <w:rsid w:val="00666557"/>
    <w:rsid w:val="006D0E8D"/>
    <w:rsid w:val="00711716"/>
    <w:rsid w:val="007121C7"/>
    <w:rsid w:val="00737110"/>
    <w:rsid w:val="00746DB6"/>
    <w:rsid w:val="00802006"/>
    <w:rsid w:val="00831E61"/>
    <w:rsid w:val="0088641C"/>
    <w:rsid w:val="009009EB"/>
    <w:rsid w:val="00925DB2"/>
    <w:rsid w:val="009B1A58"/>
    <w:rsid w:val="009F12AF"/>
    <w:rsid w:val="00A341E1"/>
    <w:rsid w:val="00A3469E"/>
    <w:rsid w:val="00B96D89"/>
    <w:rsid w:val="00C002BF"/>
    <w:rsid w:val="00C25736"/>
    <w:rsid w:val="00C6712E"/>
    <w:rsid w:val="00CD233D"/>
    <w:rsid w:val="00D24DF3"/>
    <w:rsid w:val="00D35363"/>
    <w:rsid w:val="00D8105A"/>
    <w:rsid w:val="00DA2824"/>
    <w:rsid w:val="00DB4258"/>
    <w:rsid w:val="00DD5819"/>
    <w:rsid w:val="00E3645F"/>
    <w:rsid w:val="00E52C46"/>
    <w:rsid w:val="00E7466A"/>
    <w:rsid w:val="00E86242"/>
    <w:rsid w:val="00EB0E23"/>
    <w:rsid w:val="00F12048"/>
    <w:rsid w:val="00F75044"/>
    <w:rsid w:val="00FB7FE9"/>
    <w:rsid w:val="04435BCF"/>
    <w:rsid w:val="2A2941B7"/>
    <w:rsid w:val="2E633DA2"/>
    <w:rsid w:val="3E875AEF"/>
    <w:rsid w:val="44D5058E"/>
    <w:rsid w:val="67104284"/>
    <w:rsid w:val="67EB551E"/>
    <w:rsid w:val="71A228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0"/>
    <w:uiPriority w:val="0"/>
    <w:pPr>
      <w:ind w:left="100" w:leftChars="2500"/>
    </w:p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unhideWhenUsed/>
    <w:uiPriority w:val="99"/>
    <w:pPr>
      <w:widowControl/>
      <w:spacing w:before="100" w:beforeAutospacing="1" w:after="100" w:afterAutospacing="1"/>
      <w:jc w:val="left"/>
    </w:pPr>
    <w:rPr>
      <w:rFonts w:ascii="宋体" w:hAnsi="宋体" w:cs="宋体"/>
      <w:kern w:val="0"/>
      <w:sz w:val="24"/>
    </w:rPr>
  </w:style>
  <w:style w:type="character" w:styleId="8">
    <w:name w:val="page number"/>
    <w:basedOn w:val="7"/>
    <w:qFormat/>
    <w:uiPriority w:val="0"/>
  </w:style>
  <w:style w:type="paragraph" w:customStyle="1" w:styleId="9">
    <w:name w:val="默认段落字体 Para Char Char Char Char Char Char Char"/>
    <w:basedOn w:val="1"/>
    <w:qFormat/>
    <w:uiPriority w:val="0"/>
  </w:style>
  <w:style w:type="character" w:customStyle="1" w:styleId="10">
    <w:name w:val="日期 Char"/>
    <w:basedOn w:val="7"/>
    <w:link w:val="2"/>
    <w:qFormat/>
    <w:uiPriority w:val="0"/>
    <w:rPr>
      <w:rFonts w:eastAsia="宋体"/>
      <w:kern w:val="2"/>
      <w:sz w:val="21"/>
      <w:szCs w:val="24"/>
    </w:rPr>
  </w:style>
  <w:style w:type="character" w:customStyle="1" w:styleId="11">
    <w:name w:val="NormalCharacter"/>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821</Words>
  <Characters>4680</Characters>
  <Lines>39</Lines>
  <Paragraphs>10</Paragraphs>
  <TotalTime>131</TotalTime>
  <ScaleCrop>false</ScaleCrop>
  <LinksUpToDate>false</LinksUpToDate>
  <CharactersWithSpaces>5491</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2020-01-06T04:11:00Z</cp:lastPrinted>
  <dcterms:modified xsi:type="dcterms:W3CDTF">2023-07-24T04:24:57Z</dcterms:modified>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0DCA419CB9F14CA3AEF0A82A54D5F96C_13</vt:lpwstr>
  </property>
</Properties>
</file>