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1270</wp:posOffset>
                </wp:positionV>
                <wp:extent cx="7571740" cy="297370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9737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w:t>
                            </w:r>
                          </w:p>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黄壁庄镇人民政府</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0.1pt;height:234.15pt;width:596.2pt;z-index:251660288;mso-width-relative:page;mso-height-relative:page;" filled="f" stroked="f" coordsize="21600,21600" o:gfxdata="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pqDMNNkAAAAKAQAADwAAAAAAAAAB&#10;ACAAAAAiAAAAZHJzL2Rvd25yZXYueG1sUEsBAhQAFAAAAAgAh07iQEgTdxhIAgAAcwQAAA4AAAAA&#10;AAAAAQAgAAAAKAEAAGRycy9lMm9Eb2MueG1sUEsFBgAAAAAGAAYAWQEAAOIFA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w:t>
                      </w:r>
                    </w:p>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黄壁庄镇人民政府</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w:t>
      </w:r>
      <w:r>
        <w:rPr>
          <w:rFonts w:hint="eastAsia" w:ascii="楷体_GB2312" w:hAnsi="楷体_GB2312" w:eastAsia="楷体_GB2312" w:cs="楷体_GB2312"/>
          <w:b/>
          <w:sz w:val="40"/>
          <w:szCs w:val="40"/>
          <w:lang w:eastAsia="zh-CN"/>
        </w:rPr>
        <w:t>十</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二十四</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4624;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黄壁庄镇</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3600;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numPr>
          <w:ilvl w:val="0"/>
          <w:numId w:val="1"/>
        </w:numPr>
        <w:spacing w:before="0" w:after="0" w:line="600" w:lineRule="exact"/>
        <w:jc w:val="left"/>
        <w:rPr>
          <w:rFonts w:hint="eastAsia"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部门职责</w:t>
      </w:r>
    </w:p>
    <w:p>
      <w:pPr>
        <w:numPr>
          <w:ilvl w:val="0"/>
          <w:numId w:val="0"/>
        </w:numPr>
        <w:rPr>
          <w:rFonts w:hint="eastAsia" w:ascii="仿宋_GB2312" w:hAnsi="仿宋_GB2312" w:eastAsia="仿宋_GB2312" w:cs="仿宋_GB2312"/>
          <w:sz w:val="32"/>
          <w:szCs w:val="32"/>
          <w:lang w:val="en-US" w:eastAsia="zh-CN"/>
        </w:rPr>
      </w:pPr>
      <w:r>
        <w:rPr>
          <w:rFonts w:hint="eastAsia"/>
          <w:lang w:val="en-US" w:eastAsia="zh-CN"/>
        </w:rPr>
        <w:t xml:space="preserve">   </w:t>
      </w:r>
      <w:r>
        <w:rPr>
          <w:rFonts w:hint="eastAsia"/>
          <w:sz w:val="36"/>
          <w:szCs w:val="36"/>
          <w:lang w:val="en-US" w:eastAsia="zh-CN"/>
        </w:rPr>
        <w:t xml:space="preserve"> </w:t>
      </w:r>
      <w:r>
        <w:rPr>
          <w:rFonts w:hint="eastAsia" w:ascii="仿宋_GB2312" w:hAnsi="仿宋_GB2312" w:eastAsia="仿宋_GB2312" w:cs="仿宋_GB2312"/>
          <w:sz w:val="32"/>
          <w:szCs w:val="32"/>
          <w:lang w:val="en-US" w:eastAsia="zh-CN"/>
        </w:rPr>
        <w:t>（一）各部门职责</w:t>
      </w:r>
    </w:p>
    <w:p>
      <w:pPr>
        <w:widowControl/>
        <w:spacing w:line="600" w:lineRule="exact"/>
        <w:ind w:firstLine="630"/>
        <w:jc w:val="left"/>
        <w:rPr>
          <w:rFonts w:hint="eastAsia" w:ascii="仿宋" w:hAnsi="仿宋" w:eastAsia="仿宋" w:cs="宋体"/>
          <w:kern w:val="0"/>
          <w:sz w:val="32"/>
          <w:szCs w:val="32"/>
        </w:rPr>
      </w:pPr>
      <w:r>
        <w:rPr>
          <w:rFonts w:hint="eastAsia" w:ascii="仿宋_GB2312" w:hAnsi="宋体" w:eastAsia="仿宋_GB2312"/>
          <w:color w:val="000000"/>
          <w:sz w:val="32"/>
          <w:szCs w:val="32"/>
        </w:rPr>
        <w:t>1</w:t>
      </w:r>
      <w:r>
        <w:rPr>
          <w:rFonts w:hint="eastAsia" w:ascii="仿宋" w:hAnsi="仿宋" w:eastAsia="仿宋" w:cs="宋体"/>
          <w:kern w:val="0"/>
          <w:sz w:val="32"/>
          <w:szCs w:val="32"/>
        </w:rPr>
        <w:t>、</w:t>
      </w:r>
      <w:r>
        <w:rPr>
          <w:rFonts w:hint="eastAsia" w:ascii="仿宋" w:hAnsi="仿宋" w:eastAsia="仿宋" w:cs="宋体"/>
          <w:b/>
          <w:kern w:val="0"/>
          <w:sz w:val="32"/>
          <w:szCs w:val="32"/>
        </w:rPr>
        <w:t>机关事务管理</w:t>
      </w:r>
      <w:r>
        <w:rPr>
          <w:rFonts w:hint="eastAsia" w:ascii="仿宋" w:hAnsi="仿宋" w:eastAsia="仿宋" w:cs="宋体"/>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　负责社会治安综合治理和司法工作；做好宗教工作，打击邪教；调处矛盾纠纷；做好群众来信来访、社会稳定等工作。负责精神文明和新农村建设，以及与各部门社会事务工作的指导服务和协调。</w:t>
      </w:r>
    </w:p>
    <w:p>
      <w:pPr>
        <w:widowControl/>
        <w:spacing w:line="600" w:lineRule="exact"/>
        <w:ind w:firstLine="630"/>
        <w:jc w:val="left"/>
        <w:rPr>
          <w:rFonts w:hint="eastAsia" w:ascii="仿宋" w:hAnsi="仿宋" w:eastAsia="仿宋" w:cs="宋体"/>
          <w:b/>
          <w:kern w:val="0"/>
          <w:sz w:val="32"/>
          <w:szCs w:val="32"/>
        </w:rPr>
      </w:pPr>
      <w:r>
        <w:rPr>
          <w:rFonts w:hint="eastAsia" w:ascii="仿宋" w:hAnsi="仿宋" w:eastAsia="仿宋" w:cs="宋体"/>
          <w:b/>
          <w:kern w:val="0"/>
          <w:sz w:val="32"/>
          <w:szCs w:val="32"/>
        </w:rPr>
        <w:t>2、农业综合服务。</w:t>
      </w:r>
      <w:r>
        <w:rPr>
          <w:rFonts w:hint="eastAsia" w:ascii="仿宋" w:hAnsi="仿宋" w:eastAsia="仿宋" w:cs="宋体"/>
          <w:kern w:val="0"/>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600" w:lineRule="exact"/>
        <w:ind w:firstLine="630"/>
        <w:jc w:val="left"/>
        <w:rPr>
          <w:rFonts w:hint="eastAsia" w:ascii="仿宋" w:hAnsi="仿宋" w:eastAsia="仿宋" w:cs="宋体"/>
          <w:kern w:val="0"/>
          <w:sz w:val="32"/>
          <w:szCs w:val="32"/>
        </w:rPr>
      </w:pPr>
      <w:r>
        <w:rPr>
          <w:rFonts w:hint="eastAsia" w:ascii="仿宋" w:hAnsi="仿宋" w:eastAsia="仿宋" w:cs="宋体"/>
          <w:b/>
          <w:kern w:val="0"/>
          <w:sz w:val="32"/>
          <w:szCs w:val="32"/>
        </w:rPr>
        <w:t>3、卫生计生服务</w:t>
      </w:r>
      <w:r>
        <w:rPr>
          <w:rFonts w:hint="eastAsia" w:ascii="仿宋" w:hAnsi="仿宋" w:eastAsia="仿宋" w:cs="宋体"/>
          <w:kern w:val="0"/>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600" w:lineRule="exact"/>
        <w:ind w:firstLine="630"/>
        <w:jc w:val="left"/>
        <w:rPr>
          <w:rFonts w:hint="eastAsia" w:ascii="方正小标宋_GBK" w:hAnsi="宋体" w:eastAsia="方正小标宋_GBK"/>
          <w:sz w:val="44"/>
          <w:szCs w:val="44"/>
        </w:rPr>
      </w:pPr>
      <w:r>
        <w:rPr>
          <w:rFonts w:hint="eastAsia" w:ascii="仿宋" w:hAnsi="仿宋" w:eastAsia="仿宋" w:cs="宋体"/>
          <w:b/>
          <w:kern w:val="0"/>
          <w:sz w:val="32"/>
          <w:szCs w:val="32"/>
        </w:rPr>
        <w:t>4、文化综治服务。</w:t>
      </w:r>
      <w:r>
        <w:rPr>
          <w:rFonts w:hint="eastAsia" w:ascii="仿宋" w:hAnsi="仿宋" w:eastAsia="仿宋" w:cs="宋体"/>
          <w:kern w:val="0"/>
          <w:sz w:val="32"/>
          <w:szCs w:val="32"/>
        </w:rPr>
        <w:t>负责群众文化娱乐、体育活动、广播电视村村通等工作。</w:t>
      </w:r>
    </w:p>
    <w:p>
      <w:pPr>
        <w:pStyle w:val="33"/>
        <w:spacing w:line="600" w:lineRule="exact"/>
        <w:ind w:firstLine="643" w:firstLineChars="200"/>
        <w:jc w:val="both"/>
        <w:rPr>
          <w:rFonts w:hint="eastAsia" w:ascii="仿宋" w:hAnsi="仿宋" w:eastAsia="仿宋"/>
          <w:sz w:val="32"/>
          <w:szCs w:val="32"/>
          <w:lang w:eastAsia="zh-CN"/>
        </w:rPr>
      </w:pPr>
      <w:r>
        <w:rPr>
          <w:rFonts w:hint="eastAsia" w:ascii="仿宋" w:hAnsi="仿宋" w:eastAsia="仿宋"/>
          <w:b/>
          <w:sz w:val="32"/>
          <w:szCs w:val="32"/>
          <w:lang w:eastAsia="zh-CN"/>
        </w:rPr>
        <w:t>5、社会保障服务。</w:t>
      </w:r>
      <w:r>
        <w:rPr>
          <w:rFonts w:hint="eastAsia" w:ascii="仿宋" w:hAnsi="仿宋" w:eastAsia="仿宋"/>
          <w:sz w:val="32"/>
          <w:szCs w:val="32"/>
          <w:lang w:eastAsia="zh-CN"/>
        </w:rPr>
        <w:t>配合劳动保障部门做好劳动法的宣传贯彻、劳动就业、社会保障等工作。配合安全生产监督管理部门做好安全生产监督管理等工作。</w:t>
      </w:r>
    </w:p>
    <w:p>
      <w:pPr>
        <w:widowControl/>
        <w:shd w:val="clear" w:color="000000" w:fill="FFFFFF"/>
        <w:spacing w:line="500" w:lineRule="exact"/>
        <w:ind w:firstLine="643"/>
        <w:jc w:val="left"/>
        <w:rPr>
          <w:rFonts w:ascii="仿宋" w:hAnsi="仿宋" w:eastAsia="仿宋"/>
          <w:b/>
          <w:color w:val="3E3E3E"/>
          <w:sz w:val="32"/>
          <w:szCs w:val="32"/>
        </w:rPr>
      </w:pPr>
      <w:r>
        <w:rPr>
          <w:rFonts w:hint="eastAsia" w:ascii="仿宋" w:hAnsi="仿宋" w:eastAsia="仿宋"/>
          <w:b/>
          <w:color w:val="3E3E3E"/>
          <w:sz w:val="32"/>
          <w:szCs w:val="32"/>
          <w:lang w:eastAsia="zh-CN"/>
        </w:rPr>
        <w:t>（</w:t>
      </w:r>
      <w:r>
        <w:rPr>
          <w:rFonts w:hint="eastAsia" w:ascii="仿宋" w:hAnsi="仿宋" w:eastAsia="仿宋"/>
          <w:b/>
          <w:color w:val="3E3E3E"/>
          <w:sz w:val="32"/>
          <w:szCs w:val="32"/>
        </w:rPr>
        <w:t>二</w:t>
      </w:r>
      <w:r>
        <w:rPr>
          <w:rFonts w:hint="eastAsia" w:ascii="仿宋" w:hAnsi="仿宋" w:eastAsia="仿宋"/>
          <w:b/>
          <w:color w:val="3E3E3E"/>
          <w:sz w:val="32"/>
          <w:szCs w:val="32"/>
          <w:lang w:eastAsia="zh-CN"/>
        </w:rPr>
        <w:t>）</w:t>
      </w:r>
      <w:r>
        <w:rPr>
          <w:rFonts w:hint="eastAsia" w:ascii="仿宋" w:hAnsi="仿宋" w:eastAsia="仿宋"/>
          <w:b/>
          <w:color w:val="3E3E3E"/>
          <w:sz w:val="32"/>
          <w:szCs w:val="32"/>
        </w:rPr>
        <w:t>部门决算单位构成</w:t>
      </w:r>
    </w:p>
    <w:p>
      <w:pPr>
        <w:spacing w:line="500" w:lineRule="exact"/>
        <w:ind w:firstLine="640"/>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、党政机构</w:t>
      </w:r>
      <w:r>
        <w:rPr>
          <w:rFonts w:ascii="仿宋" w:hAnsi="仿宋" w:eastAsia="仿宋"/>
          <w:sz w:val="32"/>
          <w:szCs w:val="32"/>
        </w:rPr>
        <w:t>6</w:t>
      </w:r>
      <w:r>
        <w:rPr>
          <w:rFonts w:hint="eastAsia" w:ascii="仿宋" w:hAnsi="仿宋" w:eastAsia="仿宋"/>
          <w:sz w:val="32"/>
          <w:szCs w:val="32"/>
        </w:rPr>
        <w:t>个，分别为：党政办公室、社会事务办公室、经济发展办公室、综合治理办公室、计划生育办公室、城镇建设办公室。</w:t>
      </w:r>
    </w:p>
    <w:p>
      <w:pPr>
        <w:widowControl/>
        <w:shd w:val="clear" w:color="000000" w:fill="FFFFFF"/>
        <w:spacing w:line="500" w:lineRule="exact"/>
        <w:ind w:firstLine="640"/>
        <w:jc w:val="left"/>
        <w:rPr>
          <w:rFonts w:hint="eastAsia" w:ascii="仿宋" w:hAnsi="仿宋" w:eastAsia="仿宋"/>
          <w:sz w:val="32"/>
          <w:szCs w:val="32"/>
          <w:lang w:eastAsia="zh-CN"/>
        </w:rPr>
      </w:pPr>
      <w:r>
        <w:rPr>
          <w:rFonts w:ascii="仿宋" w:hAnsi="仿宋" w:eastAsia="仿宋"/>
          <w:sz w:val="32"/>
          <w:szCs w:val="32"/>
        </w:rPr>
        <w:t>2</w:t>
      </w:r>
      <w:r>
        <w:rPr>
          <w:rFonts w:hint="eastAsia" w:ascii="仿宋" w:hAnsi="仿宋" w:eastAsia="仿宋"/>
          <w:sz w:val="32"/>
          <w:szCs w:val="32"/>
        </w:rPr>
        <w:t>、事业单位机构</w:t>
      </w:r>
      <w:r>
        <w:rPr>
          <w:rFonts w:ascii="仿宋" w:hAnsi="仿宋" w:eastAsia="仿宋"/>
          <w:sz w:val="32"/>
          <w:szCs w:val="32"/>
        </w:rPr>
        <w:t>3</w:t>
      </w:r>
      <w:r>
        <w:rPr>
          <w:rFonts w:hint="eastAsia" w:ascii="仿宋" w:hAnsi="仿宋" w:eastAsia="仿宋"/>
          <w:sz w:val="32"/>
          <w:szCs w:val="32"/>
        </w:rPr>
        <w:t>个，分别为：财政所、计划生育服务站、劳动和社会保障服务站。</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石家庄市鹿泉区黄壁庄镇人民政府</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both"/>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5648;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val="en-US"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石家庄市鹿泉区黄壁庄镇人民政府</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1125.54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848.06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both"/>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87"/>
              </w:tabs>
              <w:spacing w:after="0" w:line="200" w:lineRule="exact"/>
              <w:jc w:val="center"/>
              <w:rPr>
                <w:rFonts w:hint="eastAsia" w:ascii="宋体" w:hAnsi="宋体" w:eastAsia="宋体" w:cs="宋体"/>
                <w:color w:val="auto"/>
                <w:sz w:val="20"/>
                <w:szCs w:val="20"/>
                <w:lang w:eastAsia="zh-CN"/>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176.43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5.23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27.81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40.12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146.99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212.68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74"/>
              </w:tabs>
              <w:spacing w:after="0" w:line="200" w:lineRule="exact"/>
              <w:jc w:val="center"/>
              <w:rPr>
                <w:rFonts w:hint="eastAsia" w:ascii="宋体" w:hAnsi="宋体" w:eastAsia="宋体" w:cs="宋体"/>
                <w:color w:val="auto"/>
                <w:sz w:val="18"/>
                <w:szCs w:val="18"/>
                <w:lang w:eastAsia="zh-CN"/>
              </w:rPr>
            </w:pPr>
            <w:r>
              <w:rPr>
                <w:rFonts w:hint="eastAsia" w:ascii="宋体" w:hAnsi="宋体" w:cs="宋体"/>
                <w:color w:val="auto"/>
                <w:sz w:val="18"/>
                <w:szCs w:val="18"/>
                <w:lang w:eastAsia="zh-CN"/>
              </w:rPr>
              <w:t>1301.96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1280.9</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auto"/>
                <w:sz w:val="20"/>
                <w:szCs w:val="20"/>
              </w:rPr>
            </w:pPr>
            <w:r>
              <w:rPr>
                <w:rFonts w:hint="eastAsia" w:ascii="宋体" w:hAnsi="宋体" w:cs="宋体"/>
                <w:color w:val="auto"/>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21.07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18"/>
                <w:szCs w:val="18"/>
              </w:rPr>
            </w:pPr>
            <w:r>
              <w:rPr>
                <w:rFonts w:hint="eastAsia" w:ascii="宋体" w:hAnsi="宋体" w:cs="宋体"/>
                <w:color w:val="auto"/>
                <w:sz w:val="18"/>
                <w:szCs w:val="18"/>
              </w:rPr>
              <w:t>1301.96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auto"/>
                <w:sz w:val="20"/>
                <w:szCs w:val="20"/>
              </w:rPr>
            </w:pPr>
            <w:r>
              <w:rPr>
                <w:rFonts w:hint="eastAsia" w:ascii="宋体" w:hAnsi="宋体" w:cs="宋体"/>
                <w:b/>
                <w:color w:val="auto"/>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auto"/>
                <w:sz w:val="20"/>
                <w:szCs w:val="20"/>
              </w:rPr>
            </w:pPr>
            <w:r>
              <w:rPr>
                <w:rFonts w:hint="eastAsia" w:ascii="宋体" w:hAnsi="宋体" w:cs="宋体"/>
                <w:color w:val="auto"/>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auto"/>
                <w:sz w:val="20"/>
                <w:szCs w:val="20"/>
              </w:rPr>
            </w:pPr>
            <w:r>
              <w:rPr>
                <w:rFonts w:hint="eastAsia" w:ascii="宋体" w:hAnsi="宋体" w:cs="宋体"/>
                <w:color w:val="auto"/>
                <w:sz w:val="20"/>
                <w:szCs w:val="20"/>
              </w:rPr>
              <w:t>1301.96</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487"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6672"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6672;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38"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石家庄市鹿泉区黄壁庄镇人民政府</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1301.96</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1125.54</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176.43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850.45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850.45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797.98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797.98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781.92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781.92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信访事务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90"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民政管理事务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拥军优属</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34"/>
              </w:tabs>
              <w:spacing w:after="0" w:line="240" w:lineRule="atLeast"/>
              <w:jc w:val="left"/>
              <w:rPr>
                <w:rFonts w:hint="eastAsia" w:ascii="宋体" w:hAnsi="宋体" w:eastAsia="宋体" w:cs="宋体"/>
                <w:color w:val="000000"/>
                <w:szCs w:val="21"/>
                <w:lang w:eastAsia="zh-CN"/>
              </w:rPr>
            </w:pPr>
            <w:r>
              <w:rPr>
                <w:rFonts w:hint="eastAsia" w:ascii="宋体" w:hAnsi="宋体" w:cs="宋体"/>
                <w:color w:val="000000"/>
                <w:szCs w:val="21"/>
                <w:lang w:eastAsia="zh-CN"/>
              </w:rPr>
              <w:tab/>
            </w:r>
            <w:r>
              <w:rPr>
                <w:rFonts w:hint="eastAsia" w:ascii="宋体" w:hAnsi="宋体" w:cs="宋体"/>
                <w:color w:val="000000"/>
                <w:szCs w:val="21"/>
                <w:lang w:eastAsia="zh-CN"/>
              </w:rPr>
              <w:t>4</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r>
              <w:rPr>
                <w:rFonts w:hint="eastAsia" w:ascii="宋体" w:hAnsi="宋体" w:cs="宋体"/>
                <w:color w:val="000000"/>
                <w:szCs w:val="21"/>
                <w:lang w:val="en-US" w:eastAsia="zh-CN"/>
              </w:rPr>
              <w:t xml:space="preserve">  </w:t>
            </w:r>
            <w:r>
              <w:rPr>
                <w:rFonts w:hint="eastAsia" w:ascii="宋体" w:hAnsi="宋体" w:cs="宋体"/>
                <w:color w:val="000000"/>
                <w:szCs w:val="21"/>
              </w:rPr>
              <w:t>4</w:t>
            </w:r>
          </w:p>
        </w:tc>
      </w:tr>
      <w:tr>
        <w:tblPrEx>
          <w:tblCellMar>
            <w:top w:w="0" w:type="dxa"/>
            <w:left w:w="0" w:type="dxa"/>
            <w:bottom w:w="0" w:type="dxa"/>
            <w:right w:w="0" w:type="dxa"/>
          </w:tblCellMar>
        </w:tblPrEx>
        <w:trPr>
          <w:trHeight w:val="673"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165.66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115.66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城管执法</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91.91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91.91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城乡社区公共设施</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小城镇基础设施建设</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210" w:firstLineChars="100"/>
              <w:jc w:val="left"/>
              <w:rPr>
                <w:rFonts w:ascii="宋体" w:hAnsi="宋体" w:cs="宋体"/>
                <w:color w:val="000000"/>
                <w:szCs w:val="21"/>
              </w:rPr>
            </w:pPr>
            <w:r>
              <w:rPr>
                <w:rFonts w:hint="eastAsia" w:ascii="宋体" w:hAnsi="宋体" w:cs="宋体"/>
                <w:color w:val="000000"/>
                <w:szCs w:val="21"/>
              </w:rPr>
              <w:t xml:space="preserve"> 城乡社区环境卫生</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212.68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90.25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133.92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农田水利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其他水利支出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129.93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122.43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对村民委员会和村党支部的补助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石家庄市鹿泉区黄壁庄镇人民政府</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1280.9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959.19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321.7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848.06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844.36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953"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795.59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791.89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90"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779.53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信访事务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民政管理事务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拥军优属</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22.35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146.99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146.24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城管执法</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城乡社区公共设施</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小城镇基础设施建设</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城乡社区环境卫生</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212.68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138.72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133.92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133.92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农田水利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其他水利支出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129.93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807"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对村民委员会和村党支部的补助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石家庄市鹿泉区黄壁庄镇人民政府</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1125.54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848.06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848.06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5.23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23.81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23.81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40.12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40.12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96.99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96.99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90.25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90.25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1125.54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1104.47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1104.47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21.07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21.07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1125.54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1125.54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1125.54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石家庄市鹿泉区黄壁庄镇人民政府</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1104.47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959.19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145.28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848.06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844.36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795.59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791.89</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779.53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779.53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2010308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信访事务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12.36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统计信息事务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31.86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文化体育与传媒支出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文化</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23.81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民政管理事务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拥军优属</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5.46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18.35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计划生育事务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2100717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计划生育服务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40.12</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96.99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2120104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城管执法</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73.24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城乡社区公共设施</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2120303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小城镇基础设施建设</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城乡社区环境卫生</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2120501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城乡社区环境卫生</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0.76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90.25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73.95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16.29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23.18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水利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11.49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2130316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农田水利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2130399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其他水利支出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农村综合改革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2130705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对村民委员会和村党支部的补助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55.58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50.78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4.8</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 w:val="20"/>
                <w:szCs w:val="20"/>
                <w:lang w:eastAsia="zh-CN" w:bidi="ar"/>
              </w:rPr>
              <w:t>石家庄市鹿泉区黄壁庄镇人民政府</w:t>
            </w:r>
            <w:r>
              <w:rPr>
                <w:sz w:val="44"/>
              </w:rPr>
              <mc:AlternateContent>
                <mc:Choice Requires="wpg">
                  <w:drawing>
                    <wp:anchor distT="0" distB="0" distL="114300" distR="114300" simplePos="0" relativeHeight="251680768"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80768;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602.16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335.33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136.89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31.73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199.67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147.05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4.61</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3.46</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38.75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45.14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36.74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43.53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37.64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1.15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161.38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4.73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11.77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619.25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339.94</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1792;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石家庄市鹿泉区黄壁庄镇人民政府</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4.47</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4.47</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281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石家庄市鹿泉区黄壁庄镇人民政府</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注：本表反映部门本年度政府性基金预算财政拨款收入、支出及结转和结余情况。 </w:t>
            </w:r>
          </w:p>
          <w:p>
            <w:pPr>
              <w:widowControl/>
              <w:adjustRightInd w:val="0"/>
              <w:spacing w:after="0" w:line="240" w:lineRule="auto"/>
              <w:ind w:firstLine="420" w:firstLineChars="200"/>
              <w:jc w:val="left"/>
              <w:textAlignment w:val="center"/>
              <w:rPr>
                <w:rFonts w:hint="eastAsia" w:ascii="宋体" w:hAnsi="宋体" w:eastAsia="宋体" w:cs="宋体"/>
                <w:color w:val="000000"/>
                <w:szCs w:val="21"/>
                <w:lang w:eastAsia="zh-CN"/>
              </w:rPr>
            </w:pPr>
            <w:r>
              <w:rPr>
                <w:rFonts w:hint="eastAsia" w:ascii="宋体" w:hAnsi="宋体" w:cs="宋体"/>
                <w:color w:val="000000"/>
                <w:szCs w:val="21"/>
                <w:lang w:eastAsia="zh-CN"/>
              </w:rPr>
              <w:t>黄壁庄镇本年度无相关</w:t>
            </w:r>
            <w:r>
              <w:rPr>
                <w:rFonts w:hint="eastAsia" w:ascii="宋体" w:hAnsi="宋体" w:cs="宋体"/>
                <w:color w:val="000000"/>
                <w:kern w:val="0"/>
                <w:szCs w:val="21"/>
                <w:lang w:bidi="ar"/>
              </w:rPr>
              <w:t>政府性基金预算财政拨款收入、支出及结转和结余情况</w:t>
            </w:r>
            <w:r>
              <w:rPr>
                <w:rFonts w:hint="eastAsia" w:ascii="宋体" w:hAnsi="宋体" w:cs="宋体"/>
                <w:color w:val="000000"/>
                <w:kern w:val="0"/>
                <w:szCs w:val="21"/>
                <w:lang w:eastAsia="zh-CN" w:bidi="ar"/>
              </w:rPr>
              <w:t>，按要求空表列示。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 w:val="20"/>
                <w:szCs w:val="20"/>
                <w:lang w:eastAsia="zh-CN" w:bidi="ar"/>
              </w:rPr>
              <w:t>石家庄市鹿泉区黄壁庄镇人民政府</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注：本表反映部门本年度国有资本经营预算财政拨款支出情况。</w:t>
            </w:r>
          </w:p>
          <w:p>
            <w:pPr>
              <w:widowControl/>
              <w:spacing w:after="0" w:line="240" w:lineRule="auto"/>
              <w:jc w:val="left"/>
              <w:textAlignment w:val="center"/>
              <w:rPr>
                <w:rFonts w:hint="default"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 xml:space="preserve">    </w:t>
            </w:r>
            <w:r>
              <w:rPr>
                <w:rFonts w:hint="eastAsia" w:ascii="宋体" w:hAnsi="宋体" w:cs="宋体"/>
                <w:color w:val="000000"/>
                <w:szCs w:val="21"/>
                <w:lang w:eastAsia="zh-CN"/>
              </w:rPr>
              <w:t>黄壁庄镇本年度无相关</w:t>
            </w:r>
            <w:r>
              <w:rPr>
                <w:rFonts w:hint="eastAsia" w:ascii="宋体" w:hAnsi="宋体" w:cs="宋体"/>
                <w:color w:val="000000"/>
                <w:kern w:val="0"/>
                <w:sz w:val="22"/>
                <w:szCs w:val="22"/>
                <w:lang w:bidi="ar"/>
              </w:rPr>
              <w:t>国有资本经营预算财政拨款支出情况</w:t>
            </w:r>
            <w:r>
              <w:rPr>
                <w:rFonts w:hint="eastAsia" w:ascii="宋体" w:hAnsi="宋体" w:cs="宋体"/>
                <w:color w:val="000000"/>
                <w:kern w:val="0"/>
                <w:szCs w:val="21"/>
                <w:lang w:eastAsia="zh-CN" w:bidi="ar"/>
              </w:rPr>
              <w:t>，按要求空表列示。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48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r>
              <w:rPr>
                <w:rFonts w:hint="eastAsia" w:ascii="宋体" w:hAnsi="宋体" w:cs="宋体"/>
                <w:color w:val="000000"/>
                <w:kern w:val="0"/>
                <w:sz w:val="20"/>
                <w:szCs w:val="20"/>
                <w:lang w:eastAsia="zh-CN" w:bidi="ar"/>
              </w:rPr>
              <w:t>石家庄市鹿泉区黄壁庄镇人民政府</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注：本表反映部门本年度纳入部门预算范围的政府采购预算及支出情况。</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val="en-US" w:eastAsia="zh-CN" w:bidi="ar"/>
              </w:rPr>
              <w:t xml:space="preserve">    </w:t>
            </w:r>
            <w:r>
              <w:rPr>
                <w:rFonts w:hint="eastAsia" w:ascii="宋体" w:hAnsi="宋体" w:cs="宋体"/>
                <w:color w:val="000000"/>
                <w:szCs w:val="21"/>
                <w:lang w:eastAsia="zh-CN"/>
              </w:rPr>
              <w:t>黄壁庄镇本年度无相关</w:t>
            </w:r>
            <w:r>
              <w:rPr>
                <w:rFonts w:hint="eastAsia" w:ascii="宋体" w:hAnsi="宋体" w:cs="宋体"/>
                <w:color w:val="000000"/>
                <w:kern w:val="0"/>
                <w:szCs w:val="21"/>
                <w:lang w:bidi="ar"/>
              </w:rPr>
              <w:t>纳入部门预算范围的政府采购预算及支出情况</w:t>
            </w:r>
            <w:r>
              <w:rPr>
                <w:rFonts w:hint="eastAsia" w:ascii="宋体" w:hAnsi="宋体" w:cs="宋体"/>
                <w:color w:val="000000"/>
                <w:kern w:val="0"/>
                <w:szCs w:val="21"/>
                <w:lang w:eastAsia="zh-CN" w:bidi="ar"/>
              </w:rPr>
              <w:t>，按要求空表列示。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305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305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黄壁庄镇</w:t>
      </w:r>
      <w:r>
        <w:rPr>
          <w:rFonts w:hint="eastAsia" w:ascii="仿宋_GB2312" w:hAnsi="仿宋_GB2312" w:eastAsia="仿宋_GB2312" w:cs="仿宋_GB2312"/>
          <w:sz w:val="32"/>
          <w:szCs w:val="32"/>
        </w:rPr>
        <w:t>2018年度收支总计（含结转和结余）</w:t>
      </w:r>
      <w:r>
        <w:rPr>
          <w:rFonts w:hint="eastAsia" w:ascii="仿宋_GB2312" w:hAnsi="仿宋_GB2312" w:eastAsia="仿宋_GB2312" w:cs="仿宋_GB2312"/>
          <w:sz w:val="32"/>
          <w:szCs w:val="32"/>
          <w:lang w:val="en-US" w:eastAsia="zh-CN"/>
        </w:rPr>
        <w:t>1301.96</w:t>
      </w:r>
      <w:r>
        <w:rPr>
          <w:rFonts w:hint="eastAsia" w:ascii="仿宋_GB2312" w:hAnsi="仿宋_GB2312" w:eastAsia="仿宋_GB2312" w:cs="仿宋_GB2312"/>
          <w:sz w:val="32"/>
          <w:szCs w:val="32"/>
        </w:rPr>
        <w:t>万元。与2017年度决算相比，收支各增加</w:t>
      </w:r>
      <w:r>
        <w:rPr>
          <w:rFonts w:hint="eastAsia" w:ascii="仿宋_GB2312" w:hAnsi="仿宋_GB2312" w:eastAsia="仿宋_GB2312" w:cs="仿宋_GB2312"/>
          <w:sz w:val="32"/>
          <w:szCs w:val="32"/>
          <w:lang w:val="en-US" w:eastAsia="zh-CN"/>
        </w:rPr>
        <w:t>213.69</w:t>
      </w:r>
      <w:r>
        <w:rPr>
          <w:rFonts w:hint="eastAsia" w:ascii="仿宋_GB2312" w:hAnsi="仿宋_GB2312" w:eastAsia="仿宋_GB2312" w:cs="仿宋_GB2312"/>
          <w:sz w:val="32"/>
          <w:szCs w:val="32"/>
        </w:rPr>
        <w:t>万元，增长</w:t>
      </w:r>
      <w:r>
        <w:rPr>
          <w:rFonts w:hint="eastAsia" w:ascii="仿宋_GB2312" w:hAnsi="仿宋_GB2312" w:eastAsia="仿宋_GB2312" w:cs="仿宋_GB2312"/>
          <w:sz w:val="32"/>
          <w:szCs w:val="32"/>
          <w:lang w:val="en-US" w:eastAsia="zh-CN"/>
        </w:rPr>
        <w:t>19.64</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人员增加，相应的</w:t>
      </w:r>
      <w:r>
        <w:rPr>
          <w:rFonts w:hint="eastAsia" w:ascii="仿宋_GB2312" w:hAnsi="仿宋_GB2312" w:eastAsia="仿宋_GB2312" w:cs="仿宋_GB2312"/>
          <w:sz w:val="32"/>
          <w:szCs w:val="32"/>
        </w:rPr>
        <w:t>人员经费的增加、通讯补贴、物业补贴</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2018年度本年收入合计</w:t>
      </w:r>
      <w:r>
        <w:rPr>
          <w:rFonts w:hint="eastAsia" w:ascii="仿宋_GB2312" w:eastAsia="仿宋_GB2312" w:cs="DengXian-Regular"/>
          <w:sz w:val="32"/>
          <w:szCs w:val="32"/>
          <w:lang w:val="en-US" w:eastAsia="zh-CN"/>
        </w:rPr>
        <w:t>1301.96</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1125.54</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86.45</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176.43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13.55</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98176" behindDoc="0" locked="0" layoutInCell="1" allowOverlap="1">
            <wp:simplePos x="0" y="0"/>
            <wp:positionH relativeFrom="column">
              <wp:posOffset>666115</wp:posOffset>
            </wp:positionH>
            <wp:positionV relativeFrom="paragraph">
              <wp:posOffset>67945</wp:posOffset>
            </wp:positionV>
            <wp:extent cx="4784725" cy="2858135"/>
            <wp:effectExtent l="4445" t="5080" r="11430" b="13335"/>
            <wp:wrapNone/>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r>
        <w:rPr>
          <w:sz w:val="32"/>
        </w:rPr>
        <mc:AlternateContent>
          <mc:Choice Requires="wps">
            <w:drawing>
              <wp:anchor distT="0" distB="0" distL="114300" distR="114300" simplePos="0" relativeHeight="251671552" behindDoc="0" locked="0" layoutInCell="1" allowOverlap="1">
                <wp:simplePos x="0" y="0"/>
                <wp:positionH relativeFrom="column">
                  <wp:posOffset>1458595</wp:posOffset>
                </wp:positionH>
                <wp:positionV relativeFrom="paragraph">
                  <wp:posOffset>285750</wp:posOffset>
                </wp:positionV>
                <wp:extent cx="2465705" cy="407670"/>
                <wp:effectExtent l="0" t="0" r="10795" b="11430"/>
                <wp:wrapNone/>
                <wp:docPr id="32" name="文本框 32"/>
                <wp:cNvGraphicFramePr/>
                <a:graphic xmlns:a="http://schemas.openxmlformats.org/drawingml/2006/main">
                  <a:graphicData uri="http://schemas.microsoft.com/office/word/2010/wordprocessingShape">
                    <wps:wsp>
                      <wps:cNvSpPr txBox="1"/>
                      <wps:spPr>
                        <a:xfrm>
                          <a:off x="2466975" y="7879080"/>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14.85pt;margin-top:22.5pt;height:32.1pt;width:194.15pt;z-index:251671552;mso-width-relative:page;mso-height-relative:page;" fillcolor="#FFFFFF [3201]" filled="t" stroked="f" coordsize="21600,21600" o:gfxdata="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CvNXwE&#10;1QAAAAoBAAAPAAAAAAAAAAEAIAAAACIAAABkcnMvZG93bnJldi54bWxQSwECFAAUAAAACACHTuJA&#10;yd8x7l0CAACdBAAADgAAAAAAAAABACAAAAAkAQAAZHJzL2Uyb0RvYy54bWxQSwUGAAAAAAYABgBZ&#10;AQAA8w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mc:Fallback>
        </mc:AlternateConten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2018年度本年支出合计</w:t>
      </w:r>
      <w:r>
        <w:rPr>
          <w:rFonts w:hint="eastAsia" w:ascii="仿宋_GB2312" w:eastAsia="仿宋_GB2312" w:cs="DengXian-Regular"/>
          <w:sz w:val="32"/>
          <w:szCs w:val="32"/>
          <w:lang w:val="en-US" w:eastAsia="zh-CN"/>
        </w:rPr>
        <w:t>1280.9</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959.19</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74.9</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321.7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25.1</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object>
          <v:shape id="_x0000_i1025" o:spt="75" type="#_x0000_t75" style="height:694.5pt;width:416.25pt;" o:ole="t" filled="f" o:preferrelative="t" stroked="f" coordsize="21600,21600">
            <v:path/>
            <v:fill on="f" focussize="0,0"/>
            <v:stroke on="f"/>
            <v:imagedata r:id="rId10" o:title=""/>
            <o:lock v:ext="edit" aspectratio="t"/>
            <w10:wrap type="none"/>
            <w10:anchorlock/>
          </v:shape>
          <o:OLEObject Type="Embed" ProgID="Word.Document.12" ShapeID="_x0000_i1025" DrawAspect="Content" ObjectID="_1468075725" r:id="rId9">
            <o:LockedField>false</o:LockedField>
          </o:OLEObject>
        </w:object>
      </w:r>
      <w:r>
        <w:rPr>
          <w:rFonts w:hint="eastAsia" w:ascii="仿宋_GB2312" w:eastAsia="仿宋_GB2312" w:cs="DengXian-Regular"/>
          <w:sz w:val="32"/>
          <w:szCs w:val="32"/>
          <w:lang w:eastAsia="zh-CN"/>
        </w:rPr>
        <w:drawing>
          <wp:anchor distT="0" distB="0" distL="114300" distR="114300" simplePos="0" relativeHeight="251699200" behindDoc="0" locked="0" layoutInCell="1" allowOverlap="1">
            <wp:simplePos x="0" y="0"/>
            <wp:positionH relativeFrom="column">
              <wp:posOffset>419100</wp:posOffset>
            </wp:positionH>
            <wp:positionV relativeFrom="paragraph">
              <wp:posOffset>19685</wp:posOffset>
            </wp:positionV>
            <wp:extent cx="3938905" cy="2841625"/>
            <wp:effectExtent l="4445" t="4445" r="19050" b="11430"/>
            <wp:wrapNone/>
            <wp:docPr id="67" name="图表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8588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588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3" w:firstLineChars="200"/>
        <w:rPr>
          <w:rFonts w:ascii="黑体" w:eastAsia="黑体"/>
          <w:b w:val="0"/>
          <w:bCs w:val="0"/>
        </w:rPr>
      </w:pPr>
      <w:r>
        <w:rPr>
          <w:sz w:val="32"/>
        </w:rPr>
        <mc:AlternateContent>
          <mc:Choice Requires="wps">
            <w:drawing>
              <wp:anchor distT="0" distB="0" distL="114300" distR="114300" simplePos="0" relativeHeight="251669504" behindDoc="1" locked="0" layoutInCell="1" allowOverlap="1">
                <wp:simplePos x="0" y="0"/>
                <wp:positionH relativeFrom="column">
                  <wp:posOffset>975995</wp:posOffset>
                </wp:positionH>
                <wp:positionV relativeFrom="paragraph">
                  <wp:posOffset>170815</wp:posOffset>
                </wp:positionV>
                <wp:extent cx="3159125" cy="535940"/>
                <wp:effectExtent l="0" t="0" r="3175" b="16510"/>
                <wp:wrapNone/>
                <wp:docPr id="30" name="文本框 30"/>
                <wp:cNvGraphicFramePr/>
                <a:graphic xmlns:a="http://schemas.openxmlformats.org/drawingml/2006/main">
                  <a:graphicData uri="http://schemas.microsoft.com/office/word/2010/wordprocessingShape">
                    <wps:wsp>
                      <wps:cNvSpPr txBox="1"/>
                      <wps:spPr>
                        <a:xfrm>
                          <a:off x="1959610" y="4546600"/>
                          <a:ext cx="3159125" cy="53594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6.85pt;margin-top:13.45pt;height:42.2pt;width:248.75pt;z-index:-251646976;mso-width-relative:page;mso-height-relative:page;" fillcolor="#FFFFFF [3201]" filled="t" stroked="f" coordsize="21600,21600" o:gfxdata="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U66S3&#10;1AAAAAoBAAAPAAAAAAAAAAEAIAAAACIAAABkcnMvZG93bnJldi54bWxQSwECFAAUAAAACACHTuJA&#10;bDdyn14CAACdBAAADgAAAAAAAAABACAAAAAjAQAAZHJzL2Uyb0RvYy54bWxQSwUGAAAAAAYABgBZ&#10;AQAA8w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w:pict>
          </mc:Fallback>
        </mc:AlternateContent>
      </w: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2018年度形成的财政拨款收支均为一般公共预算财政拨款，其中一般公共预算财政拨款本年收入</w:t>
      </w:r>
      <w:r>
        <w:rPr>
          <w:rFonts w:hint="eastAsia" w:ascii="仿宋_GB2312" w:eastAsia="仿宋_GB2312" w:cs="DengXian-Regular"/>
          <w:sz w:val="32"/>
          <w:szCs w:val="32"/>
          <w:lang w:val="en-US" w:eastAsia="zh-CN"/>
        </w:rPr>
        <w:t>1125.54</w:t>
      </w:r>
      <w:r>
        <w:rPr>
          <w:rFonts w:hint="eastAsia" w:ascii="仿宋_GB2312" w:eastAsia="仿宋_GB2312" w:cs="DengXian-Regular"/>
          <w:sz w:val="32"/>
          <w:szCs w:val="32"/>
        </w:rPr>
        <w:t>万元,比2017年度增加</w:t>
      </w:r>
      <w:r>
        <w:rPr>
          <w:rFonts w:hint="eastAsia" w:ascii="仿宋_GB2312" w:eastAsia="仿宋_GB2312" w:cs="DengXian-Regular"/>
          <w:sz w:val="32"/>
          <w:szCs w:val="32"/>
          <w:lang w:val="en-US" w:eastAsia="zh-CN"/>
        </w:rPr>
        <w:t>127.78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12.81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人员增加，</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人员增加，相应的</w:t>
      </w:r>
      <w:r>
        <w:rPr>
          <w:rFonts w:hint="eastAsia" w:ascii="仿宋_GB2312" w:hAnsi="仿宋_GB2312" w:eastAsia="仿宋_GB2312" w:cs="仿宋_GB2312"/>
          <w:sz w:val="32"/>
          <w:szCs w:val="32"/>
        </w:rPr>
        <w:t>人员经费的增加、通讯补贴、物业补贴</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1104.47</w:t>
      </w:r>
      <w:r>
        <w:rPr>
          <w:rFonts w:hint="eastAsia" w:ascii="仿宋_GB2312" w:eastAsia="仿宋_GB2312" w:cs="DengXian-Regular"/>
          <w:sz w:val="32"/>
          <w:szCs w:val="32"/>
        </w:rPr>
        <w:t>万元，增加</w:t>
      </w:r>
      <w:r>
        <w:rPr>
          <w:rFonts w:hint="eastAsia" w:ascii="仿宋_GB2312" w:eastAsia="仿宋_GB2312" w:cs="DengXian-Regular"/>
          <w:sz w:val="32"/>
          <w:szCs w:val="32"/>
          <w:lang w:val="en-US" w:eastAsia="zh-CN"/>
        </w:rPr>
        <w:t>106.71</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10.69</w:t>
      </w:r>
      <w:r>
        <w:rPr>
          <w:rFonts w:hint="eastAsia" w:ascii="仿宋_GB2312" w:eastAsia="仿宋_GB2312" w:cs="DengXian-Regular"/>
          <w:sz w:val="32"/>
          <w:szCs w:val="32"/>
        </w:rPr>
        <w:t>%，</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z w:val="32"/>
          <w:szCs w:val="32"/>
          <w:lang w:eastAsia="zh-CN"/>
        </w:rPr>
        <w:t>人员增加，相应的</w:t>
      </w:r>
      <w:r>
        <w:rPr>
          <w:rFonts w:hint="eastAsia" w:ascii="仿宋_GB2312" w:hAnsi="仿宋_GB2312" w:eastAsia="仿宋_GB2312" w:cs="仿宋_GB2312"/>
          <w:sz w:val="32"/>
          <w:szCs w:val="32"/>
        </w:rPr>
        <w:t>人员经费的增加、通讯补贴、物业补贴</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增加</w:t>
      </w:r>
      <w:r>
        <w:rPr>
          <w:rFonts w:hint="eastAsia" w:ascii="仿宋_GB2312" w:hAnsi="仿宋_GB2312" w:eastAsia="仿宋_GB2312" w:cs="仿宋_GB2312"/>
          <w:sz w:val="32"/>
          <w:szCs w:val="32"/>
          <w:lang w:eastAsia="zh-CN"/>
        </w:rPr>
        <w:t>。</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财政拨款收支与2017 年度决算对比情况</w:t>
      </w:r>
      <w:r>
        <w:rPr>
          <w:rFonts w:hint="eastAsia" w:ascii="仿宋_GB2312" w:eastAsia="仿宋_GB2312" w:cs="DengXian-Regular"/>
          <w:sz w:val="32"/>
          <w:szCs w:val="32"/>
          <w:lang w:eastAsia="zh-CN"/>
        </w:rPr>
        <w:drawing>
          <wp:anchor distT="0" distB="0" distL="114300" distR="114300" simplePos="0" relativeHeight="251700224" behindDoc="0" locked="0" layoutInCell="1" allowOverlap="1">
            <wp:simplePos x="0" y="0"/>
            <wp:positionH relativeFrom="column">
              <wp:posOffset>394335</wp:posOffset>
            </wp:positionH>
            <wp:positionV relativeFrom="paragraph">
              <wp:posOffset>-500380</wp:posOffset>
            </wp:positionV>
            <wp:extent cx="5080000" cy="3810000"/>
            <wp:effectExtent l="4445" t="4445" r="20955" b="14605"/>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2018年度一般公共预算财政拨款收入</w:t>
      </w:r>
      <w:r>
        <w:rPr>
          <w:rFonts w:hint="eastAsia" w:ascii="仿宋_GB2312" w:eastAsia="仿宋_GB2312" w:cs="DengXian-Regular"/>
          <w:sz w:val="32"/>
          <w:szCs w:val="32"/>
          <w:lang w:val="en-US" w:eastAsia="zh-CN"/>
        </w:rPr>
        <w:t>1125.54</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182.06</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507.32</w:t>
      </w:r>
      <w:r>
        <w:rPr>
          <w:rFonts w:hint="eastAsia" w:ascii="仿宋_GB2312" w:eastAsia="仿宋_GB2312" w:cs="DengXian-Regular"/>
          <w:sz w:val="32"/>
          <w:szCs w:val="32"/>
        </w:rPr>
        <w:t>万元，决算数大于预算数主要原因是决算数大于预算数主要原因是</w:t>
      </w:r>
      <w:r>
        <w:rPr>
          <w:rFonts w:hint="eastAsia" w:ascii="仿宋" w:hAnsi="仿宋" w:eastAsia="仿宋" w:cs="宋体"/>
          <w:sz w:val="32"/>
          <w:szCs w:val="32"/>
        </w:rPr>
        <w:t>拨入</w:t>
      </w:r>
      <w:r>
        <w:rPr>
          <w:rFonts w:hint="eastAsia" w:ascii="仿宋" w:hAnsi="仿宋" w:eastAsia="仿宋" w:cs="Times New Roman"/>
          <w:sz w:val="32"/>
          <w:szCs w:val="32"/>
        </w:rPr>
        <w:t>人员经费、通讯补贴、物业补贴增加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1104.47</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192.18</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529.75</w:t>
      </w:r>
      <w:r>
        <w:rPr>
          <w:rFonts w:hint="eastAsia" w:ascii="仿宋_GB2312" w:eastAsia="仿宋_GB2312" w:cs="DengXian-Regular"/>
          <w:sz w:val="32"/>
          <w:szCs w:val="32"/>
        </w:rPr>
        <w:t>万元，决算数大于预算数主要原因是</w:t>
      </w:r>
      <w:r>
        <w:rPr>
          <w:rFonts w:hint="eastAsia" w:ascii="仿宋_GB2312" w:hAnsi="仿宋_GB2312" w:eastAsia="仿宋_GB2312" w:cs="仿宋_GB2312"/>
          <w:sz w:val="32"/>
          <w:szCs w:val="32"/>
          <w:lang w:eastAsia="zh-CN"/>
        </w:rPr>
        <w:t>人员增加，相应的</w:t>
      </w:r>
      <w:r>
        <w:rPr>
          <w:rFonts w:hint="eastAsia" w:ascii="仿宋_GB2312" w:hAnsi="仿宋_GB2312" w:eastAsia="仿宋_GB2312" w:cs="仿宋_GB2312"/>
          <w:sz w:val="32"/>
          <w:szCs w:val="32"/>
        </w:rPr>
        <w:t>人员经费的增加、通讯补贴、物业补贴</w:t>
      </w:r>
      <w:r>
        <w:rPr>
          <w:rFonts w:hint="eastAsia" w:ascii="仿宋_GB2312" w:hAnsi="仿宋_GB2312" w:eastAsia="仿宋_GB2312" w:cs="仿宋_GB2312"/>
          <w:sz w:val="32"/>
          <w:szCs w:val="32"/>
          <w:lang w:eastAsia="zh-CN"/>
        </w:rPr>
        <w:t>等</w:t>
      </w:r>
      <w:r>
        <w:rPr>
          <w:rFonts w:hint="eastAsia" w:ascii="仿宋_GB2312" w:hAnsi="仿宋_GB2312" w:eastAsia="仿宋_GB2312" w:cs="仿宋_GB2312"/>
          <w:sz w:val="32"/>
          <w:szCs w:val="32"/>
        </w:rPr>
        <w:t>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lang w:eastAsia="zh-CN"/>
        </w:rPr>
        <w:drawing>
          <wp:anchor distT="0" distB="0" distL="114300" distR="114300" simplePos="0" relativeHeight="251701248" behindDoc="0" locked="0" layoutInCell="1" allowOverlap="1">
            <wp:simplePos x="0" y="0"/>
            <wp:positionH relativeFrom="column">
              <wp:posOffset>295910</wp:posOffset>
            </wp:positionH>
            <wp:positionV relativeFrom="paragraph">
              <wp:posOffset>-594360</wp:posOffset>
            </wp:positionV>
            <wp:extent cx="5080000" cy="3810000"/>
            <wp:effectExtent l="4445" t="4445" r="20955" b="14605"/>
            <wp:wrapNone/>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hint="eastAsia" w:ascii="仿宋_GB2312" w:eastAsia="仿宋_GB2312" w:cs="DengXian-Regular"/>
          <w:sz w:val="32"/>
          <w:szCs w:val="32"/>
          <w:highlight w:val="yellow"/>
          <w:lang w:eastAsia="zh-CN"/>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2"/>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1104.47</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一般公共服务支出</w:t>
      </w:r>
      <w:r>
        <w:rPr>
          <w:rFonts w:hint="eastAsia" w:ascii="仿宋_GB2312" w:eastAsia="仿宋_GB2312" w:cs="DengXian-Regular"/>
          <w:sz w:val="32"/>
          <w:szCs w:val="32"/>
          <w:lang w:val="en-US" w:eastAsia="zh-CN"/>
        </w:rPr>
        <w:t>848.06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76.78</w:t>
      </w:r>
      <w:r>
        <w:rPr>
          <w:rFonts w:hint="eastAsia" w:ascii="仿宋_GB2312" w:eastAsia="仿宋_GB2312" w:cs="DengXian-Regular"/>
          <w:sz w:val="32"/>
          <w:szCs w:val="32"/>
        </w:rPr>
        <w:t>%；</w:t>
      </w:r>
      <w:r>
        <w:rPr>
          <w:rFonts w:hint="eastAsia" w:ascii="仿宋_GB2312" w:eastAsia="仿宋_GB2312" w:cs="DengXian-Regular"/>
          <w:sz w:val="32"/>
          <w:szCs w:val="32"/>
          <w:lang w:eastAsia="zh-CN"/>
        </w:rPr>
        <w:t>文化和体育</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5.23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0.47</w:t>
      </w:r>
      <w:r>
        <w:rPr>
          <w:rFonts w:hint="eastAsia" w:ascii="仿宋_GB2312" w:eastAsia="仿宋_GB2312" w:cs="DengXian-Regular"/>
          <w:sz w:val="32"/>
          <w:szCs w:val="32"/>
        </w:rPr>
        <w:t xml:space="preserve">%；社会保障和就业支出 </w:t>
      </w:r>
      <w:r>
        <w:rPr>
          <w:rFonts w:hint="eastAsia" w:ascii="仿宋_GB2312" w:eastAsia="仿宋_GB2312" w:cs="DengXian-Regular"/>
          <w:sz w:val="32"/>
          <w:szCs w:val="32"/>
          <w:lang w:val="en-US" w:eastAsia="zh-CN"/>
        </w:rPr>
        <w:t>23.81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2.16</w:t>
      </w:r>
      <w:r>
        <w:rPr>
          <w:rFonts w:hint="eastAsia" w:ascii="仿宋_GB2312" w:eastAsia="仿宋_GB2312" w:cs="DengXian-Regular"/>
          <w:sz w:val="32"/>
          <w:szCs w:val="32"/>
        </w:rPr>
        <w:t>%；</w:t>
      </w:r>
      <w:r>
        <w:rPr>
          <w:rFonts w:hint="eastAsia" w:ascii="仿宋_GB2312" w:eastAsia="仿宋_GB2312" w:cs="DengXian-Regular"/>
          <w:sz w:val="32"/>
          <w:szCs w:val="32"/>
          <w:lang w:eastAsia="zh-CN"/>
        </w:rPr>
        <w:t>医疗卫生和计划生育</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40.12</w:t>
      </w:r>
      <w:r>
        <w:rPr>
          <w:rFonts w:hint="eastAsia" w:ascii="仿宋_GB2312" w:eastAsia="仿宋_GB2312" w:cs="DengXian-Regular"/>
          <w:sz w:val="32"/>
          <w:szCs w:val="32"/>
        </w:rPr>
        <w:t xml:space="preserve">万元，占 </w:t>
      </w:r>
      <w:r>
        <w:rPr>
          <w:rFonts w:hint="eastAsia" w:ascii="仿宋_GB2312" w:eastAsia="仿宋_GB2312" w:cs="DengXian-Regular"/>
          <w:sz w:val="32"/>
          <w:szCs w:val="32"/>
          <w:lang w:val="en-US" w:eastAsia="zh-CN"/>
        </w:rPr>
        <w:t>3.63</w:t>
      </w:r>
      <w:r>
        <w:rPr>
          <w:rFonts w:hint="eastAsia" w:ascii="仿宋_GB2312" w:eastAsia="仿宋_GB2312" w:cs="DengXian-Regular"/>
          <w:sz w:val="32"/>
          <w:szCs w:val="32"/>
        </w:rPr>
        <w:t>%;</w:t>
      </w:r>
      <w:r>
        <w:rPr>
          <w:rFonts w:hint="eastAsia" w:ascii="仿宋" w:hAnsi="仿宋" w:eastAsia="仿宋" w:cs="宋体"/>
          <w:sz w:val="32"/>
          <w:szCs w:val="32"/>
        </w:rPr>
        <w:t>；城乡社区支出</w:t>
      </w:r>
      <w:r>
        <w:rPr>
          <w:rFonts w:hint="eastAsia" w:ascii="仿宋" w:hAnsi="仿宋" w:eastAsia="仿宋" w:cs="宋体"/>
          <w:sz w:val="32"/>
          <w:szCs w:val="32"/>
          <w:lang w:val="en-US" w:eastAsia="zh-CN"/>
        </w:rPr>
        <w:t>96.99</w:t>
      </w:r>
      <w:r>
        <w:rPr>
          <w:rFonts w:hint="eastAsia" w:ascii="仿宋" w:hAnsi="仿宋" w:eastAsia="仿宋" w:cs="宋体"/>
          <w:sz w:val="32"/>
          <w:szCs w:val="32"/>
        </w:rPr>
        <w:t>万元，占</w:t>
      </w:r>
      <w:r>
        <w:rPr>
          <w:rFonts w:hint="eastAsia" w:ascii="仿宋" w:hAnsi="仿宋" w:eastAsia="仿宋" w:cs="宋体"/>
          <w:sz w:val="32"/>
          <w:szCs w:val="32"/>
          <w:lang w:val="en-US" w:eastAsia="zh-CN"/>
        </w:rPr>
        <w:t>8.78</w:t>
      </w:r>
      <w:r>
        <w:rPr>
          <w:rFonts w:hint="eastAsia" w:ascii="仿宋" w:hAnsi="仿宋" w:eastAsia="仿宋" w:cs="宋体"/>
          <w:sz w:val="32"/>
          <w:szCs w:val="32"/>
        </w:rPr>
        <w:t>%；农林水支出</w:t>
      </w:r>
      <w:r>
        <w:rPr>
          <w:rFonts w:hint="eastAsia" w:ascii="仿宋" w:hAnsi="仿宋" w:eastAsia="仿宋" w:cs="宋体"/>
          <w:sz w:val="32"/>
          <w:szCs w:val="32"/>
          <w:lang w:val="en-US" w:eastAsia="zh-CN"/>
        </w:rPr>
        <w:t>90.25</w:t>
      </w:r>
      <w:r>
        <w:rPr>
          <w:rFonts w:hint="eastAsia" w:ascii="仿宋" w:hAnsi="仿宋" w:eastAsia="仿宋" w:cs="宋体"/>
          <w:sz w:val="32"/>
          <w:szCs w:val="32"/>
        </w:rPr>
        <w:t>万元，占</w:t>
      </w:r>
      <w:r>
        <w:rPr>
          <w:rFonts w:hint="eastAsia" w:ascii="仿宋" w:hAnsi="仿宋" w:eastAsia="仿宋" w:cs="宋体"/>
          <w:sz w:val="32"/>
          <w:szCs w:val="32"/>
          <w:lang w:val="en-US" w:eastAsia="zh-CN"/>
        </w:rPr>
        <w:t>8.17</w:t>
      </w:r>
      <w:r>
        <w:rPr>
          <w:rFonts w:hint="eastAsia" w:ascii="仿宋" w:hAnsi="仿宋" w:eastAsia="仿宋" w:cs="宋体"/>
          <w:sz w:val="32"/>
          <w:szCs w:val="32"/>
        </w:rPr>
        <w:t>%</w:t>
      </w:r>
      <w:r>
        <w:rPr>
          <w:rFonts w:hint="eastAsia" w:ascii="仿宋_GB2312" w:eastAsia="仿宋_GB2312" w:cs="DengXian-Regular"/>
          <w:sz w:val="32"/>
          <w:szCs w:val="32"/>
        </w:rPr>
        <w:t>。</w:t>
      </w:r>
    </w:p>
    <w:p>
      <w:pPr>
        <w:adjustRightInd w:val="0"/>
        <w:snapToGrid w:val="0"/>
        <w:spacing w:after="0" w:line="580" w:lineRule="exact"/>
        <w:rPr>
          <w:rFonts w:hint="eastAsia" w:ascii="楷体_GB2312" w:eastAsia="楷体_GB2312" w:cs="DengXian-Bold"/>
          <w:b/>
          <w:bCs/>
          <w:sz w:val="32"/>
          <w:szCs w:val="32"/>
          <w:lang w:eastAsia="zh-CN"/>
        </w:rPr>
      </w:pPr>
      <w:r>
        <w:rPr>
          <w:rFonts w:hint="eastAsia" w:ascii="楷体_GB2312" w:eastAsia="楷体_GB2312" w:cs="DengXian-Bold"/>
          <w:b/>
          <w:bCs/>
          <w:sz w:val="32"/>
          <w:szCs w:val="32"/>
          <w:lang w:eastAsia="zh-CN"/>
        </w:rPr>
        <w:drawing>
          <wp:anchor distT="0" distB="0" distL="114300" distR="114300" simplePos="0" relativeHeight="251702272" behindDoc="0" locked="0" layoutInCell="1" allowOverlap="1">
            <wp:simplePos x="0" y="0"/>
            <wp:positionH relativeFrom="column">
              <wp:posOffset>546100</wp:posOffset>
            </wp:positionH>
            <wp:positionV relativeFrom="paragraph">
              <wp:posOffset>107950</wp:posOffset>
            </wp:positionV>
            <wp:extent cx="4628515" cy="2898775"/>
            <wp:effectExtent l="4445" t="4445" r="15240" b="11430"/>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lang w:eastAsia="zh-CN"/>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9408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J85x0s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K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En7KztsAAAALAQAADwAAAAAAAAABACAAAAAiAAAAZHJzL2Rvd25yZXYueG1s&#10;UEsBAhQAFAAAAAgAh07iQGCfOcdLAwAAPAkAAA4AAAAAAAAAAQAgAAAAKgEAAGRycy9lMm9Eb2Mu&#10;eG1sUEsFBgAAAAAGAAYAWQEAAOc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959.19</w:t>
      </w:r>
      <w:r>
        <w:rPr>
          <w:rFonts w:hint="eastAsia" w:ascii="仿宋_GB2312" w:eastAsia="仿宋_GB2312" w:cs="DengXian-Regular"/>
          <w:sz w:val="32"/>
          <w:szCs w:val="32"/>
        </w:rPr>
        <w:t>万元，其中：人员经费</w:t>
      </w:r>
      <w:r>
        <w:rPr>
          <w:rFonts w:hint="eastAsia" w:ascii="仿宋_GB2312" w:eastAsia="仿宋_GB2312" w:cs="DengXian-Regular"/>
          <w:sz w:val="32"/>
          <w:szCs w:val="32"/>
          <w:lang w:val="en-US" w:eastAsia="zh-CN"/>
        </w:rPr>
        <w:t>619.25</w:t>
      </w:r>
      <w:r>
        <w:rPr>
          <w:rFonts w:hint="eastAsia" w:ascii="仿宋_GB2312" w:eastAsia="仿宋_GB2312" w:cs="DengXian-Regular"/>
          <w:sz w:val="32"/>
          <w:szCs w:val="32"/>
        </w:rPr>
        <w:t>万元，主要包括基本工资</w:t>
      </w:r>
      <w:r>
        <w:rPr>
          <w:rFonts w:hint="eastAsia" w:ascii="仿宋_GB2312" w:eastAsia="仿宋_GB2312" w:cs="DengXian-Regular"/>
          <w:sz w:val="32"/>
          <w:szCs w:val="32"/>
          <w:lang w:val="en-US" w:eastAsia="zh-CN"/>
        </w:rPr>
        <w:t>136.89万元</w:t>
      </w:r>
      <w:r>
        <w:rPr>
          <w:rFonts w:hint="eastAsia" w:ascii="仿宋_GB2312" w:eastAsia="仿宋_GB2312" w:cs="DengXian-Regular"/>
          <w:sz w:val="32"/>
          <w:szCs w:val="32"/>
        </w:rPr>
        <w:t>、津贴补贴</w:t>
      </w:r>
      <w:r>
        <w:rPr>
          <w:rFonts w:hint="eastAsia" w:ascii="仿宋_GB2312" w:eastAsia="仿宋_GB2312" w:cs="DengXian-Regular"/>
          <w:sz w:val="32"/>
          <w:szCs w:val="32"/>
          <w:lang w:val="en-US" w:eastAsia="zh-CN"/>
        </w:rPr>
        <w:t>199.67万元</w:t>
      </w:r>
      <w:r>
        <w:rPr>
          <w:rFonts w:hint="eastAsia" w:ascii="仿宋_GB2312" w:eastAsia="仿宋_GB2312" w:cs="DengXian-Regular"/>
          <w:sz w:val="32"/>
          <w:szCs w:val="32"/>
        </w:rPr>
        <w:t>、奖金</w:t>
      </w:r>
      <w:r>
        <w:rPr>
          <w:rFonts w:hint="eastAsia" w:ascii="仿宋_GB2312" w:eastAsia="仿宋_GB2312" w:cs="DengXian-Regular"/>
          <w:sz w:val="32"/>
          <w:szCs w:val="32"/>
          <w:lang w:val="en-US" w:eastAsia="zh-CN"/>
        </w:rPr>
        <w:t>147.05万元</w:t>
      </w:r>
      <w:r>
        <w:rPr>
          <w:rFonts w:hint="eastAsia" w:ascii="仿宋_GB2312" w:eastAsia="仿宋_GB2312" w:cs="DengXian-Regular"/>
          <w:sz w:val="32"/>
          <w:szCs w:val="32"/>
        </w:rPr>
        <w:t>、、机关事业单位基本养老保险缴费</w:t>
      </w:r>
      <w:r>
        <w:rPr>
          <w:rFonts w:hint="eastAsia" w:ascii="仿宋_GB2312" w:eastAsia="仿宋_GB2312" w:cs="DengXian-Regular"/>
          <w:sz w:val="32"/>
          <w:szCs w:val="32"/>
          <w:lang w:val="en-US" w:eastAsia="zh-CN"/>
        </w:rPr>
        <w:t>38.75万元</w:t>
      </w:r>
      <w:r>
        <w:rPr>
          <w:rFonts w:hint="eastAsia" w:ascii="仿宋_GB2312" w:eastAsia="仿宋_GB2312" w:cs="DengXian-Regular"/>
          <w:sz w:val="32"/>
          <w:szCs w:val="32"/>
        </w:rPr>
        <w:t>、职工基本医疗保险缴费</w:t>
      </w:r>
      <w:r>
        <w:rPr>
          <w:rFonts w:hint="eastAsia" w:ascii="仿宋_GB2312" w:eastAsia="仿宋_GB2312" w:cs="DengXian-Regular"/>
          <w:sz w:val="32"/>
          <w:szCs w:val="32"/>
          <w:lang w:val="en-US" w:eastAsia="zh-CN"/>
        </w:rPr>
        <w:t>36.74万元</w:t>
      </w:r>
      <w:r>
        <w:rPr>
          <w:rFonts w:hint="eastAsia" w:ascii="仿宋_GB2312" w:eastAsia="仿宋_GB2312" w:cs="DengXian-Regular"/>
          <w:sz w:val="32"/>
          <w:szCs w:val="32"/>
        </w:rPr>
        <w:t>、住房公积金</w:t>
      </w:r>
      <w:r>
        <w:rPr>
          <w:rFonts w:hint="eastAsia" w:ascii="仿宋_GB2312" w:eastAsia="仿宋_GB2312" w:cs="DengXian-Regular"/>
          <w:sz w:val="32"/>
          <w:szCs w:val="32"/>
          <w:lang w:val="en-US" w:eastAsia="zh-CN"/>
        </w:rPr>
        <w:t>37.64万元</w:t>
      </w:r>
      <w:r>
        <w:rPr>
          <w:rFonts w:hint="eastAsia" w:ascii="仿宋_GB2312" w:eastAsia="仿宋_GB2312" w:cs="DengXian-Regular"/>
          <w:sz w:val="32"/>
          <w:szCs w:val="32"/>
        </w:rPr>
        <w:t>、其他社会保障缴费</w:t>
      </w:r>
      <w:r>
        <w:rPr>
          <w:rFonts w:hint="eastAsia" w:ascii="仿宋_GB2312" w:eastAsia="仿宋_GB2312" w:cs="DengXian-Regular"/>
          <w:sz w:val="32"/>
          <w:szCs w:val="32"/>
          <w:lang w:val="en-US" w:eastAsia="zh-CN"/>
        </w:rPr>
        <w:t>5.43万元</w:t>
      </w:r>
      <w:r>
        <w:rPr>
          <w:rFonts w:hint="eastAsia" w:ascii="仿宋_GB2312" w:eastAsia="仿宋_GB2312" w:cs="DengXian-Regular"/>
          <w:sz w:val="32"/>
          <w:szCs w:val="32"/>
        </w:rPr>
        <w:t>、生活补助</w:t>
      </w:r>
      <w:r>
        <w:rPr>
          <w:rFonts w:hint="eastAsia" w:ascii="仿宋_GB2312" w:eastAsia="仿宋_GB2312" w:cs="DengXian-Regular"/>
          <w:sz w:val="32"/>
          <w:szCs w:val="32"/>
          <w:lang w:val="en-US" w:eastAsia="zh-CN"/>
        </w:rPr>
        <w:t>12.36万元</w:t>
      </w:r>
      <w:r>
        <w:rPr>
          <w:rFonts w:hint="eastAsia" w:ascii="仿宋_GB2312" w:eastAsia="仿宋_GB2312" w:cs="DengXian-Regular"/>
          <w:sz w:val="32"/>
          <w:szCs w:val="32"/>
        </w:rPr>
        <w:t>、其他对个人和家庭的补助支出</w:t>
      </w:r>
      <w:r>
        <w:rPr>
          <w:rFonts w:hint="eastAsia" w:ascii="仿宋_GB2312" w:eastAsia="仿宋_GB2312" w:cs="DengXian-Regular"/>
          <w:sz w:val="32"/>
          <w:szCs w:val="32"/>
          <w:lang w:val="en-US" w:eastAsia="zh-CN"/>
        </w:rPr>
        <w:t>4.73万元</w:t>
      </w:r>
      <w:r>
        <w:rPr>
          <w:rFonts w:hint="eastAsia" w:ascii="仿宋_GB2312" w:eastAsia="仿宋_GB2312" w:cs="DengXian-Regular"/>
          <w:sz w:val="32"/>
          <w:szCs w:val="32"/>
        </w:rPr>
        <w:t xml:space="preserve">；公用经费 </w:t>
      </w:r>
      <w:r>
        <w:rPr>
          <w:rFonts w:hint="eastAsia" w:ascii="仿宋_GB2312" w:eastAsia="仿宋_GB2312" w:cs="DengXian-Regular"/>
          <w:sz w:val="32"/>
          <w:szCs w:val="32"/>
          <w:lang w:val="en-US" w:eastAsia="zh-CN"/>
        </w:rPr>
        <w:t>339.94</w:t>
      </w:r>
      <w:r>
        <w:rPr>
          <w:rFonts w:hint="eastAsia" w:ascii="仿宋_GB2312" w:eastAsia="仿宋_GB2312" w:cs="DengXian-Regular"/>
          <w:sz w:val="32"/>
          <w:szCs w:val="32"/>
        </w:rPr>
        <w:t>万元，主要包括办公费</w:t>
      </w:r>
      <w:r>
        <w:rPr>
          <w:rFonts w:hint="eastAsia" w:ascii="仿宋_GB2312" w:eastAsia="仿宋_GB2312" w:cs="DengXian-Regular"/>
          <w:sz w:val="32"/>
          <w:szCs w:val="32"/>
          <w:lang w:val="en-US" w:eastAsia="zh-CN"/>
        </w:rPr>
        <w:t>31.73万元</w:t>
      </w:r>
      <w:r>
        <w:rPr>
          <w:rFonts w:hint="eastAsia" w:ascii="仿宋_GB2312" w:eastAsia="仿宋_GB2312" w:cs="DengXian-Regular"/>
          <w:sz w:val="32"/>
          <w:szCs w:val="32"/>
        </w:rPr>
        <w:t>、电费</w:t>
      </w:r>
      <w:r>
        <w:rPr>
          <w:rFonts w:hint="eastAsia" w:ascii="仿宋_GB2312" w:eastAsia="仿宋_GB2312" w:cs="DengXian-Regular"/>
          <w:sz w:val="32"/>
          <w:szCs w:val="32"/>
          <w:lang w:val="en-US" w:eastAsia="zh-CN"/>
        </w:rPr>
        <w:t>9.4万元</w:t>
      </w:r>
      <w:r>
        <w:rPr>
          <w:rFonts w:hint="eastAsia" w:ascii="仿宋_GB2312" w:eastAsia="仿宋_GB2312" w:cs="DengXian-Regular"/>
          <w:sz w:val="32"/>
          <w:szCs w:val="32"/>
        </w:rPr>
        <w:t>、邮电费</w:t>
      </w:r>
      <w:r>
        <w:rPr>
          <w:rFonts w:hint="eastAsia" w:ascii="仿宋_GB2312" w:eastAsia="仿宋_GB2312" w:cs="DengXian-Regular"/>
          <w:sz w:val="32"/>
          <w:szCs w:val="32"/>
          <w:lang w:val="en-US" w:eastAsia="zh-CN"/>
        </w:rPr>
        <w:t>45.14万元</w:t>
      </w:r>
      <w:r>
        <w:rPr>
          <w:rFonts w:hint="eastAsia" w:ascii="仿宋_GB2312" w:eastAsia="仿宋_GB2312" w:cs="DengXian-Regular"/>
          <w:sz w:val="32"/>
          <w:szCs w:val="32"/>
        </w:rPr>
        <w:t>、取暖费</w:t>
      </w:r>
      <w:r>
        <w:rPr>
          <w:rFonts w:hint="eastAsia" w:ascii="仿宋_GB2312" w:eastAsia="仿宋_GB2312" w:cs="DengXian-Regular"/>
          <w:sz w:val="32"/>
          <w:szCs w:val="32"/>
          <w:lang w:val="en-US" w:eastAsia="zh-CN"/>
        </w:rPr>
        <w:t>3.85万元</w:t>
      </w:r>
      <w:r>
        <w:rPr>
          <w:rFonts w:hint="eastAsia" w:ascii="仿宋_GB2312" w:eastAsia="仿宋_GB2312" w:cs="DengXian-Regular"/>
          <w:sz w:val="32"/>
          <w:szCs w:val="32"/>
        </w:rPr>
        <w:t>、差旅费</w:t>
      </w:r>
      <w:r>
        <w:rPr>
          <w:rFonts w:hint="eastAsia" w:ascii="仿宋_GB2312" w:eastAsia="仿宋_GB2312" w:cs="DengXian-Regular"/>
          <w:sz w:val="32"/>
          <w:szCs w:val="32"/>
          <w:lang w:val="en-US" w:eastAsia="zh-CN"/>
        </w:rPr>
        <w:t>43.53万元</w:t>
      </w:r>
      <w:r>
        <w:rPr>
          <w:rFonts w:hint="eastAsia" w:ascii="仿宋_GB2312" w:eastAsia="仿宋_GB2312" w:cs="DengXian-Regular"/>
          <w:sz w:val="32"/>
          <w:szCs w:val="32"/>
        </w:rPr>
        <w:t>、维修（护）费</w:t>
      </w:r>
      <w:r>
        <w:rPr>
          <w:rFonts w:hint="eastAsia" w:ascii="仿宋_GB2312" w:eastAsia="仿宋_GB2312" w:cs="DengXian-Regular"/>
          <w:sz w:val="32"/>
          <w:szCs w:val="32"/>
          <w:lang w:val="en-US" w:eastAsia="zh-CN"/>
        </w:rPr>
        <w:t>1.89万元</w:t>
      </w:r>
      <w:r>
        <w:rPr>
          <w:rFonts w:hint="eastAsia" w:ascii="仿宋_GB2312" w:eastAsia="仿宋_GB2312" w:cs="DengXian-Regular"/>
          <w:sz w:val="32"/>
          <w:szCs w:val="32"/>
        </w:rPr>
        <w:t>、培训费</w:t>
      </w:r>
      <w:r>
        <w:rPr>
          <w:rFonts w:hint="eastAsia" w:ascii="仿宋_GB2312" w:eastAsia="仿宋_GB2312" w:cs="DengXian-Regular"/>
          <w:sz w:val="32"/>
          <w:szCs w:val="32"/>
          <w:lang w:val="en-US" w:eastAsia="zh-CN"/>
        </w:rPr>
        <w:t>0.05万元</w:t>
      </w:r>
      <w:r>
        <w:rPr>
          <w:rFonts w:hint="eastAsia" w:ascii="仿宋_GB2312" w:eastAsia="仿宋_GB2312" w:cs="DengXian-Regular"/>
          <w:sz w:val="32"/>
          <w:szCs w:val="32"/>
        </w:rPr>
        <w:t>、劳务费</w:t>
      </w:r>
      <w:r>
        <w:rPr>
          <w:rFonts w:hint="eastAsia" w:ascii="仿宋_GB2312" w:eastAsia="仿宋_GB2312" w:cs="DengXian-Regular"/>
          <w:sz w:val="32"/>
          <w:szCs w:val="32"/>
          <w:lang w:val="en-US" w:eastAsia="zh-CN"/>
        </w:rPr>
        <w:t>161.38万元</w:t>
      </w:r>
      <w:r>
        <w:rPr>
          <w:rFonts w:hint="eastAsia" w:ascii="仿宋_GB2312" w:eastAsia="仿宋_GB2312" w:cs="DengXian-Regular"/>
          <w:sz w:val="32"/>
          <w:szCs w:val="32"/>
        </w:rPr>
        <w:t>、工会经费</w:t>
      </w:r>
      <w:r>
        <w:rPr>
          <w:rFonts w:hint="eastAsia" w:ascii="仿宋_GB2312" w:eastAsia="仿宋_GB2312" w:cs="DengXian-Regular"/>
          <w:sz w:val="32"/>
          <w:szCs w:val="32"/>
          <w:lang w:val="en-US" w:eastAsia="zh-CN"/>
        </w:rPr>
        <w:t>2.71万元</w:t>
      </w:r>
      <w:r>
        <w:rPr>
          <w:rFonts w:hint="eastAsia" w:ascii="仿宋_GB2312" w:eastAsia="仿宋_GB2312" w:cs="DengXian-Regular"/>
          <w:sz w:val="32"/>
          <w:szCs w:val="32"/>
        </w:rPr>
        <w:t>、福利费</w:t>
      </w:r>
      <w:r>
        <w:rPr>
          <w:rFonts w:hint="eastAsia" w:ascii="仿宋_GB2312" w:eastAsia="仿宋_GB2312" w:cs="DengXian-Regular"/>
          <w:sz w:val="32"/>
          <w:szCs w:val="32"/>
          <w:lang w:val="en-US" w:eastAsia="zh-CN"/>
        </w:rPr>
        <w:t>3.17万元</w:t>
      </w:r>
      <w:r>
        <w:rPr>
          <w:rFonts w:hint="eastAsia" w:ascii="仿宋_GB2312" w:eastAsia="仿宋_GB2312" w:cs="DengXian-Regular"/>
          <w:sz w:val="32"/>
          <w:szCs w:val="32"/>
        </w:rPr>
        <w:t>、公务用车运行维护费</w:t>
      </w:r>
      <w:r>
        <w:rPr>
          <w:rFonts w:hint="eastAsia" w:ascii="仿宋_GB2312" w:eastAsia="仿宋_GB2312" w:cs="DengXian-Regular"/>
          <w:sz w:val="32"/>
          <w:szCs w:val="32"/>
          <w:lang w:val="en-US" w:eastAsia="zh-CN"/>
        </w:rPr>
        <w:t>4.47万元</w:t>
      </w:r>
      <w:r>
        <w:rPr>
          <w:rFonts w:hint="eastAsia" w:ascii="仿宋_GB2312" w:eastAsia="仿宋_GB2312" w:cs="DengXian-Regular"/>
          <w:sz w:val="32"/>
          <w:szCs w:val="32"/>
        </w:rPr>
        <w:t>、其他交通费用</w:t>
      </w:r>
      <w:r>
        <w:rPr>
          <w:rFonts w:hint="eastAsia" w:ascii="仿宋_GB2312" w:eastAsia="仿宋_GB2312" w:cs="DengXian-Regular"/>
          <w:sz w:val="32"/>
          <w:szCs w:val="32"/>
          <w:lang w:val="en-US" w:eastAsia="zh-CN"/>
        </w:rPr>
        <w:t>11.77万元</w:t>
      </w:r>
      <w:r>
        <w:rPr>
          <w:rFonts w:hint="eastAsia" w:ascii="仿宋_GB2312" w:eastAsia="仿宋_GB2312" w:cs="DengXian-Regular"/>
          <w:sz w:val="32"/>
          <w:szCs w:val="32"/>
        </w:rPr>
        <w:t>、其他商品和服务支出</w:t>
      </w:r>
      <w:r>
        <w:rPr>
          <w:rFonts w:hint="eastAsia" w:ascii="仿宋_GB2312" w:eastAsia="仿宋_GB2312" w:cs="DengXian-Regular"/>
          <w:sz w:val="32"/>
          <w:szCs w:val="32"/>
          <w:lang w:val="en-US" w:eastAsia="zh-CN"/>
        </w:rPr>
        <w:t>16.24万元</w:t>
      </w:r>
      <w:r>
        <w:rPr>
          <w:rFonts w:hint="eastAsia" w:ascii="仿宋_GB2312" w:eastAsia="仿宋_GB2312" w:cs="DengXian-Regular"/>
          <w:sz w:val="32"/>
          <w:szCs w:val="32"/>
        </w:rPr>
        <w:t>、办公设备购置</w:t>
      </w:r>
      <w:r>
        <w:rPr>
          <w:rFonts w:hint="eastAsia" w:ascii="仿宋_GB2312" w:eastAsia="仿宋_GB2312" w:cs="DengXian-Regular"/>
          <w:sz w:val="32"/>
          <w:szCs w:val="32"/>
          <w:lang w:val="en-US" w:eastAsia="zh-CN"/>
        </w:rPr>
        <w:t>3.46万元</w:t>
      </w:r>
      <w:r>
        <w:rPr>
          <w:rFonts w:hint="eastAsia" w:ascii="仿宋_GB2312" w:eastAsia="仿宋_GB2312" w:cs="DengXian-Regular"/>
          <w:sz w:val="32"/>
          <w:szCs w:val="32"/>
        </w:rPr>
        <w:t>、其他资本性支出</w:t>
      </w:r>
      <w:r>
        <w:rPr>
          <w:rFonts w:hint="eastAsia" w:ascii="仿宋_GB2312" w:eastAsia="仿宋_GB2312" w:cs="DengXian-Regular"/>
          <w:sz w:val="32"/>
          <w:szCs w:val="32"/>
          <w:lang w:val="en-US" w:eastAsia="zh-CN"/>
        </w:rPr>
        <w:t>1.15万元</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 “三公”经费支出共计</w:t>
      </w:r>
      <w:r>
        <w:rPr>
          <w:rFonts w:hint="eastAsia" w:ascii="仿宋_GB2312" w:eastAsia="仿宋_GB2312" w:cs="DengXian-Regular"/>
          <w:sz w:val="32"/>
          <w:szCs w:val="32"/>
          <w:lang w:val="en-US" w:eastAsia="zh-CN"/>
        </w:rPr>
        <w:t>4.47</w:t>
      </w:r>
      <w:r>
        <w:rPr>
          <w:rFonts w:hint="eastAsia" w:ascii="仿宋_GB2312" w:eastAsia="仿宋_GB2312" w:cs="DengXian-Regular"/>
          <w:sz w:val="32"/>
          <w:szCs w:val="32"/>
        </w:rPr>
        <w:t>万元，</w:t>
      </w:r>
      <w:r>
        <w:rPr>
          <w:rFonts w:hint="eastAsia" w:ascii="仿宋_GB2312" w:eastAsia="仿宋_GB2312" w:cs="DengXian-Regular"/>
          <w:b w:val="0"/>
          <w:bCs w:val="0"/>
          <w:sz w:val="32"/>
          <w:szCs w:val="32"/>
        </w:rPr>
        <w:t>较年初预算减少</w:t>
      </w:r>
      <w:r>
        <w:rPr>
          <w:rFonts w:hint="eastAsia" w:ascii="仿宋_GB2312" w:eastAsia="仿宋_GB2312" w:cs="DengXian-Regular"/>
          <w:b w:val="0"/>
          <w:bCs w:val="0"/>
          <w:sz w:val="32"/>
          <w:szCs w:val="32"/>
          <w:lang w:val="en-US" w:eastAsia="zh-CN"/>
        </w:rPr>
        <w:t>3.63</w:t>
      </w:r>
      <w:r>
        <w:rPr>
          <w:rFonts w:hint="eastAsia" w:ascii="仿宋_GB2312" w:eastAsia="仿宋_GB2312" w:cs="DengXian-Regular"/>
          <w:b w:val="0"/>
          <w:bCs w:val="0"/>
          <w:sz w:val="32"/>
          <w:szCs w:val="32"/>
        </w:rPr>
        <w:t>万元，降低</w:t>
      </w:r>
      <w:r>
        <w:rPr>
          <w:rFonts w:hint="eastAsia" w:ascii="仿宋_GB2312" w:eastAsia="仿宋_GB2312" w:cs="DengXian-Regular"/>
          <w:b w:val="0"/>
          <w:bCs w:val="0"/>
          <w:sz w:val="32"/>
          <w:szCs w:val="32"/>
          <w:lang w:val="en-US" w:eastAsia="zh-CN"/>
        </w:rPr>
        <w:t>44.81</w:t>
      </w:r>
      <w:r>
        <w:rPr>
          <w:rFonts w:hint="eastAsia" w:ascii="仿宋_GB2312" w:eastAsia="仿宋_GB2312" w:cs="DengXian-Regular"/>
          <w:b w:val="0"/>
          <w:bCs w:val="0"/>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w:t>
      </w:r>
      <w:r>
        <w:rPr>
          <w:rFonts w:hint="eastAsia" w:ascii="仿宋_GB2312" w:eastAsia="仿宋_GB2312" w:cs="DengXian-Regular"/>
          <w:sz w:val="32"/>
          <w:szCs w:val="32"/>
          <w:lang w:eastAsia="zh-CN"/>
        </w:rPr>
        <w:t>，我单位未发生此类业务</w:t>
      </w:r>
      <w:r>
        <w:rPr>
          <w:rFonts w:hint="eastAsia" w:ascii="仿宋_GB2312" w:eastAsia="仿宋_GB2312" w:cs="DengXian-Regular"/>
          <w:sz w:val="32"/>
          <w:szCs w:val="32"/>
        </w:rPr>
        <w:t>。因公出国（境）费支出较年初预算增加</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w:t>
      </w:r>
      <w:r>
        <w:rPr>
          <w:rFonts w:hint="eastAsia" w:ascii="仿宋_GB2312" w:eastAsia="仿宋_GB2312" w:cs="DengXian-Regular"/>
          <w:sz w:val="32"/>
          <w:szCs w:val="32"/>
        </w:rPr>
        <w:t>因公出国（境）费支出。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4.47</w:t>
      </w:r>
      <w:r>
        <w:rPr>
          <w:rFonts w:hint="eastAsia" w:ascii="楷体_GB2312" w:eastAsia="楷体_GB2312" w:cs="DengXian-Bold"/>
          <w:b/>
          <w:bCs/>
          <w:sz w:val="32"/>
          <w:szCs w:val="32"/>
        </w:rPr>
        <w:t>万元。</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2018年度公务用车购置及运行维护费较年初预算减少</w:t>
      </w:r>
      <w:r>
        <w:rPr>
          <w:rFonts w:hint="eastAsia" w:ascii="仿宋_GB2312" w:eastAsia="仿宋_GB2312" w:cs="DengXian-Regular"/>
          <w:sz w:val="32"/>
          <w:szCs w:val="32"/>
          <w:lang w:val="en-US" w:eastAsia="zh-CN"/>
        </w:rPr>
        <w:t>3.63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44.81</w:t>
      </w:r>
      <w:r>
        <w:rPr>
          <w:rFonts w:hint="eastAsia" w:ascii="仿宋_GB2312" w:eastAsia="仿宋_GB2312" w:cs="DengXian-Regular"/>
          <w:sz w:val="32"/>
          <w:szCs w:val="32"/>
        </w:rPr>
        <w:t>%,主要是认真</w:t>
      </w:r>
      <w:bookmarkStart w:id="0" w:name="_GoBack"/>
      <w:bookmarkEnd w:id="0"/>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，我单位未发生此类业务</w:t>
      </w:r>
      <w:r>
        <w:rPr>
          <w:rFonts w:hint="eastAsia" w:ascii="仿宋_GB2312" w:eastAsia="仿宋_GB2312" w:cs="DengXian-Regular"/>
          <w:sz w:val="32"/>
          <w:szCs w:val="32"/>
        </w:rPr>
        <w:t>。公务用车购置费支出较年初预算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我单位没有安排公务车购置支出</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3.63</w:t>
      </w:r>
      <w:r>
        <w:rPr>
          <w:rFonts w:hint="eastAsia" w:ascii="仿宋_GB2312" w:eastAsia="仿宋_GB2312" w:cs="DengXian-Regular"/>
          <w:sz w:val="32"/>
          <w:szCs w:val="32"/>
        </w:rPr>
        <w:t>万元，</w:t>
      </w:r>
      <w:r>
        <w:rPr>
          <w:rFonts w:hint="eastAsia" w:ascii="仿宋_GB2312" w:eastAsia="仿宋_GB2312" w:cs="DengXian-Regular"/>
          <w:b w:val="0"/>
          <w:bCs w:val="0"/>
          <w:sz w:val="32"/>
          <w:szCs w:val="32"/>
        </w:rPr>
        <w:t>降低</w:t>
      </w:r>
      <w:r>
        <w:rPr>
          <w:rFonts w:hint="eastAsia" w:ascii="仿宋_GB2312" w:eastAsia="仿宋_GB2312" w:cs="DengXian-Regular"/>
          <w:b w:val="0"/>
          <w:bCs w:val="0"/>
          <w:sz w:val="32"/>
          <w:szCs w:val="32"/>
          <w:lang w:val="en-US" w:eastAsia="zh-CN"/>
        </w:rPr>
        <w:t>44.81</w:t>
      </w:r>
      <w:r>
        <w:rPr>
          <w:rFonts w:hint="eastAsia" w:ascii="仿宋_GB2312" w:eastAsia="仿宋_GB2312" w:cs="DengXian-Regular"/>
          <w:b w:val="0"/>
          <w:bCs w:val="0"/>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sz w:val="44"/>
          <w:lang w:eastAsia="zh-CN"/>
        </w:rPr>
        <w:t>黄壁庄镇</w:t>
      </w:r>
      <w:r>
        <w:rPr>
          <w:rFonts w:hint="eastAsia" w:ascii="仿宋_GB2312" w:eastAsia="仿宋_GB2312" w:cs="DengXian-Regular"/>
          <w:sz w:val="32"/>
          <w:szCs w:val="32"/>
        </w:rPr>
        <w:t>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w:t>
      </w:r>
      <w:r>
        <w:rPr>
          <w:rFonts w:hint="eastAsia" w:ascii="仿宋_GB2312" w:eastAsia="仿宋_GB2312" w:cs="DengXian-Regular"/>
          <w:sz w:val="32"/>
          <w:szCs w:val="32"/>
          <w:lang w:eastAsia="zh-CN"/>
        </w:rPr>
        <w:t>，我单位为发生此类业务</w:t>
      </w:r>
      <w:r>
        <w:rPr>
          <w:rFonts w:hint="eastAsia" w:ascii="仿宋_GB2312" w:eastAsia="仿宋_GB2312" w:cs="DengXian-Regular"/>
          <w:sz w:val="32"/>
          <w:szCs w:val="32"/>
        </w:rPr>
        <w:t>。公务接待费支出较年初预算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我单位没有安排公务接待费支出</w:t>
      </w:r>
      <w:r>
        <w:rPr>
          <w:rFonts w:hint="eastAsia" w:ascii="仿宋_GB2312" w:eastAsia="仿宋_GB2312" w:cs="DengXian-Regular"/>
          <w:sz w:val="32"/>
          <w:szCs w:val="32"/>
        </w:rPr>
        <w:t>。</w:t>
      </w:r>
    </w:p>
    <w:p>
      <w:pPr>
        <w:pStyle w:val="3"/>
        <w:spacing w:before="0" w:after="0" w:line="500" w:lineRule="exact"/>
        <w:ind w:firstLine="640" w:firstLineChars="200"/>
        <w:rPr>
          <w:rFonts w:ascii="黑体" w:eastAsia="黑体" w:cs="Times New Roman"/>
          <w:color w:val="FFFFFF" w:themeColor="background1"/>
          <w:shd w:val="pct10" w:color="auto" w:fill="FFFFFF"/>
          <w14:textFill>
            <w14:solidFill>
              <w14:schemeClr w14:val="bg1"/>
            </w14:solidFill>
          </w14:textFill>
        </w:rPr>
      </w:pPr>
      <w:r>
        <w:rPr>
          <w:rFonts w:hint="eastAsia" w:ascii="黑体" w:eastAsia="黑体"/>
          <w:b w:val="0"/>
          <w:bCs w:val="0"/>
          <w:szCs w:val="40"/>
        </w:rPr>
        <w:t>六、</w:t>
      </w:r>
      <w:r>
        <w:rPr>
          <w:rFonts w:hint="eastAsia" w:ascii="黑体" w:eastAsia="黑体" w:cs="Times New Roman"/>
        </w:rPr>
        <w:t>绩效预算情况说明</w:t>
      </w:r>
    </w:p>
    <w:p>
      <w:pPr>
        <w:adjustRightInd w:val="0"/>
        <w:snapToGrid w:val="0"/>
        <w:spacing w:line="5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（一）绩效管理工作开展情况，根据《关于开展2018年度财政专项资金部门绩效自评价工作的通知》（石财绩[2019]1号），</w:t>
      </w:r>
      <w:r>
        <w:rPr>
          <w:rFonts w:hint="eastAsia" w:ascii="仿宋_GB2312" w:hAnsi="仿宋_GB2312" w:eastAsia="仿宋_GB2312" w:cs="仿宋_GB2312"/>
          <w:sz w:val="32"/>
          <w:szCs w:val="32"/>
          <w:lang w:eastAsia="zh-CN"/>
        </w:rPr>
        <w:t>黄壁庄</w:t>
      </w:r>
      <w:r>
        <w:rPr>
          <w:rFonts w:hint="eastAsia" w:ascii="仿宋_GB2312" w:hAnsi="仿宋_GB2312" w:eastAsia="仿宋_GB2312" w:cs="仿宋_GB2312"/>
          <w:sz w:val="32"/>
          <w:szCs w:val="32"/>
        </w:rPr>
        <w:t>镇认真开展了预算绩效管理改革开展情况自查，对部门全面规范绩效预算编制、严格预算执行管理、推进绩效评价工作、推进预决算信息公开等方面进行了自评，考核结果为优秀/良好/一般。</w:t>
      </w:r>
    </w:p>
    <w:p>
      <w:pPr>
        <w:widowControl/>
        <w:shd w:val="clear" w:color="000000" w:fill="FFFFFF"/>
        <w:spacing w:line="500" w:lineRule="exact"/>
        <w:ind w:firstLine="640"/>
        <w:jc w:val="left"/>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（二）预算项目绩效评价开展情况，根据预算绩效管理要求，</w:t>
      </w:r>
      <w:r>
        <w:rPr>
          <w:rFonts w:hint="eastAsia" w:ascii="仿宋_GB2312" w:hAnsi="仿宋_GB2312" w:eastAsia="仿宋_GB2312" w:cs="仿宋_GB2312"/>
          <w:color w:val="000000"/>
          <w:sz w:val="32"/>
          <w:szCs w:val="32"/>
        </w:rPr>
        <w:t>2018年</w:t>
      </w:r>
      <w:r>
        <w:rPr>
          <w:rFonts w:hint="eastAsia" w:ascii="仿宋_GB2312" w:hAnsi="仿宋_GB2312" w:eastAsia="仿宋_GB2312" w:cs="仿宋_GB2312"/>
          <w:color w:val="000000"/>
          <w:sz w:val="32"/>
          <w:szCs w:val="32"/>
          <w:lang w:eastAsia="zh-CN"/>
        </w:rPr>
        <w:t>黄壁庄镇</w:t>
      </w:r>
      <w:r>
        <w:rPr>
          <w:rFonts w:hint="eastAsia" w:ascii="仿宋_GB2312" w:hAnsi="仿宋_GB2312" w:eastAsia="仿宋_GB2312" w:cs="仿宋_GB2312"/>
          <w:color w:val="000000"/>
          <w:sz w:val="32"/>
          <w:szCs w:val="32"/>
        </w:rPr>
        <w:t>绩效预算指标分优（ 95%）、良（90%）、</w:t>
      </w:r>
      <w:r>
        <w:rPr>
          <w:rFonts w:hint="eastAsia" w:ascii="仿宋_GB2312" w:hAnsi="仿宋_GB2312" w:eastAsia="仿宋_GB2312" w:cs="仿宋_GB2312"/>
          <w:color w:val="000000"/>
          <w:sz w:val="32"/>
          <w:szCs w:val="32"/>
          <w:lang w:eastAsia="zh-CN"/>
        </w:rPr>
        <w:t>一般</w:t>
      </w:r>
      <w:r>
        <w:rPr>
          <w:rFonts w:hint="eastAsia" w:ascii="仿宋_GB2312" w:hAnsi="仿宋_GB2312" w:eastAsia="仿宋_GB2312" w:cs="仿宋_GB2312"/>
          <w:color w:val="000000"/>
          <w:sz w:val="32"/>
          <w:szCs w:val="32"/>
        </w:rPr>
        <w:t>（ 85%）</w:t>
      </w:r>
      <w:r>
        <w:rPr>
          <w:rFonts w:hint="eastAsia" w:ascii="仿宋_GB2312" w:hAnsi="仿宋_GB2312" w:eastAsia="仿宋_GB2312" w:cs="仿宋_GB2312"/>
          <w:color w:val="000000"/>
          <w:sz w:val="32"/>
          <w:szCs w:val="32"/>
          <w:lang w:eastAsia="zh-CN"/>
        </w:rPr>
        <w:t>三</w:t>
      </w:r>
      <w:r>
        <w:rPr>
          <w:rFonts w:hint="eastAsia" w:ascii="仿宋_GB2312" w:hAnsi="仿宋_GB2312" w:eastAsia="仿宋_GB2312" w:cs="仿宋_GB2312"/>
          <w:color w:val="000000"/>
          <w:sz w:val="32"/>
          <w:szCs w:val="32"/>
        </w:rPr>
        <w:t>个档次。一年来，在镇党委、政府的领导下，各部门通力协作，按着各自绩效活动目标，努力工作，年度考核，工作完成率均达到90%以上。</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hAnsi="仿宋_GB2312" w:eastAsia="仿宋_GB2312" w:cs="仿宋_GB2312"/>
          <w:sz w:val="32"/>
          <w:szCs w:val="32"/>
          <w:lang w:eastAsia="zh-CN"/>
        </w:rPr>
        <w:t>黄壁庄镇</w:t>
      </w:r>
      <w:r>
        <w:rPr>
          <w:rFonts w:hint="eastAsia" w:ascii="仿宋_GB2312" w:hAnsi="仿宋_GB2312" w:eastAsia="仿宋_GB2312" w:cs="仿宋_GB2312"/>
          <w:sz w:val="32"/>
          <w:szCs w:val="32"/>
        </w:rPr>
        <w:t>2018年度机关运行经费支出</w:t>
      </w:r>
      <w:r>
        <w:rPr>
          <w:rFonts w:hint="eastAsia" w:ascii="仿宋_GB2312" w:hAnsi="仿宋_GB2312" w:eastAsia="仿宋_GB2312" w:cs="仿宋_GB2312"/>
          <w:sz w:val="32"/>
          <w:szCs w:val="32"/>
          <w:lang w:val="en-US" w:eastAsia="zh-CN"/>
        </w:rPr>
        <w:t>339.94</w:t>
      </w:r>
      <w:r>
        <w:rPr>
          <w:rFonts w:hint="eastAsia" w:ascii="仿宋_GB2312" w:hAnsi="仿宋_GB2312" w:eastAsia="仿宋_GB2312" w:cs="仿宋_GB2312"/>
          <w:sz w:val="32"/>
          <w:szCs w:val="32"/>
        </w:rPr>
        <w:t>万元，比年初预算数</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278.24</w:t>
      </w:r>
      <w:r>
        <w:rPr>
          <w:rFonts w:hint="eastAsia" w:ascii="仿宋_GB2312" w:hAnsi="仿宋_GB2312" w:eastAsia="仿宋_GB2312" w:cs="仿宋_GB2312"/>
          <w:sz w:val="32"/>
          <w:szCs w:val="32"/>
        </w:rPr>
        <w:t>万元。主要原因是</w:t>
      </w:r>
      <w:r>
        <w:rPr>
          <w:rFonts w:hint="eastAsia" w:ascii="仿宋_GB2312" w:hAnsi="仿宋_GB2312" w:eastAsia="仿宋_GB2312" w:cs="仿宋_GB2312"/>
          <w:sz w:val="32"/>
          <w:szCs w:val="32"/>
          <w:lang w:eastAsia="zh-CN"/>
        </w:rPr>
        <w:t>人员增加相应的机关运行经费增加</w:t>
      </w:r>
      <w:r>
        <w:rPr>
          <w:rFonts w:hint="eastAsia" w:ascii="仿宋_GB2312" w:hAnsi="仿宋_GB2312" w:eastAsia="仿宋_GB2312" w:cs="仿宋_GB2312"/>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pStyle w:val="4"/>
        <w:spacing w:before="0" w:after="0" w:line="580" w:lineRule="exact"/>
        <w:ind w:firstLine="640" w:firstLineChars="200"/>
        <w:rPr>
          <w:rFonts w:ascii="仿宋_GB2312" w:hAnsi="仿宋_GB2312" w:eastAsia="仿宋_GB2312" w:cs="仿宋_GB2312"/>
          <w:b w:val="0"/>
          <w:bCs w:val="0"/>
          <w:color w:val="000000"/>
          <w:kern w:val="0"/>
          <w:sz w:val="32"/>
          <w:szCs w:val="32"/>
          <w:lang w:bidi="ar"/>
        </w:rPr>
      </w:pPr>
      <w:r>
        <w:rPr>
          <w:rFonts w:hint="eastAsia" w:ascii="仿宋_GB2312" w:eastAsia="仿宋_GB2312" w:cs="DengXian-Regular"/>
          <w:b w:val="0"/>
          <w:bCs w:val="0"/>
          <w:sz w:val="32"/>
          <w:szCs w:val="32"/>
          <w:lang w:eastAsia="zh-CN"/>
        </w:rPr>
        <w:t>黄壁庄镇</w:t>
      </w:r>
      <w:r>
        <w:rPr>
          <w:rFonts w:hint="eastAsia" w:ascii="仿宋_GB2312" w:eastAsia="仿宋_GB2312" w:cs="DengXian-Regular"/>
          <w:b w:val="0"/>
          <w:bCs w:val="0"/>
          <w:sz w:val="32"/>
          <w:szCs w:val="32"/>
        </w:rPr>
        <w:t>2018年度政府采购支出总额</w:t>
      </w:r>
      <w:r>
        <w:rPr>
          <w:rFonts w:hint="eastAsia" w:ascii="仿宋_GB2312" w:eastAsia="仿宋_GB2312" w:cs="DengXian-Regular"/>
          <w:b w:val="0"/>
          <w:bCs w:val="0"/>
          <w:sz w:val="32"/>
          <w:szCs w:val="32"/>
          <w:lang w:val="en-US" w:eastAsia="zh-CN"/>
        </w:rPr>
        <w:t>0</w:t>
      </w:r>
      <w:r>
        <w:rPr>
          <w:rFonts w:hint="eastAsia" w:ascii="仿宋_GB2312" w:eastAsia="仿宋_GB2312" w:cs="DengXian-Regular"/>
          <w:b w:val="0"/>
          <w:bCs w:val="0"/>
          <w:sz w:val="32"/>
          <w:szCs w:val="32"/>
        </w:rPr>
        <w:t>万元，从采购类型来看，</w:t>
      </w:r>
      <w:r>
        <w:rPr>
          <w:rFonts w:ascii="仿宋_GB2312" w:hAnsi="仿宋_GB2312" w:eastAsia="仿宋_GB2312" w:cs="仿宋_GB2312"/>
          <w:b w:val="0"/>
          <w:bCs w:val="0"/>
          <w:color w:val="000000"/>
          <w:kern w:val="0"/>
          <w:sz w:val="32"/>
          <w:szCs w:val="32"/>
          <w:lang w:bidi="ar"/>
        </w:rPr>
        <w:t>政府采购货物支出</w:t>
      </w:r>
      <w:r>
        <w:rPr>
          <w:rFonts w:hint="eastAsia" w:ascii="仿宋_GB2312" w:hAnsi="仿宋_GB2312" w:eastAsia="仿宋_GB2312" w:cs="仿宋_GB2312"/>
          <w:b w:val="0"/>
          <w:bCs w:val="0"/>
          <w:color w:val="000000"/>
          <w:kern w:val="0"/>
          <w:sz w:val="32"/>
          <w:szCs w:val="32"/>
          <w:lang w:val="en-US" w:eastAsia="zh-CN" w:bidi="ar"/>
        </w:rPr>
        <w:t>0</w:t>
      </w:r>
      <w:r>
        <w:rPr>
          <w:rFonts w:ascii="仿宋_GB2312" w:hAnsi="仿宋_GB2312" w:eastAsia="仿宋_GB2312" w:cs="仿宋_GB2312"/>
          <w:b w:val="0"/>
          <w:bCs w:val="0"/>
          <w:color w:val="000000"/>
          <w:kern w:val="0"/>
          <w:sz w:val="32"/>
          <w:szCs w:val="32"/>
          <w:lang w:bidi="ar"/>
        </w:rPr>
        <w:t>万元、政府采购工程支出</w:t>
      </w:r>
      <w:r>
        <w:rPr>
          <w:rFonts w:hint="eastAsia" w:ascii="仿宋_GB2312" w:hAnsi="仿宋_GB2312" w:eastAsia="仿宋_GB2312" w:cs="仿宋_GB2312"/>
          <w:b w:val="0"/>
          <w:bCs w:val="0"/>
          <w:color w:val="000000"/>
          <w:kern w:val="0"/>
          <w:sz w:val="32"/>
          <w:szCs w:val="32"/>
          <w:lang w:val="en-US" w:eastAsia="zh-CN" w:bidi="ar"/>
        </w:rPr>
        <w:t>0</w:t>
      </w:r>
      <w:r>
        <w:rPr>
          <w:rFonts w:ascii="仿宋_GB2312" w:hAnsi="仿宋_GB2312" w:eastAsia="仿宋_GB2312" w:cs="仿宋_GB2312"/>
          <w:b w:val="0"/>
          <w:bCs w:val="0"/>
          <w:color w:val="000000"/>
          <w:kern w:val="0"/>
          <w:sz w:val="32"/>
          <w:szCs w:val="32"/>
          <w:lang w:bidi="ar"/>
        </w:rPr>
        <w:t xml:space="preserve">万元、政府采购服务支出 </w:t>
      </w:r>
      <w:r>
        <w:rPr>
          <w:rFonts w:hint="eastAsia" w:ascii="仿宋_GB2312" w:hAnsi="仿宋_GB2312" w:eastAsia="仿宋_GB2312" w:cs="仿宋_GB2312"/>
          <w:b w:val="0"/>
          <w:bCs w:val="0"/>
          <w:color w:val="000000"/>
          <w:kern w:val="0"/>
          <w:sz w:val="32"/>
          <w:szCs w:val="32"/>
          <w:lang w:val="en-US" w:eastAsia="zh-CN" w:bidi="ar"/>
        </w:rPr>
        <w:t>0</w:t>
      </w:r>
      <w:r>
        <w:rPr>
          <w:rFonts w:ascii="仿宋_GB2312" w:hAnsi="仿宋_GB2312" w:eastAsia="仿宋_GB2312" w:cs="仿宋_GB2312"/>
          <w:b w:val="0"/>
          <w:bCs w:val="0"/>
          <w:color w:val="000000"/>
          <w:kern w:val="0"/>
          <w:sz w:val="32"/>
          <w:szCs w:val="32"/>
          <w:lang w:bidi="ar"/>
        </w:rPr>
        <w:t>万元。授予中小企业合同金</w:t>
      </w:r>
      <w:r>
        <w:rPr>
          <w:rFonts w:hint="eastAsia" w:ascii="仿宋_GB2312" w:hAnsi="仿宋_GB2312" w:eastAsia="仿宋_GB2312" w:cs="仿宋_GB2312"/>
          <w:b w:val="0"/>
          <w:bCs w:val="0"/>
          <w:color w:val="000000"/>
          <w:kern w:val="0"/>
          <w:sz w:val="32"/>
          <w:szCs w:val="32"/>
          <w:lang w:val="en-US" w:eastAsia="zh-CN" w:bidi="ar"/>
        </w:rPr>
        <w:t>0</w:t>
      </w:r>
      <w:r>
        <w:rPr>
          <w:rFonts w:ascii="仿宋_GB2312" w:hAnsi="仿宋_GB2312" w:eastAsia="仿宋_GB2312" w:cs="仿宋_GB2312"/>
          <w:b w:val="0"/>
          <w:bCs w:val="0"/>
          <w:color w:val="000000"/>
          <w:kern w:val="0"/>
          <w:sz w:val="32"/>
          <w:szCs w:val="32"/>
          <w:lang w:bidi="ar"/>
        </w:rPr>
        <w:t>万元，其中授予小微企业合同金额</w:t>
      </w:r>
      <w:r>
        <w:rPr>
          <w:rFonts w:hint="eastAsia" w:ascii="仿宋_GB2312" w:hAnsi="仿宋_GB2312" w:eastAsia="仿宋_GB2312" w:cs="仿宋_GB2312"/>
          <w:b w:val="0"/>
          <w:bCs w:val="0"/>
          <w:color w:val="000000"/>
          <w:kern w:val="0"/>
          <w:sz w:val="32"/>
          <w:szCs w:val="32"/>
          <w:lang w:val="en-US" w:eastAsia="zh-CN" w:bidi="ar"/>
        </w:rPr>
        <w:t>0</w:t>
      </w:r>
      <w:r>
        <w:rPr>
          <w:rFonts w:ascii="仿宋_GB2312" w:hAnsi="仿宋_GB2312" w:eastAsia="仿宋_GB2312" w:cs="仿宋_GB2312"/>
          <w:b w:val="0"/>
          <w:bCs w:val="0"/>
          <w:color w:val="000000"/>
          <w:kern w:val="0"/>
          <w:sz w:val="32"/>
          <w:szCs w:val="32"/>
          <w:lang w:bidi="ar"/>
        </w:rPr>
        <w:t>万元。</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w:t>
      </w:r>
      <w:r>
        <w:rPr>
          <w:rFonts w:hint="eastAsia" w:ascii="仿宋_GB2312" w:eastAsia="仿宋_GB2312" w:cs="DengXian-Regular"/>
          <w:sz w:val="32"/>
          <w:szCs w:val="32"/>
          <w:lang w:eastAsia="zh-CN"/>
        </w:rPr>
        <w:t>黄壁庄镇</w:t>
      </w:r>
      <w:r>
        <w:rPr>
          <w:rFonts w:hint="eastAsia" w:ascii="仿宋_GB2312" w:eastAsia="仿宋_GB2312" w:cs="DengXian-Regular"/>
          <w:sz w:val="32"/>
          <w:szCs w:val="32"/>
        </w:rPr>
        <w:t>共有车辆</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上年</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。其中应急保障用车</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垃圾清运车</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eastAsia="仿宋_GB2312" w:cs="DengXian-Regular"/>
          <w:sz w:val="32"/>
          <w:szCs w:val="32"/>
        </w:rPr>
        <w:t>1、</w:t>
      </w:r>
      <w:r>
        <w:rPr>
          <w:rFonts w:hint="eastAsia" w:ascii="仿宋_GB2312" w:hAnsi="仿宋_GB2312" w:eastAsia="仿宋_GB2312" w:cs="仿宋_GB2312"/>
          <w:sz w:val="32"/>
          <w:szCs w:val="32"/>
          <w:lang w:eastAsia="zh-CN"/>
        </w:rPr>
        <w:t>黄壁庄镇</w:t>
      </w:r>
      <w:r>
        <w:rPr>
          <w:rFonts w:hint="eastAsia" w:ascii="仿宋_GB2312" w:hAnsi="仿宋_GB2312" w:eastAsia="仿宋_GB2312" w:cs="仿宋_GB2312"/>
          <w:sz w:val="32"/>
          <w:szCs w:val="32"/>
        </w:rPr>
        <w:t>2018年度</w:t>
      </w:r>
      <w:r>
        <w:rPr>
          <w:rFonts w:hint="eastAsia" w:ascii="仿宋_GB2312" w:hAnsi="仿宋_GB2312" w:eastAsia="仿宋_GB2312" w:cs="仿宋_GB2312"/>
          <w:sz w:val="32"/>
          <w:szCs w:val="32"/>
          <w:lang w:eastAsia="zh-CN"/>
        </w:rPr>
        <w:t>无</w:t>
      </w:r>
      <w:r>
        <w:rPr>
          <w:rFonts w:hint="eastAsia" w:ascii="仿宋_GB2312" w:hAnsi="仿宋_GB2312" w:eastAsia="仿宋_GB2312" w:cs="仿宋_GB2312"/>
          <w:color w:val="000000"/>
          <w:kern w:val="0"/>
          <w:sz w:val="32"/>
          <w:szCs w:val="32"/>
          <w:lang w:bidi="ar"/>
        </w:rPr>
        <w:t>政府性基金预算财政拨款收入、支出及结转和结余情况</w:t>
      </w:r>
      <w:r>
        <w:rPr>
          <w:rFonts w:hint="eastAsia" w:ascii="仿宋_GB2312" w:hAnsi="仿宋_GB2312" w:eastAsia="仿宋_GB2312" w:cs="仿宋_GB2312"/>
          <w:color w:val="000000"/>
          <w:kern w:val="0"/>
          <w:sz w:val="32"/>
          <w:szCs w:val="32"/>
          <w:lang w:eastAsia="zh-CN" w:bidi="ar"/>
        </w:rPr>
        <w:t>，按要求空表列示</w:t>
      </w:r>
      <w:r>
        <w:rPr>
          <w:rFonts w:hint="eastAsia" w:ascii="仿宋_GB2312" w:hAnsi="仿宋_GB2312" w:eastAsia="仿宋_GB2312" w:cs="仿宋_GB2312"/>
          <w:sz w:val="32"/>
          <w:szCs w:val="32"/>
        </w:rPr>
        <w:t>，故</w:t>
      </w:r>
      <w:r>
        <w:rPr>
          <w:rFonts w:hint="eastAsia" w:ascii="仿宋_GB2312" w:hAnsi="仿宋_GB2312" w:eastAsia="仿宋_GB2312" w:cs="仿宋_GB2312"/>
          <w:color w:val="000000"/>
          <w:kern w:val="0"/>
          <w:sz w:val="32"/>
          <w:szCs w:val="32"/>
          <w:lang w:bidi="ar"/>
        </w:rPr>
        <w:t>政府性基金预算财政拨款</w:t>
      </w:r>
      <w:r>
        <w:rPr>
          <w:rFonts w:hint="eastAsia" w:ascii="仿宋_GB2312" w:hAnsi="仿宋_GB2312" w:eastAsia="仿宋_GB2312" w:cs="仿宋_GB2312"/>
          <w:sz w:val="32"/>
          <w:szCs w:val="32"/>
        </w:rPr>
        <mc:AlternateContent>
          <mc:Choice Requires="wpg">
            <w:drawing>
              <wp:anchor distT="0" distB="0" distL="114300" distR="114300" simplePos="0" relativeHeight="25169510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27" name="组合 27"/>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9510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yaUsrcAAAADQEAAA8AAAAAAAAAAQAgAAAAIgAAAGRycy9kb3ducmV2LnhtbFBLAQIUABQAAAAI&#10;AIdO4kB9dRrk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3VZykLkAAADb&#10;AAAADwAAAGRycy9kb3ducmV2LnhtbEVPy4rCMBTdD/gP4QruxqSCD6rRhTiMuJpRwe21uba1zU1J&#10;4uvvzWJglofzXqyethV38qF2rCEbKhDEhTM1lxqOh6/PGYgQkQ22jknDiwKslr2PBebGPfiX7vtY&#10;ihTCIUcNVYxdLmUoKrIYhq4jTtzFeYsxQV9K4/GRwm0rR0pNpMWaU0OFHa0rKpr9zWpojtOfWq2/&#10;r6ddMxn7TXaejv1Z60E/U3MQkZ7xX/zn3hoNozQ2fUk/QC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WcpC5AAAA2wAA&#10;AA8AAAAAAAAAAQAgAAAAIgAAAGRycy9kb3ducmV2LnhtbFBLAQIUABQAAAAIAIdO4kAzLwWeOwAA&#10;ADkAAAAQAAAAAAAAAAEAIAAAAAgBAABkcnMvc2hhcGV4bWwueG1sUEsFBgAAAAAGAAYAWwEAALID&#10;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O7OTPbwAAADb&#10;AAAADwAAAGRycy9kb3ducmV2LnhtbEWPS4sCMRCE78L+h9AL3pxEDzo7GoUVXDy6PtZrM2lnBied&#10;IYmvf78RBI9FVX1FzRZ324or+dA41jDMFAji0pmGKw373WqQgwgR2WDrmDQ8KMBi/tGbYWHcjX/p&#10;uo2VSBAOBWqoY+wKKUNZk8WQuY44eSfnLcYkfSWNx1uC21aOlBpLiw2nhRo7WtZUnrcXq2G8+V66&#10;cpf//Pljozbusnrkk4PW/c+hmoKIdI/v8Ku9NhpGX/D8kn6A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uzkz2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hAnsi="仿宋_GB2312" w:eastAsia="仿宋_GB2312" w:cs="仿宋_GB2312"/>
          <w:color w:val="000000"/>
          <w:kern w:val="0"/>
          <w:sz w:val="32"/>
          <w:szCs w:val="32"/>
          <w:lang w:bidi="ar"/>
        </w:rPr>
        <w:t>收入支出决算表</w:t>
      </w:r>
      <w:r>
        <w:rPr>
          <w:rFonts w:hint="eastAsia" w:ascii="仿宋_GB2312" w:hAnsi="仿宋_GB2312" w:eastAsia="仿宋_GB2312" w:cs="仿宋_GB2312"/>
          <w:sz w:val="32"/>
          <w:szCs w:val="32"/>
        </w:rPr>
        <w:t>以空表列示。</w:t>
      </w:r>
    </w:p>
    <w:p>
      <w:pPr>
        <w:adjustRightInd w:val="0"/>
        <w:snapToGrid w:val="0"/>
        <w:spacing w:after="0"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黄壁庄镇</w:t>
      </w:r>
      <w:r>
        <w:rPr>
          <w:rFonts w:hint="eastAsia" w:ascii="仿宋_GB2312" w:hAnsi="仿宋_GB2312" w:eastAsia="仿宋_GB2312" w:cs="仿宋_GB2312"/>
          <w:sz w:val="32"/>
          <w:szCs w:val="32"/>
        </w:rPr>
        <w:t>2018年度</w:t>
      </w:r>
      <w:r>
        <w:rPr>
          <w:rFonts w:hint="eastAsia" w:ascii="仿宋_GB2312" w:hAnsi="仿宋_GB2312" w:eastAsia="仿宋_GB2312" w:cs="仿宋_GB2312"/>
          <w:color w:val="000000"/>
          <w:sz w:val="32"/>
          <w:szCs w:val="32"/>
          <w:lang w:eastAsia="zh-CN"/>
        </w:rPr>
        <w:t>无相关</w:t>
      </w:r>
      <w:r>
        <w:rPr>
          <w:rFonts w:hint="eastAsia" w:ascii="仿宋_GB2312" w:hAnsi="仿宋_GB2312" w:eastAsia="仿宋_GB2312" w:cs="仿宋_GB2312"/>
          <w:color w:val="000000"/>
          <w:kern w:val="0"/>
          <w:sz w:val="32"/>
          <w:szCs w:val="32"/>
          <w:lang w:bidi="ar"/>
        </w:rPr>
        <w:t>国有资本经营预算财政拨款支出情况</w:t>
      </w:r>
      <w:r>
        <w:rPr>
          <w:rFonts w:hint="eastAsia" w:ascii="仿宋_GB2312" w:hAnsi="仿宋_GB2312" w:eastAsia="仿宋_GB2312" w:cs="仿宋_GB2312"/>
          <w:color w:val="000000"/>
          <w:kern w:val="0"/>
          <w:sz w:val="32"/>
          <w:szCs w:val="32"/>
          <w:lang w:eastAsia="zh-CN" w:bidi="ar"/>
        </w:rPr>
        <w:t>，按要求空表列示</w:t>
      </w:r>
      <w:r>
        <w:rPr>
          <w:rFonts w:hint="eastAsia" w:ascii="仿宋_GB2312" w:hAnsi="仿宋_GB2312" w:eastAsia="仿宋_GB2312" w:cs="仿宋_GB2312"/>
          <w:sz w:val="32"/>
          <w:szCs w:val="32"/>
        </w:rPr>
        <w:t>，故</w:t>
      </w:r>
      <w:r>
        <w:rPr>
          <w:rFonts w:hint="eastAsia" w:ascii="仿宋_GB2312" w:hAnsi="仿宋_GB2312" w:eastAsia="仿宋_GB2312" w:cs="仿宋_GB2312"/>
          <w:color w:val="000000"/>
          <w:kern w:val="0"/>
          <w:sz w:val="32"/>
          <w:szCs w:val="32"/>
          <w:lang w:bidi="ar"/>
        </w:rPr>
        <w:t>国有资本经营预算财政拨</w:t>
      </w:r>
      <w:r>
        <w:rPr>
          <w:rFonts w:hint="eastAsia" w:ascii="仿宋_GB2312" w:hAnsi="仿宋_GB2312" w:eastAsia="仿宋_GB2312" w:cs="仿宋_GB2312"/>
          <w:sz w:val="32"/>
          <w:szCs w:val="32"/>
        </w:rPr>
        <mc:AlternateContent>
          <mc:Choice Requires="wpg">
            <w:drawing>
              <wp:anchor distT="0" distB="0" distL="114300" distR="114300" simplePos="0" relativeHeight="251697152"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107" name="组合 107"/>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0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97152;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cmlLK3AAAAA0BAAAPAAAAAAAAAAEAIAAAACIAAABkcnMvZG93bnJldi54bWxQSwECFAAUAAAA&#10;CACHTuJAQKc9C0ADAABA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MSnWr8AAADc&#10;AAAADwAAAGRycy9kb3ducmV2LnhtbEWPT2/CMAzF70j7DpEn7QZJJwFTIXBAmzbttDEkrqYxbWnj&#10;VEnGn2+PD5N2s/We3/t5ub76Xp0ppjawhWJiQBFXwbVcW9j9vI1fQKWM7LAPTBZulGC9ehgtsXTh&#10;wt903uZaSQinEi00OQ+l1qlqyGOahIFYtGOIHrOssdYu4kXCfa+fjZlpjy1LQ4MDbRqquu2vt9Dt&#10;5l+t2byf9p/dbBpfi8N8Gg/WPj0WZgEq0zX/m/+uP5zgG6GVZ2QCvb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TEp1q/&#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hvdQVbkAAADc&#10;AAAADwAAAGRycy9kb3ducmV2LnhtbEVPS4vCMBC+C/sfwix4s4l70FqNwgouHn3uXodmbMs2k5LE&#10;1783guBtPr7nzBY324oL+dA41jDMFAji0pmGKw2H/WqQgwgR2WDrmDTcKcBi/tGbYWHclbd02cVK&#10;pBAOBWqoY+wKKUNZk8WQuY44cSfnLcYEfSWNx2sKt638UmokLTacGmrsaFlT+b87Ww2jzffSlfv8&#10;59f/NWrjzqt7Pj5q3f8cqimISLf4Fr/ca5Pmqwk8n0kXyP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b3UFW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hAnsi="仿宋_GB2312" w:eastAsia="仿宋_GB2312" w:cs="仿宋_GB2312"/>
          <w:color w:val="000000"/>
          <w:kern w:val="0"/>
          <w:sz w:val="32"/>
          <w:szCs w:val="32"/>
          <w:lang w:bidi="ar"/>
        </w:rPr>
        <w:t>款支出决算表</w:t>
      </w:r>
      <w:r>
        <w:rPr>
          <w:rFonts w:hint="eastAsia" w:ascii="仿宋_GB2312" w:hAnsi="仿宋_GB2312" w:eastAsia="仿宋_GB2312" w:cs="仿宋_GB2312"/>
          <w:sz w:val="32"/>
          <w:szCs w:val="32"/>
        </w:rPr>
        <w:t>以空表列示。</w:t>
      </w:r>
    </w:p>
    <w:p>
      <w:pPr>
        <w:adjustRightInd w:val="0"/>
        <w:snapToGrid w:val="0"/>
        <w:spacing w:after="0"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黄壁庄镇</w:t>
      </w:r>
      <w:r>
        <w:rPr>
          <w:rFonts w:hint="eastAsia" w:ascii="仿宋_GB2312" w:hAnsi="仿宋_GB2312" w:eastAsia="仿宋_GB2312" w:cs="仿宋_GB2312"/>
          <w:sz w:val="32"/>
          <w:szCs w:val="32"/>
        </w:rPr>
        <w:t>2018年度</w:t>
      </w:r>
      <w:r>
        <w:rPr>
          <w:rFonts w:hint="eastAsia" w:ascii="仿宋_GB2312" w:hAnsi="仿宋_GB2312" w:eastAsia="仿宋_GB2312" w:cs="仿宋_GB2312"/>
          <w:color w:val="000000"/>
          <w:sz w:val="32"/>
          <w:szCs w:val="32"/>
          <w:lang w:eastAsia="zh-CN"/>
        </w:rPr>
        <w:t>无相关</w:t>
      </w:r>
      <w:r>
        <w:rPr>
          <w:rFonts w:hint="eastAsia" w:ascii="仿宋_GB2312" w:hAnsi="仿宋_GB2312" w:eastAsia="仿宋_GB2312" w:cs="仿宋_GB2312"/>
          <w:color w:val="000000"/>
          <w:kern w:val="0"/>
          <w:sz w:val="32"/>
          <w:szCs w:val="32"/>
          <w:lang w:bidi="ar"/>
        </w:rPr>
        <w:t>纳入部门预算范围的政府采购预算及支出情况</w:t>
      </w:r>
      <w:r>
        <w:rPr>
          <w:rFonts w:hint="eastAsia" w:ascii="仿宋_GB2312" w:hAnsi="仿宋_GB2312" w:eastAsia="仿宋_GB2312" w:cs="仿宋_GB2312"/>
          <w:color w:val="000000"/>
          <w:kern w:val="0"/>
          <w:sz w:val="32"/>
          <w:szCs w:val="32"/>
          <w:lang w:eastAsia="zh-CN" w:bidi="ar"/>
        </w:rPr>
        <w:t>，按要求空表列示</w:t>
      </w:r>
      <w:r>
        <w:rPr>
          <w:rFonts w:hint="eastAsia" w:ascii="仿宋_GB2312" w:hAnsi="仿宋_GB2312" w:eastAsia="仿宋_GB2312" w:cs="仿宋_GB2312"/>
          <w:sz w:val="32"/>
          <w:szCs w:val="32"/>
        </w:rPr>
        <w:t>，故</w:t>
      </w:r>
      <w:r>
        <w:rPr>
          <w:rFonts w:hint="eastAsia" w:ascii="仿宋_GB2312" w:hAnsi="仿宋_GB2312" w:eastAsia="仿宋_GB2312" w:cs="仿宋_GB2312"/>
          <w:color w:val="000000"/>
          <w:kern w:val="0"/>
          <w:sz w:val="32"/>
          <w:szCs w:val="32"/>
          <w:lang w:bidi="ar"/>
        </w:rPr>
        <w:t>政府采购</w:t>
      </w:r>
      <w:r>
        <w:rPr>
          <w:rFonts w:hint="eastAsia" w:ascii="仿宋_GB2312" w:hAnsi="仿宋_GB2312" w:eastAsia="仿宋_GB2312" w:cs="仿宋_GB2312"/>
          <w:sz w:val="32"/>
          <w:szCs w:val="32"/>
        </w:rPr>
        <mc:AlternateContent>
          <mc:Choice Requires="wpg">
            <w:drawing>
              <wp:anchor distT="0" distB="0" distL="114300" distR="114300" simplePos="0" relativeHeight="251696128" behindDoc="0" locked="1" layoutInCell="1" allowOverlap="1">
                <wp:simplePos x="0" y="0"/>
                <wp:positionH relativeFrom="column">
                  <wp:posOffset>-875030</wp:posOffset>
                </wp:positionH>
                <wp:positionV relativeFrom="page">
                  <wp:posOffset>-877570</wp:posOffset>
                </wp:positionV>
                <wp:extent cx="3088640" cy="523240"/>
                <wp:effectExtent l="3175" t="0" r="13335" b="29210"/>
                <wp:wrapNone/>
                <wp:docPr id="104" name="组合 10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0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8.9pt;margin-top:-69.1pt;height:41.2pt;width:243.2pt;mso-position-vertical-relative:page;z-index:251696128;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MKcggfcAAAADQEAAA8AAAAAAAAAAQAgAAAAIgAAAGRycy9kb3ducmV2LnhtbFBLAQIU&#10;ABQAAAAIAIdO4kBdZyFiRQMAAEAJAAAOAAAAAAAAAAEAIAAAACsBAABkcnMvZTJvRG9jLnhtbFBL&#10;BQYAAAAABgAGAFkBAADi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sUIxLsAAADc&#10;AAAADwAAAGRycy9kb3ducmV2LnhtbEVPS2sCMRC+C/6HMAVvmmxhVbZGD2Kp9FQf4HXcTHe3u5ks&#10;Sar23zeC4G0+vucsVjfbiQv50DjWkE0UCOLSmYYrDcfD+3gOIkRkg51j0vBHAVbL4WCBhXFX3tFl&#10;HyuRQjgUqKGOsS+kDGVNFsPE9cSJ+3beYkzQV9J4vKZw28lXpabSYsOpocae1jWV7f7XamiPs69G&#10;rT9+Tp/tNPeb7DzL/Vnr0Uum3kBEusWn+OHemjRf5XB/Jl0g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sUIxL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92jEJ7sAAADc&#10;AAAADwAAAGRycy9kb3ducmV2LnhtbEVPPWvDMBDdA/0P4grdYikZXONGCTTgkjFN0nY9rKttap2M&#10;pNjOv68KhWz3eJ+32c22FyP50DnWsMoUCOLamY4bDZdztSxAhIhssHdMGm4UYLd9WGywNG7idxpP&#10;sREphEOJGtoYh1LKULdkMWRuIE7ct/MWY4K+kcbjlMJtL9dK5dJix6mhxYH2LdU/p6vVkB9f964+&#10;F2+f/qtTR3etbsXzh9ZPjyv1AiLSHO/if/fBpPkqh79n0gVy+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2jEJ7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hAnsi="仿宋_GB2312" w:eastAsia="仿宋_GB2312" w:cs="仿宋_GB2312"/>
          <w:color w:val="000000"/>
          <w:kern w:val="0"/>
          <w:sz w:val="32"/>
          <w:szCs w:val="32"/>
          <w:lang w:bidi="ar"/>
        </w:rPr>
        <w:t>情况表</w:t>
      </w:r>
      <w:r>
        <w:rPr>
          <w:rFonts w:hint="eastAsia" w:ascii="仿宋_GB2312" w:hAnsi="仿宋_GB2312" w:eastAsia="仿宋_GB2312" w:cs="仿宋_GB2312"/>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、由于决算公开表格中金额数值应当保留两位小数，公开数据为四舍五入计算结</w:t>
      </w:r>
      <w:r>
        <w:rPr>
          <w:sz w:val="32"/>
          <w:szCs w:val="32"/>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257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100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20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FDCCDDF-F633-459E-A592-3FAE2D980ECE}"/>
  </w:font>
  <w:font w:name="黑体">
    <w:panose1 w:val="02010609060101010101"/>
    <w:charset w:val="86"/>
    <w:family w:val="auto"/>
    <w:pitch w:val="default"/>
    <w:sig w:usb0="800002BF" w:usb1="38CF7CFA" w:usb2="00000016" w:usb3="00000000" w:csb0="00040001" w:csb1="00000000"/>
    <w:embedRegular r:id="rId2" w:fontKey="{E9B11114-A844-4AC4-86E3-6680E8E5D366}"/>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27D97387-1448-4FEC-97D0-240E49A2A699}"/>
  </w:font>
  <w:font w:name="楷体">
    <w:panose1 w:val="02010609060101010101"/>
    <w:charset w:val="86"/>
    <w:family w:val="modern"/>
    <w:pitch w:val="default"/>
    <w:sig w:usb0="800002BF" w:usb1="38CF7CFA" w:usb2="00000016" w:usb3="00000000" w:csb0="00040001" w:csb1="00000000"/>
    <w:embedRegular r:id="rId4" w:fontKey="{6DB32E80-EE46-4568-B375-2F88C62ABF79}"/>
  </w:font>
  <w:font w:name="楷体_GB2312">
    <w:panose1 w:val="02010609030101010101"/>
    <w:charset w:val="86"/>
    <w:family w:val="modern"/>
    <w:pitch w:val="default"/>
    <w:sig w:usb0="00000001" w:usb1="080E0000" w:usb2="00000000" w:usb3="00000000" w:csb0="00040000" w:csb1="00000000"/>
    <w:embedRegular r:id="rId5" w:fontKey="{7819D28C-8DBD-4E0C-BBDA-CFB6DFD2754F}"/>
  </w:font>
  <w:font w:name="仿宋_GB2312">
    <w:panose1 w:val="02010609030101010101"/>
    <w:charset w:val="86"/>
    <w:family w:val="modern"/>
    <w:pitch w:val="default"/>
    <w:sig w:usb0="00000001" w:usb1="080E0000" w:usb2="00000000" w:usb3="00000000" w:csb0="00040000" w:csb1="00000000"/>
    <w:embedRegular r:id="rId6" w:fontKey="{AB6A54BD-E9A0-433A-8218-FA223B5113E1}"/>
  </w:font>
  <w:font w:name="ArialUnicodeMS">
    <w:altName w:val="Malgun Gothic"/>
    <w:panose1 w:val="00000000000000000000"/>
    <w:charset w:val="81"/>
    <w:family w:val="auto"/>
    <w:pitch w:val="default"/>
    <w:sig w:usb0="00000000" w:usb1="00000000" w:usb2="00000010" w:usb3="00000000" w:csb0="00080001" w:csb1="00000000"/>
    <w:embedRegular r:id="rId7" w:fontKey="{BD4306A8-7B12-419D-9382-EA21703B15C3}"/>
  </w:font>
  <w:font w:name="仿宋">
    <w:panose1 w:val="02010609060101010101"/>
    <w:charset w:val="86"/>
    <w:family w:val="modern"/>
    <w:pitch w:val="default"/>
    <w:sig w:usb0="800002BF" w:usb1="38CF7CFA" w:usb2="00000016" w:usb3="00000000" w:csb0="00040001" w:csb1="00000000"/>
    <w:embedRegular r:id="rId8" w:fontKey="{4CD0C632-4378-43F0-BE1E-682C32ED9016}"/>
  </w:font>
  <w:font w:name="方正小标宋_GBK">
    <w:altName w:val="宋体"/>
    <w:panose1 w:val="00000000000000000000"/>
    <w:charset w:val="86"/>
    <w:family w:val="roman"/>
    <w:pitch w:val="default"/>
    <w:sig w:usb0="00000000" w:usb1="00000000" w:usb2="00000000" w:usb3="00000000" w:csb0="00040001" w:csb1="00000000"/>
    <w:embedRegular r:id="rId9" w:fontKey="{1C1565EF-E60A-4B55-A07D-BFBED9D985BF}"/>
  </w:font>
  <w:font w:name="MS-UIGothic,Bold">
    <w:altName w:val="Malgun Gothic"/>
    <w:panose1 w:val="00000000000000000000"/>
    <w:charset w:val="81"/>
    <w:family w:val="auto"/>
    <w:pitch w:val="default"/>
    <w:sig w:usb0="00000000" w:usb1="00000000" w:usb2="00000010" w:usb3="00000000" w:csb0="00080000" w:csb1="00000000"/>
    <w:embedRegular r:id="rId10" w:fontKey="{90975DA4-F7D2-4ED9-B370-7B6C7B414056}"/>
  </w:font>
  <w:font w:name="DengXian-Regular">
    <w:altName w:val="宋体"/>
    <w:panose1 w:val="00000000000000000000"/>
    <w:charset w:val="86"/>
    <w:family w:val="auto"/>
    <w:pitch w:val="default"/>
    <w:sig w:usb0="00000000" w:usb1="00000000" w:usb2="00000010" w:usb3="00000000" w:csb0="00040001" w:csb1="00000000"/>
    <w:embedRegular r:id="rId11" w:fontKey="{CC1F0B75-502A-4EAE-AD2E-CA38B99E8582}"/>
  </w:font>
  <w:font w:name="DengXian-Bold">
    <w:altName w:val="宋体"/>
    <w:panose1 w:val="00000000000000000000"/>
    <w:charset w:val="86"/>
    <w:family w:val="auto"/>
    <w:pitch w:val="default"/>
    <w:sig w:usb0="00000000" w:usb1="00000000" w:usb2="00000010" w:usb3="00000000" w:csb0="00040001" w:csb1="00000000"/>
    <w:embedRegular r:id="rId12" w:fontKey="{750BFE22-AC7A-4F88-8485-3634DF60CC0B}"/>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D534C2"/>
    <w:multiLevelType w:val="singleLevel"/>
    <w:tmpl w:val="1ED534C2"/>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M3MGQzZDAxYmY5NDgyOTRjZTNkNWI5NThlNzk0MGU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606FE1"/>
    <w:rsid w:val="03896352"/>
    <w:rsid w:val="04073F84"/>
    <w:rsid w:val="04854852"/>
    <w:rsid w:val="06234822"/>
    <w:rsid w:val="091E77FC"/>
    <w:rsid w:val="09C2276B"/>
    <w:rsid w:val="0B3949F1"/>
    <w:rsid w:val="0B60750A"/>
    <w:rsid w:val="0C7D783B"/>
    <w:rsid w:val="0C9733B2"/>
    <w:rsid w:val="0F3042CE"/>
    <w:rsid w:val="0FBB256B"/>
    <w:rsid w:val="0FC90F26"/>
    <w:rsid w:val="10686488"/>
    <w:rsid w:val="10700655"/>
    <w:rsid w:val="10DF728A"/>
    <w:rsid w:val="12336E90"/>
    <w:rsid w:val="1264200E"/>
    <w:rsid w:val="12ED3186"/>
    <w:rsid w:val="13A03AF0"/>
    <w:rsid w:val="13CA2812"/>
    <w:rsid w:val="141C5B77"/>
    <w:rsid w:val="154D48F6"/>
    <w:rsid w:val="169B0710"/>
    <w:rsid w:val="17C86AC4"/>
    <w:rsid w:val="17F066DD"/>
    <w:rsid w:val="18583905"/>
    <w:rsid w:val="18A5740B"/>
    <w:rsid w:val="18D8339D"/>
    <w:rsid w:val="1A21388F"/>
    <w:rsid w:val="1A570D2F"/>
    <w:rsid w:val="1A9C23DC"/>
    <w:rsid w:val="1DE43A52"/>
    <w:rsid w:val="1DFD7009"/>
    <w:rsid w:val="20156A41"/>
    <w:rsid w:val="20CF3AB7"/>
    <w:rsid w:val="20E70DDC"/>
    <w:rsid w:val="21BA17C7"/>
    <w:rsid w:val="22EF68B8"/>
    <w:rsid w:val="24955CAB"/>
    <w:rsid w:val="25350CB9"/>
    <w:rsid w:val="2544597E"/>
    <w:rsid w:val="260A0C59"/>
    <w:rsid w:val="2802622F"/>
    <w:rsid w:val="288046E1"/>
    <w:rsid w:val="28FB0B8D"/>
    <w:rsid w:val="2A44763A"/>
    <w:rsid w:val="2A9870FC"/>
    <w:rsid w:val="2B696D3A"/>
    <w:rsid w:val="2D2B7942"/>
    <w:rsid w:val="2D46481D"/>
    <w:rsid w:val="2D8074A4"/>
    <w:rsid w:val="2E733B28"/>
    <w:rsid w:val="2EFE34CB"/>
    <w:rsid w:val="312B20E6"/>
    <w:rsid w:val="31852B5A"/>
    <w:rsid w:val="31AA6CFE"/>
    <w:rsid w:val="32056EC3"/>
    <w:rsid w:val="32875DD2"/>
    <w:rsid w:val="32D01238"/>
    <w:rsid w:val="347216C0"/>
    <w:rsid w:val="35850A6D"/>
    <w:rsid w:val="36C81CCA"/>
    <w:rsid w:val="3B800176"/>
    <w:rsid w:val="3DC13095"/>
    <w:rsid w:val="3DFC59A8"/>
    <w:rsid w:val="3ECF245E"/>
    <w:rsid w:val="3EF43696"/>
    <w:rsid w:val="3F795EA7"/>
    <w:rsid w:val="3FAE5F17"/>
    <w:rsid w:val="3FB96314"/>
    <w:rsid w:val="40220F57"/>
    <w:rsid w:val="420F0961"/>
    <w:rsid w:val="470D6FB7"/>
    <w:rsid w:val="48110BBF"/>
    <w:rsid w:val="489E20C5"/>
    <w:rsid w:val="48F87A10"/>
    <w:rsid w:val="49A05906"/>
    <w:rsid w:val="4A784A1B"/>
    <w:rsid w:val="4B00374A"/>
    <w:rsid w:val="4B027A0A"/>
    <w:rsid w:val="4BF43B8B"/>
    <w:rsid w:val="4CC80D87"/>
    <w:rsid w:val="4DDD7928"/>
    <w:rsid w:val="4F843FC0"/>
    <w:rsid w:val="4FE3218D"/>
    <w:rsid w:val="511A16B1"/>
    <w:rsid w:val="512E5829"/>
    <w:rsid w:val="5322753C"/>
    <w:rsid w:val="53A44FAF"/>
    <w:rsid w:val="53C456FB"/>
    <w:rsid w:val="53F809BC"/>
    <w:rsid w:val="54D33276"/>
    <w:rsid w:val="555520A1"/>
    <w:rsid w:val="55B35759"/>
    <w:rsid w:val="572125CA"/>
    <w:rsid w:val="58AE3991"/>
    <w:rsid w:val="594329EC"/>
    <w:rsid w:val="59EF7105"/>
    <w:rsid w:val="5B5A14BF"/>
    <w:rsid w:val="5BE20F79"/>
    <w:rsid w:val="5BEE1540"/>
    <w:rsid w:val="5C435730"/>
    <w:rsid w:val="5C846219"/>
    <w:rsid w:val="5DE61A5D"/>
    <w:rsid w:val="5FCB76C8"/>
    <w:rsid w:val="610E665F"/>
    <w:rsid w:val="6196678F"/>
    <w:rsid w:val="62097279"/>
    <w:rsid w:val="627A0E5A"/>
    <w:rsid w:val="63C04243"/>
    <w:rsid w:val="63EA457E"/>
    <w:rsid w:val="649C01C7"/>
    <w:rsid w:val="65B869FB"/>
    <w:rsid w:val="66265FE4"/>
    <w:rsid w:val="66FF7521"/>
    <w:rsid w:val="67303E61"/>
    <w:rsid w:val="679A1E57"/>
    <w:rsid w:val="69665D52"/>
    <w:rsid w:val="699A3F60"/>
    <w:rsid w:val="6C295289"/>
    <w:rsid w:val="6C475EDE"/>
    <w:rsid w:val="6CA2444C"/>
    <w:rsid w:val="6DD01BA5"/>
    <w:rsid w:val="714A788C"/>
    <w:rsid w:val="714B6BEA"/>
    <w:rsid w:val="72902E62"/>
    <w:rsid w:val="732753BA"/>
    <w:rsid w:val="73C61104"/>
    <w:rsid w:val="74563585"/>
    <w:rsid w:val="74D722F2"/>
    <w:rsid w:val="760A2225"/>
    <w:rsid w:val="769C1BD0"/>
    <w:rsid w:val="776452EA"/>
    <w:rsid w:val="790129E0"/>
    <w:rsid w:val="79502C82"/>
    <w:rsid w:val="7A0C06D2"/>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 w:type="paragraph" w:customStyle="1" w:styleId="33">
    <w:name w:val="[Normal]"/>
    <w:qFormat/>
    <w:uiPriority w:val="0"/>
    <w:rPr>
      <w:rFonts w:ascii="宋体" w:hAnsi="Times New Roman" w:eastAsia="宋体" w:cs="Times New Roman"/>
      <w:sz w:val="24"/>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4.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image" Target="media/image3.e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收入决算说明表</a:t>
            </a:r>
          </a:p>
        </c:rich>
      </c:tx>
      <c:layout>
        <c:manualLayout>
          <c:xMode val="edge"/>
          <c:yMode val="edge"/>
          <c:x val="0.416655607166556"/>
          <c:y val="0.0266607420573206"/>
        </c:manualLayout>
      </c:layout>
      <c:overlay val="0"/>
      <c:spPr>
        <a:noFill/>
        <a:ln>
          <a:noFill/>
        </a:ln>
        <a:effectLst/>
      </c:spPr>
    </c:title>
    <c:autoTitleDeleted val="0"/>
    <c:plotArea>
      <c:layout/>
      <c:pieChart>
        <c:varyColors val="1"/>
        <c:ser>
          <c:idx val="0"/>
          <c:order val="0"/>
          <c:tx>
            <c:strRef>
              <c:f>Sheet1!$B$1</c:f>
              <c:strCache>
                <c:ptCount val="1"/>
                <c:pt idx="0">
                  <c:v>收入合计</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财政拨款收入86.45%</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3921698739217"/>
                      <c:h val="0.121750722061764"/>
                    </c:manualLayout>
                  </c15:layout>
                </c:ext>
              </c:extLst>
            </c:dLbl>
            <c:dLbl>
              <c:idx val="1"/>
              <c:delete val="1"/>
            </c:dLbl>
            <c:dLbl>
              <c:idx val="2"/>
              <c:delete val="1"/>
            </c:dLbl>
            <c:dLbl>
              <c:idx val="3"/>
              <c:layout>
                <c:manualLayout>
                  <c:x val="0.0394495972812473"/>
                  <c:y val="0.14246781588543"/>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其他收入13.55%</a:t>
                    </a:r>
                  </a:p>
                </c:rich>
              </c:tx>
              <c:dLblPos val="bestFit"/>
              <c:showLegendKey val="0"/>
              <c:showVal val="1"/>
              <c:showCatName val="0"/>
              <c:showSerName val="0"/>
              <c:showPercent val="0"/>
              <c:showBubbleSize val="0"/>
              <c:extLst>
                <c:ext xmlns:c15="http://schemas.microsoft.com/office/drawing/2012/chart" uri="{CE6537A1-D6FC-4f65-9D91-7224C49458BB}">
                  <c15:layout>
                    <c:manualLayout>
                      <c:w val="0.121167883211679"/>
                      <c:h val="0.11064207953788"/>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0.00%</c:formatCode>
                <c:ptCount val="4"/>
                <c:pt idx="0">
                  <c:v>0.8645</c:v>
                </c:pt>
                <c:pt idx="1" c:formatCode="General">
                  <c:v>0</c:v>
                </c:pt>
                <c:pt idx="2" c:formatCode="General">
                  <c:v>0</c:v>
                </c:pt>
                <c:pt idx="3">
                  <c:v>0.1355</c:v>
                </c:pt>
              </c:numCache>
            </c:numRef>
          </c:val>
        </c:ser>
        <c:ser>
          <c:idx val="1"/>
          <c:order val="1"/>
          <c:tx>
            <c:strRef>
              <c:f>Sheet1!$C$1</c:f>
              <c:strCache>
                <c:ptCount val="1"/>
                <c:pt idx="0">
                  <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elete val="1"/>
          </c:dLbls>
          <c:cat>
            <c:strRef>
              <c:f>Sheet1!$A$2:$A$5</c:f>
              <c:strCache>
                <c:ptCount val="4"/>
                <c:pt idx="0">
                  <c:v>财政拨款收入</c:v>
                </c:pt>
                <c:pt idx="1">
                  <c:v>事业收入</c:v>
                </c:pt>
                <c:pt idx="2">
                  <c:v>经营收入</c:v>
                </c:pt>
                <c:pt idx="3">
                  <c:v>其他收入</c:v>
                </c:pt>
              </c:strCache>
            </c:strRef>
          </c:cat>
          <c:val>
            <c:numRef>
              <c:f>Sheet1!$C$2:$C$5</c:f>
              <c:numCache>
                <c:formatCode>General</c:formatCode>
                <c:ptCount val="4"/>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支出决算说明表</a:t>
            </a:r>
          </a:p>
        </c:rich>
      </c:tx>
      <c:layout/>
      <c:overlay val="0"/>
      <c:spPr>
        <a:noFill/>
        <a:ln>
          <a:noFill/>
        </a:ln>
        <a:effectLst/>
      </c:spPr>
    </c:title>
    <c:autoTitleDeleted val="0"/>
    <c:plotArea>
      <c:layout/>
      <c:pieChart>
        <c:varyColors val="1"/>
        <c:ser>
          <c:idx val="0"/>
          <c:order val="0"/>
          <c:tx>
            <c:strRef>
              <c:f>Sheet1!$B$1</c:f>
              <c:strCache>
                <c:ptCount val="1"/>
                <c:pt idx="0">
                  <c:v>支出合计</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基本支出74.90%</a:t>
                    </a:r>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项目支出25.10%</a:t>
                    </a:r>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pt idx="2">
                  <c:v>经营支出</c:v>
                </c:pt>
              </c:strCache>
            </c:strRef>
          </c:cat>
          <c:val>
            <c:numRef>
              <c:f>Sheet1!$B$2:$B$5</c:f>
              <c:numCache>
                <c:formatCode>0.00%</c:formatCode>
                <c:ptCount val="4"/>
                <c:pt idx="0">
                  <c:v>0.749</c:v>
                </c:pt>
                <c:pt idx="1">
                  <c:v>0.251</c:v>
                </c:pt>
                <c:pt idx="2" c:formatCode="General">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2479375"/>
          <c:y val="0.9395"/>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财政拨款收支与</a:t>
            </a:r>
            <a:r>
              <a:rPr lang="en-US" altLang="zh-CN"/>
              <a:t>17</a:t>
            </a:r>
            <a:r>
              <a:rPr altLang="en-US"/>
              <a:t>年</a:t>
            </a:r>
            <a:r>
              <a:t>决算对比表</a:t>
            </a:r>
          </a:p>
        </c:rich>
      </c:tx>
      <c:layout>
        <c:manualLayout>
          <c:xMode val="edge"/>
          <c:yMode val="edge"/>
          <c:x val="0.20975"/>
          <c:y val="0.0241666666666667"/>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Sheet1!$B$2:$B$5</c:f>
              <c:numCache>
                <c:formatCode>General</c:formatCode>
                <c:ptCount val="4"/>
                <c:pt idx="0">
                  <c:v>1125.54</c:v>
                </c:pt>
                <c:pt idx="1">
                  <c:v>1104.47</c:v>
                </c:pt>
              </c:numCache>
            </c:numRef>
          </c:val>
        </c:ser>
        <c:ser>
          <c:idx val="1"/>
          <c:order val="1"/>
          <c:tx>
            <c:strRef>
              <c:f>Sheet1!$C$1</c:f>
              <c:strCache>
                <c:ptCount val="1"/>
                <c:pt idx="0">
                  <c:v>2017年</c:v>
                </c:pt>
              </c:strCache>
            </c:strRef>
          </c:tx>
          <c:spPr>
            <a:solidFill>
              <a:schemeClr val="accent2">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Sheet1!$C$2:$C$5</c:f>
              <c:numCache>
                <c:formatCode>General</c:formatCode>
                <c:ptCount val="4"/>
                <c:pt idx="0">
                  <c:v>997.76</c:v>
                </c:pt>
                <c:pt idx="1">
                  <c:v>997.76</c:v>
                </c:pt>
              </c:numCache>
            </c:numRef>
          </c:val>
        </c:ser>
        <c:ser>
          <c:idx val="2"/>
          <c:order val="2"/>
          <c:tx>
            <c:strRef>
              <c:f>Sheet1!$D$1</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Sheet1!$A$2:$A$5</c:f>
              <c:strCache>
                <c:ptCount val="4"/>
                <c:pt idx="0">
                  <c:v>收入</c:v>
                </c:pt>
                <c:pt idx="1">
                  <c:v>支出</c:v>
                </c:pt>
              </c:strCache>
            </c:strRef>
          </c:cat>
          <c:val>
            <c:numRef>
              <c:f>Sheet1!$D$2:$D$5</c:f>
              <c:numCache>
                <c:formatCode>General</c:formatCode>
                <c:ptCount val="4"/>
              </c:numCache>
            </c:numRef>
          </c:val>
        </c:ser>
        <c:dLbls>
          <c:showLegendKey val="0"/>
          <c:showVal val="0"/>
          <c:showCatName val="0"/>
          <c:showSerName val="0"/>
          <c:showPercent val="0"/>
          <c:showBubbleSize val="0"/>
        </c:dLbls>
        <c:gapWidth val="219"/>
        <c:overlap val="-27"/>
        <c:axId val="163402069"/>
        <c:axId val="984387891"/>
      </c:barChart>
      <c:catAx>
        <c:axId val="16340206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84387891"/>
        <c:crosses val="autoZero"/>
        <c:auto val="1"/>
        <c:lblAlgn val="ctr"/>
        <c:lblOffset val="100"/>
        <c:noMultiLvlLbl val="0"/>
      </c:catAx>
      <c:valAx>
        <c:axId val="9843878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3402069"/>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财政拨款收支与年初预算对比情况</a:t>
            </a: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c:v>
                </c:pt>
              </c:strCache>
            </c:strRef>
          </c:tx>
          <c:spPr>
            <a:solidFill>
              <a:schemeClr val="accent1">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1125.54</c:v>
                </c:pt>
                <c:pt idx="1">
                  <c:v>1104.47</c:v>
                </c:pt>
              </c:numCache>
            </c:numRef>
          </c:val>
        </c:ser>
        <c:ser>
          <c:idx val="1"/>
          <c:order val="1"/>
          <c:tx>
            <c:strRef>
              <c:f>Sheet1!$C$1</c:f>
              <c:strCache>
                <c:ptCount val="1"/>
                <c:pt idx="0">
                  <c:v>2017年</c:v>
                </c:pt>
              </c:strCache>
            </c:strRef>
          </c:tx>
          <c:spPr>
            <a:solidFill>
              <a:schemeClr val="accent2">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618.22</c:v>
                </c:pt>
                <c:pt idx="1">
                  <c:v>574.72</c:v>
                </c:pt>
              </c:numCache>
            </c:numRef>
          </c:val>
        </c:ser>
        <c:ser>
          <c:idx val="2"/>
          <c:order val="2"/>
          <c:tx>
            <c:strRef>
              <c:f>Sheet1!#REF!</c:f>
              <c:strCache>
                <c:ptCount val="1"/>
                <c:pt idx="0">
                  <c:v/>
                </c:pt>
              </c:strCache>
            </c:strRef>
          </c:tx>
          <c:spPr>
            <a:solidFill>
              <a:schemeClr val="accent3">
                <a:tint val="100000"/>
                <a:shade val="100000"/>
                <a:hueMod val="100000"/>
                <a:satMod val="100000"/>
              </a:schemeClr>
            </a:solidFill>
            <a:ln>
              <a:noFill/>
            </a:ln>
            <a:effectLst/>
          </c:spPr>
          <c:invertIfNegative val="0"/>
          <c:dLbls>
            <c:delete val="1"/>
          </c:dLbls>
          <c:cat>
            <c:strRef>
              <c:f>Sheet1!$A$2:$A$3</c:f>
              <c:strCache>
                <c:ptCount val="2"/>
                <c:pt idx="0">
                  <c:v>收入</c:v>
                </c:pt>
                <c:pt idx="1">
                  <c:v>支出</c:v>
                </c:pt>
              </c:strCache>
            </c:strRef>
          </c:cat>
          <c:val>
            <c:numRef>
              <c:f>Sheet1!#REF!</c:f>
              <c:numCache>
                <c:formatCode>General</c:formatCode>
                <c:ptCount val="1"/>
                <c:pt idx="0">
                  <c:v>1</c:v>
                </c:pt>
              </c:numCache>
            </c:numRef>
          </c:val>
        </c:ser>
        <c:dLbls>
          <c:showLegendKey val="0"/>
          <c:showVal val="0"/>
          <c:showCatName val="0"/>
          <c:showSerName val="0"/>
          <c:showPercent val="0"/>
          <c:showBubbleSize val="0"/>
        </c:dLbls>
        <c:gapWidth val="219"/>
        <c:overlap val="-27"/>
        <c:axId val="621525355"/>
        <c:axId val="810621144"/>
      </c:barChart>
      <c:catAx>
        <c:axId val="62152535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0621144"/>
        <c:crosses val="autoZero"/>
        <c:auto val="1"/>
        <c:lblAlgn val="ctr"/>
        <c:lblOffset val="100"/>
        <c:noMultiLvlLbl val="0"/>
      </c:catAx>
      <c:valAx>
        <c:axId val="810621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2152535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Pt>
            <c:idx val="4"/>
            <c:bubble3D val="0"/>
            <c:spPr>
              <a:solidFill>
                <a:schemeClr val="accent5">
                  <a:tint val="100000"/>
                  <a:shade val="100000"/>
                  <a:hueMod val="100000"/>
                  <a:satMod val="100000"/>
                </a:schemeClr>
              </a:solidFill>
              <a:ln w="19050">
                <a:solidFill>
                  <a:schemeClr val="lt1"/>
                </a:solidFill>
              </a:ln>
              <a:effectLst/>
            </c:spPr>
          </c:dPt>
          <c:dPt>
            <c:idx val="5"/>
            <c:bubble3D val="0"/>
            <c:spPr>
              <a:solidFill>
                <a:schemeClr val="accent6">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一般公共服务支出</c:v>
                </c:pt>
                <c:pt idx="1">
                  <c:v>文化和体育支出</c:v>
                </c:pt>
                <c:pt idx="2">
                  <c:v>社会保障和就业支出</c:v>
                </c:pt>
                <c:pt idx="3">
                  <c:v>医疗卫生和计划生育支出</c:v>
                </c:pt>
                <c:pt idx="4">
                  <c:v>城乡社区支出</c:v>
                </c:pt>
                <c:pt idx="5">
                  <c:v>农林水支出</c:v>
                </c:pt>
              </c:strCache>
            </c:strRef>
          </c:cat>
          <c:val>
            <c:numRef>
              <c:f>Sheet1!$B$2:$B$7</c:f>
              <c:numCache>
                <c:formatCode>0.00%</c:formatCode>
                <c:ptCount val="6"/>
                <c:pt idx="0">
                  <c:v>0.7678</c:v>
                </c:pt>
                <c:pt idx="1">
                  <c:v>0.0047</c:v>
                </c:pt>
                <c:pt idx="2">
                  <c:v>0.0216</c:v>
                </c:pt>
                <c:pt idx="3">
                  <c:v>0.0363</c:v>
                </c:pt>
                <c:pt idx="4">
                  <c:v>0.0878</c:v>
                </c:pt>
                <c:pt idx="5">
                  <c:v>0.0817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5E7BDE-DE8D-4B1F-9303-30D3BA4219C7}">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1691</Words>
  <Characters>9643</Characters>
  <Lines>80</Lines>
  <Paragraphs>22</Paragraphs>
  <TotalTime>4</TotalTime>
  <ScaleCrop>false</ScaleCrop>
  <LinksUpToDate>false</LinksUpToDate>
  <CharactersWithSpaces>11312</CharactersWithSpaces>
  <Application>WPS Office_12.1.0.15398_F1E327BC-269C-435d-A152-05C5408002CA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2023-09-14T01:59:28Z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2052-12.1.0.15398</vt:lpwstr>
  </property>
  <property fmtid="{D5CDD505-2E9C-101B-9397-08002B2CF9AE}" pid="3" name="ICV">
    <vt:lpwstr>E22BD71293374D8395EA97903F086E39_13</vt:lpwstr>
  </property>
</Properties>
</file>