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jc w:val="center"/>
      </w:pP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一、石家庄市鹿泉区人民政府办公室本级收支预算</w:t>
      </w:r>
      <w:r>
        <w:tab/>
      </w:r>
      <w:r>
        <w:rPr>
          <w:rFonts w:hint="eastAsia"/>
          <w:lang w:val="en-US" w:eastAsia="zh-CN"/>
        </w:rPr>
        <w:t>2</w:t>
      </w:r>
      <w:r>
        <w:fldChar w:fldCharType="end"/>
      </w:r>
    </w:p>
    <w:p>
      <w:pPr>
        <w:sectPr>
          <w:headerReference r:id="rId3" w:type="default"/>
          <w:footerReference r:id="rId4" w:type="default"/>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19"/>
      <w:r>
        <w:rPr>
          <w:rFonts w:ascii="方正小标宋_GBK" w:hAnsi="方正小标宋_GBK" w:eastAsia="方正小标宋_GBK" w:cs="方正小标宋_GBK"/>
          <w:color w:val="000000"/>
          <w:sz w:val="44"/>
        </w:rPr>
        <w:t>一、石家庄市鹿泉区人民政府办公室本级收支预算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301001石家庄市鹿泉区人民政府办公室本级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1416.46</w:t>
            </w:r>
          </w:p>
        </w:tc>
        <w:tc>
          <w:tcPr>
            <w:tcW w:w="4535" w:type="dxa"/>
            <w:vAlign w:val="center"/>
          </w:tcPr>
          <w:p>
            <w:pPr>
              <w:pStyle w:val="12"/>
            </w:pPr>
            <w:r>
              <w:t>一、一般公共服务支出</w:t>
            </w:r>
          </w:p>
        </w:tc>
        <w:tc>
          <w:tcPr>
            <w:tcW w:w="2126" w:type="dxa"/>
            <w:vAlign w:val="center"/>
          </w:tcPr>
          <w:p>
            <w:pPr>
              <w:pStyle w:val="11"/>
            </w:pPr>
            <w:r>
              <w:t>1135.57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1416.46</w:t>
            </w:r>
          </w:p>
        </w:tc>
        <w:tc>
          <w:tcPr>
            <w:tcW w:w="4535" w:type="dxa"/>
            <w:vAlign w:val="center"/>
          </w:tcPr>
          <w:p>
            <w:pPr>
              <w:pStyle w:val="14"/>
            </w:pPr>
            <w:r>
              <w:t>本年支出合计</w:t>
            </w:r>
          </w:p>
        </w:tc>
        <w:tc>
          <w:tcPr>
            <w:tcW w:w="2126" w:type="dxa"/>
            <w:vAlign w:val="center"/>
          </w:tcPr>
          <w:p>
            <w:pPr>
              <w:pStyle w:val="15"/>
            </w:pPr>
            <w:r>
              <w:t>1416.46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1416.46</w:t>
            </w:r>
          </w:p>
        </w:tc>
        <w:tc>
          <w:tcPr>
            <w:tcW w:w="4535" w:type="dxa"/>
            <w:vAlign w:val="center"/>
          </w:tcPr>
          <w:p>
            <w:pPr>
              <w:pStyle w:val="14"/>
            </w:pPr>
            <w:r>
              <w:t>支出总计</w:t>
            </w:r>
          </w:p>
        </w:tc>
        <w:tc>
          <w:tcPr>
            <w:tcW w:w="2126" w:type="dxa"/>
            <w:vAlign w:val="center"/>
          </w:tcPr>
          <w:p>
            <w:pPr>
              <w:pStyle w:val="15"/>
            </w:pPr>
            <w:r>
              <w:t>1416.46</w:t>
            </w:r>
          </w:p>
        </w:tc>
      </w:tr>
    </w:tbl>
    <w:p>
      <w:pPr>
        <w:sectPr>
          <w:footerReference r:id="rId5" w:type="default"/>
          <w:footerReference r:id="rId6"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301001石家庄市鹿泉区人民政府办公室本级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1416.46</w:t>
            </w:r>
          </w:p>
        </w:tc>
        <w:tc>
          <w:tcPr>
            <w:tcW w:w="1134" w:type="dxa"/>
            <w:vAlign w:val="center"/>
          </w:tcPr>
          <w:p>
            <w:pPr>
              <w:pStyle w:val="15"/>
            </w:pPr>
            <w:r>
              <w:t>1416.46</w:t>
            </w:r>
          </w:p>
        </w:tc>
        <w:tc>
          <w:tcPr>
            <w:tcW w:w="1134" w:type="dxa"/>
            <w:vAlign w:val="center"/>
          </w:tcPr>
          <w:p>
            <w:pPr>
              <w:pStyle w:val="15"/>
            </w:pPr>
            <w:r>
              <w:t>1416.46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1135.57</w:t>
            </w:r>
          </w:p>
        </w:tc>
        <w:tc>
          <w:tcPr>
            <w:tcW w:w="1134" w:type="dxa"/>
            <w:vAlign w:val="center"/>
          </w:tcPr>
          <w:p>
            <w:pPr>
              <w:pStyle w:val="11"/>
            </w:pPr>
            <w:r>
              <w:t>1135.57</w:t>
            </w:r>
          </w:p>
        </w:tc>
        <w:tc>
          <w:tcPr>
            <w:tcW w:w="1134" w:type="dxa"/>
            <w:vAlign w:val="center"/>
          </w:tcPr>
          <w:p>
            <w:pPr>
              <w:pStyle w:val="11"/>
            </w:pPr>
            <w:r>
              <w:t>1135.57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1135.57</w:t>
            </w:r>
          </w:p>
        </w:tc>
        <w:tc>
          <w:tcPr>
            <w:tcW w:w="1134" w:type="dxa"/>
            <w:vAlign w:val="center"/>
          </w:tcPr>
          <w:p>
            <w:pPr>
              <w:pStyle w:val="11"/>
            </w:pPr>
            <w:r>
              <w:t>1135.57</w:t>
            </w:r>
          </w:p>
        </w:tc>
        <w:tc>
          <w:tcPr>
            <w:tcW w:w="1134" w:type="dxa"/>
            <w:vAlign w:val="center"/>
          </w:tcPr>
          <w:p>
            <w:pPr>
              <w:pStyle w:val="11"/>
            </w:pPr>
            <w:r>
              <w:t>1135.57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714.07</w:t>
            </w:r>
          </w:p>
        </w:tc>
        <w:tc>
          <w:tcPr>
            <w:tcW w:w="1134" w:type="dxa"/>
            <w:vAlign w:val="center"/>
          </w:tcPr>
          <w:p>
            <w:pPr>
              <w:pStyle w:val="11"/>
            </w:pPr>
            <w:r>
              <w:t>714.07</w:t>
            </w:r>
          </w:p>
        </w:tc>
        <w:tc>
          <w:tcPr>
            <w:tcW w:w="1134" w:type="dxa"/>
            <w:vAlign w:val="center"/>
          </w:tcPr>
          <w:p>
            <w:pPr>
              <w:pStyle w:val="11"/>
            </w:pPr>
            <w:r>
              <w:t>714.07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411.50</w:t>
            </w:r>
          </w:p>
        </w:tc>
        <w:tc>
          <w:tcPr>
            <w:tcW w:w="1134" w:type="dxa"/>
            <w:vAlign w:val="center"/>
          </w:tcPr>
          <w:p>
            <w:pPr>
              <w:pStyle w:val="11"/>
            </w:pPr>
            <w:r>
              <w:t>411.50</w:t>
            </w:r>
          </w:p>
        </w:tc>
        <w:tc>
          <w:tcPr>
            <w:tcW w:w="1134" w:type="dxa"/>
            <w:vAlign w:val="center"/>
          </w:tcPr>
          <w:p>
            <w:pPr>
              <w:pStyle w:val="11"/>
            </w:pPr>
            <w:r>
              <w:t>411.50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2010399</w:t>
            </w:r>
          </w:p>
        </w:tc>
        <w:tc>
          <w:tcPr>
            <w:tcW w:w="1559" w:type="dxa"/>
            <w:vAlign w:val="center"/>
          </w:tcPr>
          <w:p>
            <w:pPr>
              <w:pStyle w:val="12"/>
            </w:pPr>
            <w:r>
              <w:t>其他政府办公厅（室）及相关机构事务支出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141.91</w:t>
            </w:r>
          </w:p>
        </w:tc>
        <w:tc>
          <w:tcPr>
            <w:tcW w:w="1134" w:type="dxa"/>
            <w:vAlign w:val="center"/>
          </w:tcPr>
          <w:p>
            <w:pPr>
              <w:pStyle w:val="11"/>
            </w:pPr>
            <w:r>
              <w:t>141.91</w:t>
            </w:r>
          </w:p>
        </w:tc>
        <w:tc>
          <w:tcPr>
            <w:tcW w:w="1134" w:type="dxa"/>
            <w:vAlign w:val="center"/>
          </w:tcPr>
          <w:p>
            <w:pPr>
              <w:pStyle w:val="11"/>
            </w:pPr>
            <w:r>
              <w:t>141.91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141.91</w:t>
            </w:r>
          </w:p>
        </w:tc>
        <w:tc>
          <w:tcPr>
            <w:tcW w:w="1134" w:type="dxa"/>
            <w:vAlign w:val="center"/>
          </w:tcPr>
          <w:p>
            <w:pPr>
              <w:pStyle w:val="11"/>
            </w:pPr>
            <w:r>
              <w:t>141.91</w:t>
            </w:r>
          </w:p>
        </w:tc>
        <w:tc>
          <w:tcPr>
            <w:tcW w:w="1134" w:type="dxa"/>
            <w:vAlign w:val="center"/>
          </w:tcPr>
          <w:p>
            <w:pPr>
              <w:pStyle w:val="11"/>
            </w:pPr>
            <w:r>
              <w:t>141.91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71.30</w:t>
            </w:r>
          </w:p>
        </w:tc>
        <w:tc>
          <w:tcPr>
            <w:tcW w:w="1134" w:type="dxa"/>
            <w:vAlign w:val="center"/>
          </w:tcPr>
          <w:p>
            <w:pPr>
              <w:pStyle w:val="11"/>
            </w:pPr>
            <w:r>
              <w:t>71.30</w:t>
            </w:r>
          </w:p>
        </w:tc>
        <w:tc>
          <w:tcPr>
            <w:tcW w:w="1134" w:type="dxa"/>
            <w:vAlign w:val="center"/>
          </w:tcPr>
          <w:p>
            <w:pPr>
              <w:pStyle w:val="11"/>
            </w:pPr>
            <w:r>
              <w:t>71.30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70.61</w:t>
            </w:r>
          </w:p>
        </w:tc>
        <w:tc>
          <w:tcPr>
            <w:tcW w:w="1134" w:type="dxa"/>
            <w:vAlign w:val="center"/>
          </w:tcPr>
          <w:p>
            <w:pPr>
              <w:pStyle w:val="11"/>
            </w:pPr>
            <w:r>
              <w:t>70.61</w:t>
            </w:r>
          </w:p>
        </w:tc>
        <w:tc>
          <w:tcPr>
            <w:tcW w:w="1134" w:type="dxa"/>
            <w:vAlign w:val="center"/>
          </w:tcPr>
          <w:p>
            <w:pPr>
              <w:pStyle w:val="11"/>
            </w:pPr>
            <w:r>
              <w:t>70.61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51.52</w:t>
            </w:r>
          </w:p>
        </w:tc>
        <w:tc>
          <w:tcPr>
            <w:tcW w:w="1134" w:type="dxa"/>
            <w:vAlign w:val="center"/>
          </w:tcPr>
          <w:p>
            <w:pPr>
              <w:pStyle w:val="11"/>
            </w:pPr>
            <w:r>
              <w:t>51.52</w:t>
            </w:r>
          </w:p>
        </w:tc>
        <w:tc>
          <w:tcPr>
            <w:tcW w:w="1134" w:type="dxa"/>
            <w:vAlign w:val="center"/>
          </w:tcPr>
          <w:p>
            <w:pPr>
              <w:pStyle w:val="11"/>
            </w:pPr>
            <w:r>
              <w:t>51.52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51.52</w:t>
            </w:r>
          </w:p>
        </w:tc>
        <w:tc>
          <w:tcPr>
            <w:tcW w:w="1134" w:type="dxa"/>
            <w:vAlign w:val="center"/>
          </w:tcPr>
          <w:p>
            <w:pPr>
              <w:pStyle w:val="11"/>
            </w:pPr>
            <w:r>
              <w:t>51.52</w:t>
            </w:r>
          </w:p>
        </w:tc>
        <w:tc>
          <w:tcPr>
            <w:tcW w:w="1134" w:type="dxa"/>
            <w:vAlign w:val="center"/>
          </w:tcPr>
          <w:p>
            <w:pPr>
              <w:pStyle w:val="11"/>
            </w:pPr>
            <w:r>
              <w:t>51.52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51.52</w:t>
            </w:r>
          </w:p>
        </w:tc>
        <w:tc>
          <w:tcPr>
            <w:tcW w:w="1134" w:type="dxa"/>
            <w:vAlign w:val="center"/>
          </w:tcPr>
          <w:p>
            <w:pPr>
              <w:pStyle w:val="11"/>
            </w:pPr>
            <w:r>
              <w:t>51.52</w:t>
            </w:r>
          </w:p>
        </w:tc>
        <w:tc>
          <w:tcPr>
            <w:tcW w:w="1134" w:type="dxa"/>
            <w:vAlign w:val="center"/>
          </w:tcPr>
          <w:p>
            <w:pPr>
              <w:pStyle w:val="11"/>
            </w:pPr>
            <w:r>
              <w:t>51.52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69.46</w:t>
            </w:r>
          </w:p>
        </w:tc>
        <w:tc>
          <w:tcPr>
            <w:tcW w:w="1134" w:type="dxa"/>
            <w:vAlign w:val="center"/>
          </w:tcPr>
          <w:p>
            <w:pPr>
              <w:pStyle w:val="11"/>
            </w:pPr>
            <w:r>
              <w:t>69.46</w:t>
            </w:r>
          </w:p>
        </w:tc>
        <w:tc>
          <w:tcPr>
            <w:tcW w:w="1134" w:type="dxa"/>
            <w:vAlign w:val="center"/>
          </w:tcPr>
          <w:p>
            <w:pPr>
              <w:pStyle w:val="11"/>
            </w:pPr>
            <w:r>
              <w:t>69.46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69.46</w:t>
            </w:r>
          </w:p>
        </w:tc>
        <w:tc>
          <w:tcPr>
            <w:tcW w:w="1134" w:type="dxa"/>
            <w:vAlign w:val="center"/>
          </w:tcPr>
          <w:p>
            <w:pPr>
              <w:pStyle w:val="11"/>
            </w:pPr>
            <w:r>
              <w:t>69.46</w:t>
            </w:r>
          </w:p>
        </w:tc>
        <w:tc>
          <w:tcPr>
            <w:tcW w:w="1134" w:type="dxa"/>
            <w:vAlign w:val="center"/>
          </w:tcPr>
          <w:p>
            <w:pPr>
              <w:pStyle w:val="11"/>
            </w:pPr>
            <w:r>
              <w:t>69.46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69.46</w:t>
            </w:r>
          </w:p>
        </w:tc>
        <w:tc>
          <w:tcPr>
            <w:tcW w:w="1134" w:type="dxa"/>
            <w:vAlign w:val="center"/>
          </w:tcPr>
          <w:p>
            <w:pPr>
              <w:pStyle w:val="11"/>
            </w:pPr>
            <w:r>
              <w:t>69.46</w:t>
            </w:r>
          </w:p>
        </w:tc>
        <w:tc>
          <w:tcPr>
            <w:tcW w:w="1134" w:type="dxa"/>
            <w:vAlign w:val="center"/>
          </w:tcPr>
          <w:p>
            <w:pPr>
              <w:pStyle w:val="11"/>
            </w:pPr>
            <w:r>
              <w:t>69.46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301001石家庄市鹿泉区人民政府办公室本级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1416.46</w:t>
            </w:r>
          </w:p>
        </w:tc>
        <w:tc>
          <w:tcPr>
            <w:tcW w:w="1361" w:type="dxa"/>
            <w:vAlign w:val="center"/>
          </w:tcPr>
          <w:p>
            <w:pPr>
              <w:pStyle w:val="15"/>
            </w:pPr>
            <w:r>
              <w:t>976.96</w:t>
            </w:r>
          </w:p>
        </w:tc>
        <w:tc>
          <w:tcPr>
            <w:tcW w:w="1361" w:type="dxa"/>
            <w:vAlign w:val="center"/>
          </w:tcPr>
          <w:p>
            <w:pPr>
              <w:pStyle w:val="15"/>
            </w:pPr>
            <w:r>
              <w:t>439.50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6" w:type="dxa"/>
            <w:vAlign w:val="center"/>
          </w:tcPr>
          <w:p>
            <w:pPr>
              <w:pStyle w:val="12"/>
            </w:pPr>
            <w:r>
              <w:t>一般公共服务支出</w:t>
            </w:r>
          </w:p>
        </w:tc>
        <w:tc>
          <w:tcPr>
            <w:tcW w:w="1361" w:type="dxa"/>
            <w:vAlign w:val="center"/>
          </w:tcPr>
          <w:p>
            <w:pPr>
              <w:pStyle w:val="11"/>
            </w:pPr>
            <w:r>
              <w:t>1135.57</w:t>
            </w:r>
          </w:p>
        </w:tc>
        <w:tc>
          <w:tcPr>
            <w:tcW w:w="1361" w:type="dxa"/>
            <w:vAlign w:val="center"/>
          </w:tcPr>
          <w:p>
            <w:pPr>
              <w:pStyle w:val="11"/>
            </w:pPr>
            <w:r>
              <w:t>714.07</w:t>
            </w:r>
          </w:p>
        </w:tc>
        <w:tc>
          <w:tcPr>
            <w:tcW w:w="1361" w:type="dxa"/>
            <w:vAlign w:val="center"/>
          </w:tcPr>
          <w:p>
            <w:pPr>
              <w:pStyle w:val="11"/>
            </w:pPr>
            <w:r>
              <w:t>421.50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6" w:type="dxa"/>
            <w:vAlign w:val="center"/>
          </w:tcPr>
          <w:p>
            <w:pPr>
              <w:pStyle w:val="12"/>
            </w:pPr>
            <w:r>
              <w:t>政府办公厅（室）及相关机构事务</w:t>
            </w:r>
          </w:p>
        </w:tc>
        <w:tc>
          <w:tcPr>
            <w:tcW w:w="1361" w:type="dxa"/>
            <w:vAlign w:val="center"/>
          </w:tcPr>
          <w:p>
            <w:pPr>
              <w:pStyle w:val="11"/>
            </w:pPr>
            <w:r>
              <w:t>1135.57</w:t>
            </w:r>
          </w:p>
        </w:tc>
        <w:tc>
          <w:tcPr>
            <w:tcW w:w="1361" w:type="dxa"/>
            <w:vAlign w:val="center"/>
          </w:tcPr>
          <w:p>
            <w:pPr>
              <w:pStyle w:val="11"/>
            </w:pPr>
            <w:r>
              <w:t>714.07</w:t>
            </w:r>
          </w:p>
        </w:tc>
        <w:tc>
          <w:tcPr>
            <w:tcW w:w="1361" w:type="dxa"/>
            <w:vAlign w:val="center"/>
          </w:tcPr>
          <w:p>
            <w:pPr>
              <w:pStyle w:val="11"/>
            </w:pPr>
            <w:r>
              <w:t>421.50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6" w:type="dxa"/>
            <w:vAlign w:val="center"/>
          </w:tcPr>
          <w:p>
            <w:pPr>
              <w:pStyle w:val="12"/>
            </w:pPr>
            <w:r>
              <w:t>行政运行</w:t>
            </w:r>
          </w:p>
        </w:tc>
        <w:tc>
          <w:tcPr>
            <w:tcW w:w="1361" w:type="dxa"/>
            <w:vAlign w:val="center"/>
          </w:tcPr>
          <w:p>
            <w:pPr>
              <w:pStyle w:val="11"/>
            </w:pPr>
            <w:r>
              <w:t>714.07</w:t>
            </w:r>
          </w:p>
        </w:tc>
        <w:tc>
          <w:tcPr>
            <w:tcW w:w="1361" w:type="dxa"/>
            <w:vAlign w:val="center"/>
          </w:tcPr>
          <w:p>
            <w:pPr>
              <w:pStyle w:val="11"/>
            </w:pPr>
            <w:r>
              <w:t>714.07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6" w:type="dxa"/>
            <w:vAlign w:val="center"/>
          </w:tcPr>
          <w:p>
            <w:pPr>
              <w:pStyle w:val="12"/>
            </w:pPr>
            <w:r>
              <w:t>一般行政管理事务</w:t>
            </w:r>
          </w:p>
        </w:tc>
        <w:tc>
          <w:tcPr>
            <w:tcW w:w="1361" w:type="dxa"/>
            <w:vAlign w:val="center"/>
          </w:tcPr>
          <w:p>
            <w:pPr>
              <w:pStyle w:val="11"/>
            </w:pPr>
            <w:r>
              <w:t>411.50</w:t>
            </w:r>
          </w:p>
        </w:tc>
        <w:tc>
          <w:tcPr>
            <w:tcW w:w="1361" w:type="dxa"/>
            <w:vAlign w:val="center"/>
          </w:tcPr>
          <w:p>
            <w:pPr>
              <w:pStyle w:val="11"/>
            </w:pPr>
          </w:p>
        </w:tc>
        <w:tc>
          <w:tcPr>
            <w:tcW w:w="1361" w:type="dxa"/>
            <w:vAlign w:val="center"/>
          </w:tcPr>
          <w:p>
            <w:pPr>
              <w:pStyle w:val="11"/>
            </w:pPr>
            <w:r>
              <w:t>411.50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2010399</w:t>
            </w:r>
          </w:p>
        </w:tc>
        <w:tc>
          <w:tcPr>
            <w:tcW w:w="4536" w:type="dxa"/>
            <w:vAlign w:val="center"/>
          </w:tcPr>
          <w:p>
            <w:pPr>
              <w:pStyle w:val="12"/>
            </w:pPr>
            <w:r>
              <w:t>其他政府办公厅（室）及相关机构事务支出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141.91</w:t>
            </w:r>
          </w:p>
        </w:tc>
        <w:tc>
          <w:tcPr>
            <w:tcW w:w="1361" w:type="dxa"/>
            <w:vAlign w:val="center"/>
          </w:tcPr>
          <w:p>
            <w:pPr>
              <w:pStyle w:val="11"/>
            </w:pPr>
            <w:r>
              <w:t>141.91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141.91</w:t>
            </w:r>
          </w:p>
        </w:tc>
        <w:tc>
          <w:tcPr>
            <w:tcW w:w="1361" w:type="dxa"/>
            <w:vAlign w:val="center"/>
          </w:tcPr>
          <w:p>
            <w:pPr>
              <w:pStyle w:val="11"/>
            </w:pPr>
            <w:r>
              <w:t>141.91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6" w:type="dxa"/>
            <w:vAlign w:val="center"/>
          </w:tcPr>
          <w:p>
            <w:pPr>
              <w:pStyle w:val="12"/>
            </w:pPr>
            <w:r>
              <w:t>行政单位离退休</w:t>
            </w:r>
          </w:p>
        </w:tc>
        <w:tc>
          <w:tcPr>
            <w:tcW w:w="1361" w:type="dxa"/>
            <w:vAlign w:val="center"/>
          </w:tcPr>
          <w:p>
            <w:pPr>
              <w:pStyle w:val="11"/>
            </w:pPr>
            <w:r>
              <w:t>71.30</w:t>
            </w:r>
          </w:p>
        </w:tc>
        <w:tc>
          <w:tcPr>
            <w:tcW w:w="1361" w:type="dxa"/>
            <w:vAlign w:val="center"/>
          </w:tcPr>
          <w:p>
            <w:pPr>
              <w:pStyle w:val="11"/>
            </w:pPr>
            <w:r>
              <w:t>71.30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70.61</w:t>
            </w:r>
          </w:p>
        </w:tc>
        <w:tc>
          <w:tcPr>
            <w:tcW w:w="1361" w:type="dxa"/>
            <w:vAlign w:val="center"/>
          </w:tcPr>
          <w:p>
            <w:pPr>
              <w:pStyle w:val="11"/>
            </w:pPr>
            <w:r>
              <w:t>70.61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51.52</w:t>
            </w:r>
          </w:p>
        </w:tc>
        <w:tc>
          <w:tcPr>
            <w:tcW w:w="1361" w:type="dxa"/>
            <w:vAlign w:val="center"/>
          </w:tcPr>
          <w:p>
            <w:pPr>
              <w:pStyle w:val="11"/>
            </w:pPr>
            <w:r>
              <w:t>51.52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51.52</w:t>
            </w:r>
          </w:p>
        </w:tc>
        <w:tc>
          <w:tcPr>
            <w:tcW w:w="1361" w:type="dxa"/>
            <w:vAlign w:val="center"/>
          </w:tcPr>
          <w:p>
            <w:pPr>
              <w:pStyle w:val="11"/>
            </w:pPr>
            <w:r>
              <w:t>51.52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51.52</w:t>
            </w:r>
          </w:p>
        </w:tc>
        <w:tc>
          <w:tcPr>
            <w:tcW w:w="1361" w:type="dxa"/>
            <w:vAlign w:val="center"/>
          </w:tcPr>
          <w:p>
            <w:pPr>
              <w:pStyle w:val="11"/>
            </w:pPr>
            <w:r>
              <w:t>51.52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211</w:t>
            </w:r>
          </w:p>
        </w:tc>
        <w:tc>
          <w:tcPr>
            <w:tcW w:w="4536" w:type="dxa"/>
            <w:vAlign w:val="center"/>
          </w:tcPr>
          <w:p>
            <w:pPr>
              <w:pStyle w:val="12"/>
            </w:pPr>
            <w:r>
              <w:t>节能环保支出</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21103</w:t>
            </w:r>
          </w:p>
        </w:tc>
        <w:tc>
          <w:tcPr>
            <w:tcW w:w="4536" w:type="dxa"/>
            <w:vAlign w:val="center"/>
          </w:tcPr>
          <w:p>
            <w:pPr>
              <w:pStyle w:val="12"/>
            </w:pPr>
            <w:r>
              <w:t>污染防治</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2110301</w:t>
            </w:r>
          </w:p>
        </w:tc>
        <w:tc>
          <w:tcPr>
            <w:tcW w:w="4536" w:type="dxa"/>
            <w:vAlign w:val="center"/>
          </w:tcPr>
          <w:p>
            <w:pPr>
              <w:pStyle w:val="12"/>
            </w:pPr>
            <w:r>
              <w:t>大气</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69.46</w:t>
            </w:r>
          </w:p>
        </w:tc>
        <w:tc>
          <w:tcPr>
            <w:tcW w:w="1361" w:type="dxa"/>
            <w:vAlign w:val="center"/>
          </w:tcPr>
          <w:p>
            <w:pPr>
              <w:pStyle w:val="11"/>
            </w:pPr>
            <w:r>
              <w:t>69.46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69.46</w:t>
            </w:r>
          </w:p>
        </w:tc>
        <w:tc>
          <w:tcPr>
            <w:tcW w:w="1361" w:type="dxa"/>
            <w:vAlign w:val="center"/>
          </w:tcPr>
          <w:p>
            <w:pPr>
              <w:pStyle w:val="11"/>
            </w:pPr>
            <w:r>
              <w:t>69.46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69.46</w:t>
            </w:r>
          </w:p>
        </w:tc>
        <w:tc>
          <w:tcPr>
            <w:tcW w:w="1361" w:type="dxa"/>
            <w:vAlign w:val="center"/>
          </w:tcPr>
          <w:p>
            <w:pPr>
              <w:pStyle w:val="11"/>
            </w:pPr>
            <w:r>
              <w:t>69.46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301001石家庄市鹿泉区人民政府办公室本级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1416.46</w:t>
            </w:r>
          </w:p>
        </w:tc>
        <w:tc>
          <w:tcPr>
            <w:tcW w:w="3402" w:type="dxa"/>
            <w:vAlign w:val="center"/>
          </w:tcPr>
          <w:p>
            <w:pPr>
              <w:pStyle w:val="12"/>
            </w:pPr>
            <w:r>
              <w:t>一、一般公共服务支出</w:t>
            </w:r>
          </w:p>
        </w:tc>
        <w:tc>
          <w:tcPr>
            <w:tcW w:w="1474" w:type="dxa"/>
            <w:vAlign w:val="center"/>
          </w:tcPr>
          <w:p>
            <w:pPr>
              <w:pStyle w:val="11"/>
            </w:pPr>
            <w:r>
              <w:t>1135.57</w:t>
            </w:r>
          </w:p>
        </w:tc>
        <w:tc>
          <w:tcPr>
            <w:tcW w:w="1474" w:type="dxa"/>
            <w:vAlign w:val="center"/>
          </w:tcPr>
          <w:p>
            <w:pPr>
              <w:pStyle w:val="11"/>
            </w:pPr>
            <w:r>
              <w:t>1135.57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141.91</w:t>
            </w:r>
          </w:p>
        </w:tc>
        <w:tc>
          <w:tcPr>
            <w:tcW w:w="1474" w:type="dxa"/>
            <w:vAlign w:val="center"/>
          </w:tcPr>
          <w:p>
            <w:pPr>
              <w:pStyle w:val="11"/>
            </w:pPr>
            <w:r>
              <w:t>141.91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51.52</w:t>
            </w:r>
          </w:p>
        </w:tc>
        <w:tc>
          <w:tcPr>
            <w:tcW w:w="1474" w:type="dxa"/>
            <w:vAlign w:val="center"/>
          </w:tcPr>
          <w:p>
            <w:pPr>
              <w:pStyle w:val="11"/>
            </w:pPr>
            <w:r>
              <w:t>51.52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18.00</w:t>
            </w:r>
          </w:p>
        </w:tc>
        <w:tc>
          <w:tcPr>
            <w:tcW w:w="1474" w:type="dxa"/>
            <w:vAlign w:val="center"/>
          </w:tcPr>
          <w:p>
            <w:pPr>
              <w:pStyle w:val="11"/>
            </w:pPr>
            <w:r>
              <w:t>18.00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69.46</w:t>
            </w:r>
          </w:p>
        </w:tc>
        <w:tc>
          <w:tcPr>
            <w:tcW w:w="1474" w:type="dxa"/>
            <w:vAlign w:val="center"/>
          </w:tcPr>
          <w:p>
            <w:pPr>
              <w:pStyle w:val="11"/>
            </w:pPr>
            <w:r>
              <w:t>69.46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1416.46</w:t>
            </w:r>
          </w:p>
        </w:tc>
        <w:tc>
          <w:tcPr>
            <w:tcW w:w="3402" w:type="dxa"/>
            <w:vAlign w:val="center"/>
          </w:tcPr>
          <w:p>
            <w:pPr>
              <w:pStyle w:val="14"/>
            </w:pPr>
            <w:r>
              <w:t>本年支出合计</w:t>
            </w:r>
          </w:p>
        </w:tc>
        <w:tc>
          <w:tcPr>
            <w:tcW w:w="1474" w:type="dxa"/>
            <w:vAlign w:val="center"/>
          </w:tcPr>
          <w:p>
            <w:pPr>
              <w:pStyle w:val="15"/>
            </w:pPr>
            <w:r>
              <w:t>1416.46</w:t>
            </w:r>
          </w:p>
        </w:tc>
        <w:tc>
          <w:tcPr>
            <w:tcW w:w="1474" w:type="dxa"/>
            <w:vAlign w:val="center"/>
          </w:tcPr>
          <w:p>
            <w:pPr>
              <w:pStyle w:val="15"/>
            </w:pPr>
            <w:r>
              <w:t>1416.46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1416.46</w:t>
            </w:r>
          </w:p>
        </w:tc>
        <w:tc>
          <w:tcPr>
            <w:tcW w:w="3402" w:type="dxa"/>
            <w:vAlign w:val="center"/>
          </w:tcPr>
          <w:p>
            <w:pPr>
              <w:pStyle w:val="14"/>
            </w:pPr>
            <w:r>
              <w:t>支出总计</w:t>
            </w:r>
          </w:p>
        </w:tc>
        <w:tc>
          <w:tcPr>
            <w:tcW w:w="1474" w:type="dxa"/>
            <w:vAlign w:val="center"/>
          </w:tcPr>
          <w:p>
            <w:pPr>
              <w:pStyle w:val="15"/>
            </w:pPr>
            <w:r>
              <w:t>1416.46</w:t>
            </w:r>
          </w:p>
        </w:tc>
        <w:tc>
          <w:tcPr>
            <w:tcW w:w="1474" w:type="dxa"/>
            <w:vAlign w:val="center"/>
          </w:tcPr>
          <w:p>
            <w:pPr>
              <w:pStyle w:val="15"/>
            </w:pPr>
            <w:r>
              <w:t>1416.46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301001石家庄市鹿泉区人民政府办公室本级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1416.46</w:t>
            </w:r>
          </w:p>
        </w:tc>
        <w:tc>
          <w:tcPr>
            <w:tcW w:w="2551" w:type="dxa"/>
            <w:vAlign w:val="center"/>
          </w:tcPr>
          <w:p>
            <w:pPr>
              <w:pStyle w:val="15"/>
            </w:pPr>
            <w:r>
              <w:t>976.96</w:t>
            </w:r>
          </w:p>
        </w:tc>
        <w:tc>
          <w:tcPr>
            <w:tcW w:w="2551" w:type="dxa"/>
            <w:vAlign w:val="center"/>
          </w:tcPr>
          <w:p>
            <w:pPr>
              <w:pStyle w:val="15"/>
            </w:pPr>
            <w:r>
              <w:t>439.50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1135.57</w:t>
            </w:r>
          </w:p>
        </w:tc>
        <w:tc>
          <w:tcPr>
            <w:tcW w:w="2551" w:type="dxa"/>
            <w:vAlign w:val="center"/>
          </w:tcPr>
          <w:p>
            <w:pPr>
              <w:pStyle w:val="11"/>
            </w:pPr>
            <w:r>
              <w:t>714.07</w:t>
            </w:r>
          </w:p>
        </w:tc>
        <w:tc>
          <w:tcPr>
            <w:tcW w:w="2551" w:type="dxa"/>
            <w:vAlign w:val="center"/>
          </w:tcPr>
          <w:p>
            <w:pPr>
              <w:pStyle w:val="11"/>
            </w:pPr>
            <w:r>
              <w:t>421.50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1135.57</w:t>
            </w:r>
          </w:p>
        </w:tc>
        <w:tc>
          <w:tcPr>
            <w:tcW w:w="2551" w:type="dxa"/>
            <w:vAlign w:val="center"/>
          </w:tcPr>
          <w:p>
            <w:pPr>
              <w:pStyle w:val="11"/>
            </w:pPr>
            <w:r>
              <w:t>714.07</w:t>
            </w:r>
          </w:p>
        </w:tc>
        <w:tc>
          <w:tcPr>
            <w:tcW w:w="2551" w:type="dxa"/>
            <w:vAlign w:val="center"/>
          </w:tcPr>
          <w:p>
            <w:pPr>
              <w:pStyle w:val="11"/>
            </w:pPr>
            <w:r>
              <w:t>421.50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714.07</w:t>
            </w:r>
          </w:p>
        </w:tc>
        <w:tc>
          <w:tcPr>
            <w:tcW w:w="2551" w:type="dxa"/>
            <w:vAlign w:val="center"/>
          </w:tcPr>
          <w:p>
            <w:pPr>
              <w:pStyle w:val="11"/>
            </w:pPr>
            <w:r>
              <w:t>714.07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411.50</w:t>
            </w:r>
          </w:p>
        </w:tc>
        <w:tc>
          <w:tcPr>
            <w:tcW w:w="2551" w:type="dxa"/>
            <w:vAlign w:val="center"/>
          </w:tcPr>
          <w:p>
            <w:pPr>
              <w:pStyle w:val="11"/>
            </w:pPr>
          </w:p>
        </w:tc>
        <w:tc>
          <w:tcPr>
            <w:tcW w:w="2551" w:type="dxa"/>
            <w:vAlign w:val="center"/>
          </w:tcPr>
          <w:p>
            <w:pPr>
              <w:pStyle w:val="11"/>
            </w:pPr>
            <w:r>
              <w:t>411.50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2010399</w:t>
            </w:r>
          </w:p>
        </w:tc>
        <w:tc>
          <w:tcPr>
            <w:tcW w:w="4535" w:type="dxa"/>
            <w:vAlign w:val="center"/>
          </w:tcPr>
          <w:p>
            <w:pPr>
              <w:pStyle w:val="12"/>
            </w:pPr>
            <w:r>
              <w:t>其他政府办公厅（室）及相关机构事务支出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141.91</w:t>
            </w:r>
          </w:p>
        </w:tc>
        <w:tc>
          <w:tcPr>
            <w:tcW w:w="2551" w:type="dxa"/>
            <w:vAlign w:val="center"/>
          </w:tcPr>
          <w:p>
            <w:pPr>
              <w:pStyle w:val="11"/>
            </w:pPr>
            <w:r>
              <w:t>141.91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141.91</w:t>
            </w:r>
          </w:p>
        </w:tc>
        <w:tc>
          <w:tcPr>
            <w:tcW w:w="2551" w:type="dxa"/>
            <w:vAlign w:val="center"/>
          </w:tcPr>
          <w:p>
            <w:pPr>
              <w:pStyle w:val="11"/>
            </w:pPr>
            <w:r>
              <w:t>141.91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71.30</w:t>
            </w:r>
          </w:p>
        </w:tc>
        <w:tc>
          <w:tcPr>
            <w:tcW w:w="2551" w:type="dxa"/>
            <w:vAlign w:val="center"/>
          </w:tcPr>
          <w:p>
            <w:pPr>
              <w:pStyle w:val="11"/>
            </w:pPr>
            <w:r>
              <w:t>71.30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70.61</w:t>
            </w:r>
          </w:p>
        </w:tc>
        <w:tc>
          <w:tcPr>
            <w:tcW w:w="2551" w:type="dxa"/>
            <w:vAlign w:val="center"/>
          </w:tcPr>
          <w:p>
            <w:pPr>
              <w:pStyle w:val="11"/>
            </w:pPr>
            <w:r>
              <w:t>70.61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51.52</w:t>
            </w:r>
          </w:p>
        </w:tc>
        <w:tc>
          <w:tcPr>
            <w:tcW w:w="2551" w:type="dxa"/>
            <w:vAlign w:val="center"/>
          </w:tcPr>
          <w:p>
            <w:pPr>
              <w:pStyle w:val="11"/>
            </w:pPr>
            <w:r>
              <w:t>51.52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51.52</w:t>
            </w:r>
          </w:p>
        </w:tc>
        <w:tc>
          <w:tcPr>
            <w:tcW w:w="2551" w:type="dxa"/>
            <w:vAlign w:val="center"/>
          </w:tcPr>
          <w:p>
            <w:pPr>
              <w:pStyle w:val="11"/>
            </w:pPr>
            <w:r>
              <w:t>51.52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51.52</w:t>
            </w:r>
          </w:p>
        </w:tc>
        <w:tc>
          <w:tcPr>
            <w:tcW w:w="2551" w:type="dxa"/>
            <w:vAlign w:val="center"/>
          </w:tcPr>
          <w:p>
            <w:pPr>
              <w:pStyle w:val="11"/>
            </w:pPr>
            <w:r>
              <w:t>51.52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69.46</w:t>
            </w:r>
          </w:p>
        </w:tc>
        <w:tc>
          <w:tcPr>
            <w:tcW w:w="2551" w:type="dxa"/>
            <w:vAlign w:val="center"/>
          </w:tcPr>
          <w:p>
            <w:pPr>
              <w:pStyle w:val="11"/>
            </w:pPr>
            <w:r>
              <w:t>69.46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69.46</w:t>
            </w:r>
          </w:p>
        </w:tc>
        <w:tc>
          <w:tcPr>
            <w:tcW w:w="2551" w:type="dxa"/>
            <w:vAlign w:val="center"/>
          </w:tcPr>
          <w:p>
            <w:pPr>
              <w:pStyle w:val="11"/>
            </w:pPr>
            <w:r>
              <w:t>69.46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69.46</w:t>
            </w:r>
          </w:p>
        </w:tc>
        <w:tc>
          <w:tcPr>
            <w:tcW w:w="2551" w:type="dxa"/>
            <w:vAlign w:val="center"/>
          </w:tcPr>
          <w:p>
            <w:pPr>
              <w:pStyle w:val="11"/>
            </w:pPr>
            <w:r>
              <w:t>69.46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301001石家庄市鹿泉区人民政府办公室本级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976.96</w:t>
            </w:r>
          </w:p>
        </w:tc>
        <w:tc>
          <w:tcPr>
            <w:tcW w:w="2551" w:type="dxa"/>
            <w:vAlign w:val="center"/>
          </w:tcPr>
          <w:p>
            <w:pPr>
              <w:pStyle w:val="15"/>
            </w:pPr>
            <w:r>
              <w:t>808.51</w:t>
            </w:r>
          </w:p>
        </w:tc>
        <w:tc>
          <w:tcPr>
            <w:tcW w:w="2552" w:type="dxa"/>
            <w:vAlign w:val="center"/>
          </w:tcPr>
          <w:p>
            <w:pPr>
              <w:pStyle w:val="15"/>
            </w:pPr>
            <w:r>
              <w:t>168.45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737.11</w:t>
            </w:r>
          </w:p>
        </w:tc>
        <w:tc>
          <w:tcPr>
            <w:tcW w:w="2551" w:type="dxa"/>
            <w:vAlign w:val="center"/>
          </w:tcPr>
          <w:p>
            <w:pPr>
              <w:pStyle w:val="11"/>
            </w:pPr>
            <w:r>
              <w:t>737.11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186.68</w:t>
            </w:r>
          </w:p>
        </w:tc>
        <w:tc>
          <w:tcPr>
            <w:tcW w:w="2551" w:type="dxa"/>
            <w:vAlign w:val="center"/>
          </w:tcPr>
          <w:p>
            <w:pPr>
              <w:pStyle w:val="11"/>
            </w:pPr>
            <w:r>
              <w:t>186.68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122.64</w:t>
            </w:r>
          </w:p>
        </w:tc>
        <w:tc>
          <w:tcPr>
            <w:tcW w:w="2551" w:type="dxa"/>
            <w:vAlign w:val="center"/>
          </w:tcPr>
          <w:p>
            <w:pPr>
              <w:pStyle w:val="11"/>
            </w:pPr>
            <w:r>
              <w:t>122.64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184.69</w:t>
            </w:r>
          </w:p>
        </w:tc>
        <w:tc>
          <w:tcPr>
            <w:tcW w:w="2551" w:type="dxa"/>
            <w:vAlign w:val="center"/>
          </w:tcPr>
          <w:p>
            <w:pPr>
              <w:pStyle w:val="11"/>
            </w:pPr>
            <w:r>
              <w:t>184.69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49.08</w:t>
            </w:r>
          </w:p>
        </w:tc>
        <w:tc>
          <w:tcPr>
            <w:tcW w:w="2551" w:type="dxa"/>
            <w:vAlign w:val="center"/>
          </w:tcPr>
          <w:p>
            <w:pPr>
              <w:pStyle w:val="11"/>
            </w:pPr>
            <w:r>
              <w:t>49.08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70.61</w:t>
            </w:r>
          </w:p>
        </w:tc>
        <w:tc>
          <w:tcPr>
            <w:tcW w:w="2551" w:type="dxa"/>
            <w:vAlign w:val="center"/>
          </w:tcPr>
          <w:p>
            <w:pPr>
              <w:pStyle w:val="11"/>
            </w:pPr>
            <w:r>
              <w:t>70.61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29.05</w:t>
            </w:r>
          </w:p>
        </w:tc>
        <w:tc>
          <w:tcPr>
            <w:tcW w:w="2551" w:type="dxa"/>
            <w:vAlign w:val="center"/>
          </w:tcPr>
          <w:p>
            <w:pPr>
              <w:pStyle w:val="11"/>
            </w:pPr>
            <w:r>
              <w:t>29.05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22.48</w:t>
            </w:r>
          </w:p>
        </w:tc>
        <w:tc>
          <w:tcPr>
            <w:tcW w:w="2551" w:type="dxa"/>
            <w:vAlign w:val="center"/>
          </w:tcPr>
          <w:p>
            <w:pPr>
              <w:pStyle w:val="11"/>
            </w:pPr>
            <w:r>
              <w:t>22.48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2.43</w:t>
            </w:r>
          </w:p>
        </w:tc>
        <w:tc>
          <w:tcPr>
            <w:tcW w:w="2551" w:type="dxa"/>
            <w:vAlign w:val="center"/>
          </w:tcPr>
          <w:p>
            <w:pPr>
              <w:pStyle w:val="11"/>
            </w:pPr>
            <w:r>
              <w:t>2.43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69.46</w:t>
            </w:r>
          </w:p>
        </w:tc>
        <w:tc>
          <w:tcPr>
            <w:tcW w:w="2551" w:type="dxa"/>
            <w:vAlign w:val="center"/>
          </w:tcPr>
          <w:p>
            <w:pPr>
              <w:pStyle w:val="11"/>
            </w:pPr>
            <w:r>
              <w:t>69.46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168.45</w:t>
            </w:r>
          </w:p>
        </w:tc>
        <w:tc>
          <w:tcPr>
            <w:tcW w:w="2551" w:type="dxa"/>
            <w:vAlign w:val="center"/>
          </w:tcPr>
          <w:p>
            <w:pPr>
              <w:pStyle w:val="11"/>
            </w:pPr>
          </w:p>
        </w:tc>
        <w:tc>
          <w:tcPr>
            <w:tcW w:w="2552" w:type="dxa"/>
            <w:vAlign w:val="center"/>
          </w:tcPr>
          <w:p>
            <w:pPr>
              <w:pStyle w:val="11"/>
            </w:pPr>
            <w:r>
              <w:t>168.45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27.60</w:t>
            </w:r>
          </w:p>
        </w:tc>
        <w:tc>
          <w:tcPr>
            <w:tcW w:w="2551" w:type="dxa"/>
            <w:vAlign w:val="center"/>
          </w:tcPr>
          <w:p>
            <w:pPr>
              <w:pStyle w:val="11"/>
            </w:pPr>
          </w:p>
        </w:tc>
        <w:tc>
          <w:tcPr>
            <w:tcW w:w="2552" w:type="dxa"/>
            <w:vAlign w:val="center"/>
          </w:tcPr>
          <w:p>
            <w:pPr>
              <w:pStyle w:val="11"/>
            </w:pPr>
            <w:r>
              <w:t>27.60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15.85</w:t>
            </w:r>
          </w:p>
        </w:tc>
        <w:tc>
          <w:tcPr>
            <w:tcW w:w="2551" w:type="dxa"/>
            <w:vAlign w:val="center"/>
          </w:tcPr>
          <w:p>
            <w:pPr>
              <w:pStyle w:val="11"/>
            </w:pPr>
          </w:p>
        </w:tc>
        <w:tc>
          <w:tcPr>
            <w:tcW w:w="2552" w:type="dxa"/>
            <w:vAlign w:val="center"/>
          </w:tcPr>
          <w:p>
            <w:pPr>
              <w:pStyle w:val="11"/>
            </w:pPr>
            <w:r>
              <w:t>15.85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2"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70.18</w:t>
            </w:r>
          </w:p>
        </w:tc>
        <w:tc>
          <w:tcPr>
            <w:tcW w:w="2551" w:type="dxa"/>
            <w:vAlign w:val="center"/>
          </w:tcPr>
          <w:p>
            <w:pPr>
              <w:pStyle w:val="11"/>
            </w:pPr>
          </w:p>
        </w:tc>
        <w:tc>
          <w:tcPr>
            <w:tcW w:w="2552" w:type="dxa"/>
            <w:vAlign w:val="center"/>
          </w:tcPr>
          <w:p>
            <w:pPr>
              <w:pStyle w:val="11"/>
            </w:pPr>
            <w:r>
              <w:t>70.18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3.95</w:t>
            </w:r>
          </w:p>
        </w:tc>
        <w:tc>
          <w:tcPr>
            <w:tcW w:w="2551" w:type="dxa"/>
            <w:vAlign w:val="center"/>
          </w:tcPr>
          <w:p>
            <w:pPr>
              <w:pStyle w:val="11"/>
            </w:pPr>
          </w:p>
        </w:tc>
        <w:tc>
          <w:tcPr>
            <w:tcW w:w="2552" w:type="dxa"/>
            <w:vAlign w:val="center"/>
          </w:tcPr>
          <w:p>
            <w:pPr>
              <w:pStyle w:val="11"/>
            </w:pPr>
            <w:r>
              <w:t>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4.67</w:t>
            </w:r>
          </w:p>
        </w:tc>
        <w:tc>
          <w:tcPr>
            <w:tcW w:w="2551" w:type="dxa"/>
            <w:vAlign w:val="center"/>
          </w:tcPr>
          <w:p>
            <w:pPr>
              <w:pStyle w:val="11"/>
            </w:pPr>
          </w:p>
        </w:tc>
        <w:tc>
          <w:tcPr>
            <w:tcW w:w="2552" w:type="dxa"/>
            <w:vAlign w:val="center"/>
          </w:tcPr>
          <w:p>
            <w:pPr>
              <w:pStyle w:val="11"/>
            </w:pPr>
            <w:r>
              <w:t>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21.60</w:t>
            </w:r>
          </w:p>
        </w:tc>
        <w:tc>
          <w:tcPr>
            <w:tcW w:w="2551" w:type="dxa"/>
            <w:vAlign w:val="center"/>
          </w:tcPr>
          <w:p>
            <w:pPr>
              <w:pStyle w:val="11"/>
            </w:pPr>
          </w:p>
        </w:tc>
        <w:tc>
          <w:tcPr>
            <w:tcW w:w="2552" w:type="dxa"/>
            <w:vAlign w:val="center"/>
          </w:tcPr>
          <w:p>
            <w:pPr>
              <w:pStyle w:val="11"/>
            </w:pPr>
            <w:r>
              <w:t>21.60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20.86</w:t>
            </w:r>
          </w:p>
        </w:tc>
        <w:tc>
          <w:tcPr>
            <w:tcW w:w="2551" w:type="dxa"/>
            <w:vAlign w:val="center"/>
          </w:tcPr>
          <w:p>
            <w:pPr>
              <w:pStyle w:val="11"/>
            </w:pPr>
          </w:p>
        </w:tc>
        <w:tc>
          <w:tcPr>
            <w:tcW w:w="2552" w:type="dxa"/>
            <w:vAlign w:val="center"/>
          </w:tcPr>
          <w:p>
            <w:pPr>
              <w:pStyle w:val="11"/>
            </w:pPr>
            <w:r>
              <w:t>20.86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2.74</w:t>
            </w:r>
          </w:p>
        </w:tc>
        <w:tc>
          <w:tcPr>
            <w:tcW w:w="2551" w:type="dxa"/>
            <w:vAlign w:val="center"/>
          </w:tcPr>
          <w:p>
            <w:pPr>
              <w:pStyle w:val="11"/>
            </w:pPr>
          </w:p>
        </w:tc>
        <w:tc>
          <w:tcPr>
            <w:tcW w:w="2552" w:type="dxa"/>
            <w:vAlign w:val="center"/>
          </w:tcPr>
          <w:p>
            <w:pPr>
              <w:pStyle w:val="11"/>
            </w:pPr>
            <w:r>
              <w:t>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71.40</w:t>
            </w:r>
          </w:p>
        </w:tc>
        <w:tc>
          <w:tcPr>
            <w:tcW w:w="2551" w:type="dxa"/>
            <w:vAlign w:val="center"/>
          </w:tcPr>
          <w:p>
            <w:pPr>
              <w:pStyle w:val="11"/>
            </w:pPr>
            <w:r>
              <w:t>71.40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17.20</w:t>
            </w:r>
          </w:p>
        </w:tc>
        <w:tc>
          <w:tcPr>
            <w:tcW w:w="2551" w:type="dxa"/>
            <w:vAlign w:val="center"/>
          </w:tcPr>
          <w:p>
            <w:pPr>
              <w:pStyle w:val="11"/>
            </w:pPr>
            <w:r>
              <w:t>17.20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52.26</w:t>
            </w:r>
          </w:p>
        </w:tc>
        <w:tc>
          <w:tcPr>
            <w:tcW w:w="2551" w:type="dxa"/>
            <w:vAlign w:val="center"/>
          </w:tcPr>
          <w:p>
            <w:pPr>
              <w:pStyle w:val="11"/>
            </w:pPr>
            <w:r>
              <w:t>52.26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1.84</w:t>
            </w:r>
          </w:p>
        </w:tc>
        <w:tc>
          <w:tcPr>
            <w:tcW w:w="2551" w:type="dxa"/>
            <w:vAlign w:val="center"/>
          </w:tcPr>
          <w:p>
            <w:pPr>
              <w:pStyle w:val="11"/>
            </w:pPr>
            <w:r>
              <w:t>1.84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0.11</w:t>
            </w:r>
          </w:p>
        </w:tc>
        <w:tc>
          <w:tcPr>
            <w:tcW w:w="2551" w:type="dxa"/>
            <w:vAlign w:val="center"/>
          </w:tcPr>
          <w:p>
            <w:pPr>
              <w:pStyle w:val="11"/>
            </w:pPr>
            <w:r>
              <w:t>0.11</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301001石家庄市鹿泉区人民政府办公室本级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301001石家庄市鹿泉区人民政府办公室本级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301001石家庄市鹿泉区人民政府办公室本级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r>
              <w:rPr>
                <w:rFonts w:hint="eastAsia"/>
                <w:lang w:val="en-US" w:eastAsia="zh-CN"/>
              </w:rPr>
              <w:t>3</w:t>
            </w:r>
            <w:r>
              <w:t>9.10</w:t>
            </w:r>
          </w:p>
        </w:tc>
        <w:tc>
          <w:tcPr>
            <w:tcW w:w="2381" w:type="dxa"/>
            <w:vAlign w:val="center"/>
          </w:tcPr>
          <w:p>
            <w:pPr>
              <w:pStyle w:val="15"/>
            </w:pPr>
            <w:r>
              <w:rPr>
                <w:rFonts w:hint="eastAsia"/>
                <w:lang w:val="en-US" w:eastAsia="zh-CN"/>
              </w:rPr>
              <w:t>3</w:t>
            </w:r>
            <w:r>
              <w:t>9.10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r>
              <w:rPr>
                <w:rFonts w:hint="eastAsia"/>
                <w:lang w:val="en-US" w:eastAsia="zh-CN"/>
              </w:rPr>
              <w:t>3</w:t>
            </w:r>
            <w:r>
              <w:t>9.10</w:t>
            </w:r>
          </w:p>
        </w:tc>
        <w:tc>
          <w:tcPr>
            <w:tcW w:w="2381" w:type="dxa"/>
            <w:vAlign w:val="center"/>
          </w:tcPr>
          <w:p>
            <w:pPr>
              <w:pStyle w:val="11"/>
            </w:pPr>
            <w:r>
              <w:rPr>
                <w:rFonts w:hint="eastAsia"/>
                <w:lang w:val="en-US" w:eastAsia="zh-CN"/>
              </w:rPr>
              <w:t>3</w:t>
            </w:r>
            <w:r>
              <w:t>9.10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r>
              <w:t>7.50</w:t>
            </w:r>
          </w:p>
        </w:tc>
        <w:tc>
          <w:tcPr>
            <w:tcW w:w="2381" w:type="dxa"/>
            <w:vAlign w:val="center"/>
          </w:tcPr>
          <w:p>
            <w:pPr>
              <w:pStyle w:val="11"/>
            </w:pPr>
            <w:r>
              <w:t>7.50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r>
              <w:t>7.50</w:t>
            </w:r>
          </w:p>
        </w:tc>
        <w:tc>
          <w:tcPr>
            <w:tcW w:w="2381" w:type="dxa"/>
            <w:vAlign w:val="center"/>
          </w:tcPr>
          <w:p>
            <w:pPr>
              <w:pStyle w:val="11"/>
            </w:pPr>
            <w:r>
              <w:t>7.50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r>
              <w:t>21.60</w:t>
            </w:r>
          </w:p>
        </w:tc>
        <w:tc>
          <w:tcPr>
            <w:tcW w:w="2381" w:type="dxa"/>
            <w:vAlign w:val="center"/>
          </w:tcPr>
          <w:p>
            <w:pPr>
              <w:pStyle w:val="11"/>
            </w:pPr>
            <w:r>
              <w:t>21.60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21.60</w:t>
            </w:r>
          </w:p>
        </w:tc>
        <w:tc>
          <w:tcPr>
            <w:tcW w:w="2381" w:type="dxa"/>
            <w:vAlign w:val="center"/>
          </w:tcPr>
          <w:p>
            <w:pPr>
              <w:pStyle w:val="11"/>
            </w:pPr>
            <w:r>
              <w:t>21.60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rPr>
                <w:rFonts w:hint="eastAsia" w:eastAsia="方正书宋_GBK"/>
                <w:lang w:val="en-US" w:eastAsia="zh-CN"/>
              </w:rPr>
            </w:pPr>
            <w:r>
              <w:rPr>
                <w:rFonts w:hint="eastAsia"/>
                <w:lang w:val="en-US" w:eastAsia="zh-CN"/>
              </w:rPr>
              <w:t>10</w:t>
            </w:r>
          </w:p>
        </w:tc>
        <w:tc>
          <w:tcPr>
            <w:tcW w:w="2381" w:type="dxa"/>
            <w:vAlign w:val="center"/>
          </w:tcPr>
          <w:p>
            <w:pPr>
              <w:pStyle w:val="11"/>
              <w:rPr>
                <w:rFonts w:hint="eastAsia" w:eastAsia="方正书宋_GBK"/>
                <w:lang w:val="en-US" w:eastAsia="zh-CN"/>
              </w:rPr>
            </w:pPr>
            <w:r>
              <w:rPr>
                <w:rFonts w:hint="eastAsia"/>
                <w:lang w:val="en-US" w:eastAsia="zh-CN"/>
              </w:rPr>
              <w:t>10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石家庄市鹿泉区人民政府办公室本级2023年单位预算信息公开情况说明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
        </w:rPr>
        <w:t>中华人民共和国</w:t>
      </w:r>
      <w:bookmarkStart w:id="1" w:name="_GoBack"/>
      <w:bookmarkEnd w:id="1"/>
      <w:r>
        <w:rPr>
          <w:rFonts w:eastAsia="方正仿宋_GBK"/>
          <w:color w:val="000000"/>
          <w:sz w:val="28"/>
        </w:rPr>
        <w:t>预算法》、《地方预决算公开操作规程》和《关于进一步推进预算公开工作的实施意见》规定，现将石家庄市鹿泉区人民政府办公室本级2023年单位预算公开如下：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17"/>
      </w:pPr>
      <w:r>
        <w:rPr>
          <w:rFonts w:hint="eastAsia"/>
          <w:lang w:val="en-US" w:eastAsia="zh-CN"/>
        </w:rPr>
        <w:t>1</w:t>
      </w:r>
      <w:r>
        <w:t>、负责区政府决议、决定的起草与审核。</w:t>
      </w:r>
    </w:p>
    <w:p>
      <w:pPr>
        <w:pStyle w:val="17"/>
      </w:pPr>
      <w:r>
        <w:t>2、负责重大事项向市委、市政府请示报告及反馈等工作。</w:t>
      </w:r>
    </w:p>
    <w:p>
      <w:pPr>
        <w:pStyle w:val="17"/>
      </w:pPr>
      <w:r>
        <w:rPr>
          <w:rFonts w:hint="eastAsia"/>
          <w:lang w:val="en-US" w:eastAsia="zh-CN"/>
        </w:rPr>
        <w:t>3</w:t>
      </w:r>
      <w:r>
        <w:t>、负责区政府</w:t>
      </w:r>
      <w:r>
        <w:rPr>
          <w:rFonts w:hint="eastAsia"/>
          <w:lang w:eastAsia="zh-CN"/>
        </w:rPr>
        <w:t>年度工作计划、工作总结、工作汇报、会议纪要</w:t>
      </w:r>
      <w:r>
        <w:t>等各种文件、领导讲话材料的起草、审核和印发工作。</w:t>
      </w:r>
    </w:p>
    <w:p>
      <w:pPr>
        <w:pStyle w:val="17"/>
      </w:pPr>
      <w:r>
        <w:t>4、负责以区政府名义印发的各类公文文稿的审核与印发工作。</w:t>
      </w:r>
    </w:p>
    <w:p>
      <w:pPr>
        <w:pStyle w:val="17"/>
      </w:pPr>
      <w:r>
        <w:t>5、负责区政府领导各类重要活动、会议通知的组织安排工作。</w:t>
      </w:r>
    </w:p>
    <w:p>
      <w:pPr>
        <w:pStyle w:val="17"/>
      </w:pPr>
      <w:r>
        <w:t>6、负责督导检查区政府各项决议、决定和区领导批示具体事项的执行情况，并及时向区政府和办公室领导报告。</w:t>
      </w:r>
    </w:p>
    <w:p>
      <w:pPr>
        <w:pStyle w:val="17"/>
      </w:pPr>
      <w:r>
        <w:t>7、负责各类文件的登记、收发、传阅及各部门往来行文的呈批、转办、催办和管理工作。</w:t>
      </w:r>
    </w:p>
    <w:p>
      <w:pPr>
        <w:pStyle w:val="17"/>
      </w:pPr>
      <w:r>
        <w:t>8、组织受理人大代表议案、建议、批评和意见及政协委员提案。</w:t>
      </w:r>
    </w:p>
    <w:p>
      <w:pPr>
        <w:pStyle w:val="17"/>
      </w:pPr>
      <w:r>
        <w:t>9、负责区政府及办公室印章的保管与使用工作。</w:t>
      </w:r>
    </w:p>
    <w:p>
      <w:pPr>
        <w:pStyle w:val="17"/>
      </w:pPr>
      <w:r>
        <w:t>10、负责区政府办公室全天24小时值班工作。</w:t>
      </w:r>
    </w:p>
    <w:p>
      <w:pPr>
        <w:pStyle w:val="17"/>
      </w:pPr>
      <w:r>
        <w:t>11、负责全区应急管理及紧急情况重大事件报告工作；区领导对紧急情况重大事件的压报、误报、批示意见的督办落实工作。</w:t>
      </w:r>
    </w:p>
    <w:p>
      <w:pPr>
        <w:pStyle w:val="17"/>
      </w:pPr>
      <w:r>
        <w:t>12、负责市委内网和市政府内网的接收、上报和日常管理维护工作</w:t>
      </w:r>
    </w:p>
    <w:p>
      <w:pPr>
        <w:pStyle w:val="17"/>
      </w:pPr>
      <w:r>
        <w:t>13、负责全市会议及区领导、办公室召开会议的通知、协调工作。</w:t>
      </w:r>
    </w:p>
    <w:p>
      <w:pPr>
        <w:pStyle w:val="17"/>
      </w:pPr>
      <w:r>
        <w:t>14、负责区政府和市委、市政府等机关的工作联系，负责与各镇党委、政府，各街道办党工委、办事处和区直机关、驻区单位的公务联系</w:t>
      </w:r>
    </w:p>
    <w:p>
      <w:pPr>
        <w:pStyle w:val="17"/>
      </w:pPr>
      <w:r>
        <w:t>15、负责政务问询、市长公开电话、区长公开电话、群众来访、群众来信、人民网留言等方面的工作。</w:t>
      </w:r>
    </w:p>
    <w:p>
      <w:pPr>
        <w:pStyle w:val="17"/>
      </w:pPr>
      <w:r>
        <w:t>16、负责指导、督促、检查和考核全区各镇党委、政府、各街道办党工委、办事处及驻区单位的值班工作。</w:t>
      </w:r>
    </w:p>
    <w:p>
      <w:pPr>
        <w:pStyle w:val="17"/>
      </w:pPr>
      <w:r>
        <w:t>17、完成区政府和办公室领导或上级机关交办的其它工作。</w:t>
      </w:r>
    </w:p>
    <w:p>
      <w:pPr>
        <w:pStyle w:val="17"/>
      </w:pP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石家庄市鹿泉区人民政府办公室本级</w:t>
            </w:r>
          </w:p>
        </w:tc>
        <w:tc>
          <w:tcPr>
            <w:tcW w:w="1843" w:type="dxa"/>
            <w:vAlign w:val="center"/>
          </w:tcPr>
          <w:p>
            <w:pPr>
              <w:pStyle w:val="13"/>
            </w:pPr>
            <w:r>
              <w:t>行政</w:t>
            </w:r>
          </w:p>
        </w:tc>
        <w:tc>
          <w:tcPr>
            <w:tcW w:w="2126" w:type="dxa"/>
            <w:vAlign w:val="center"/>
          </w:tcPr>
          <w:p>
            <w:pPr>
              <w:pStyle w:val="13"/>
            </w:pPr>
            <w:r>
              <w:t>正处（县）级</w:t>
            </w:r>
          </w:p>
        </w:tc>
        <w:tc>
          <w:tcPr>
            <w:tcW w:w="3827" w:type="dxa"/>
            <w:vAlign w:val="center"/>
          </w:tcPr>
          <w:p>
            <w:pPr>
              <w:pStyle w:val="13"/>
            </w:pPr>
            <w:r>
              <w:t>财政拨款</w:t>
            </w:r>
          </w:p>
        </w:tc>
      </w:tr>
    </w:tbl>
    <w:p>
      <w:pPr>
        <w:pStyle w:val="17"/>
      </w:pPr>
    </w:p>
    <w:p>
      <w:pPr>
        <w:ind w:firstLine="640"/>
      </w:pPr>
    </w:p>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5"/>
      </w:pPr>
      <w:r>
        <w:t>1、收入说明</w:t>
      </w:r>
    </w:p>
    <w:p>
      <w:pPr>
        <w:pStyle w:val="25"/>
      </w:pPr>
      <w:r>
        <w:t>反映本单位全部收入。2023年预算收入1416.46万元，其中：一般公共预算收入1416.46万元。</w:t>
      </w:r>
    </w:p>
    <w:p>
      <w:pPr>
        <w:pStyle w:val="25"/>
      </w:pPr>
      <w:r>
        <w:t>2、支出说明</w:t>
      </w:r>
    </w:p>
    <w:p>
      <w:pPr>
        <w:pStyle w:val="25"/>
      </w:pPr>
      <w:r>
        <w:t>收支预算总表支出栏、基本支出表、项目支出表按经济分类和支出功能分类科目编制，反映鹿泉区人民政府年度预算中支出预算的总体情况。2023年支出预算1416.46万元，其中基本支出976.96万元，包括人员经费808.51万元和日常公用经费168.45万元；项目支出439.5万元，主要为电子政务外网服务费、市民服务热线经费、信息化运行服务费等。</w:t>
      </w:r>
    </w:p>
    <w:p>
      <w:pPr>
        <w:pStyle w:val="25"/>
      </w:pPr>
      <w:r>
        <w:t>3、比上年增减情况</w:t>
      </w:r>
    </w:p>
    <w:p>
      <w:pPr>
        <w:pStyle w:val="25"/>
      </w:pPr>
      <w:r>
        <w:t>2023年预算收支安排1416.46万元，较2022年预算增加12.49万元，其中：基本支出增加23.49万元，主要为人员经费支出增加；项目支出减少11万元，主要为专项工作经费减少。</w:t>
      </w:r>
    </w:p>
    <w:p>
      <w:pPr>
        <w:pStyle w:val="26"/>
      </w:pPr>
    </w:p>
    <w:p>
      <w:pPr>
        <w:spacing w:before="10" w:after="10"/>
        <w:ind w:firstLine="640"/>
        <w:outlineLvl w:val="5"/>
      </w:pPr>
      <w:r>
        <w:rPr>
          <w:rFonts w:ascii="黑体" w:hAnsi="黑体" w:eastAsia="黑体" w:cs="黑体"/>
          <w:color w:val="000000"/>
          <w:sz w:val="32"/>
        </w:rPr>
        <w:t>三、机关运行经费安排情况</w:t>
      </w:r>
    </w:p>
    <w:p>
      <w:pPr>
        <w:pStyle w:val="27"/>
      </w:pPr>
      <w:r>
        <w:t>2023年，我单位运行经费为168.45 万元，主要用于保证机关正常运转的办公及印刷费、邮电费、差旅费、会议费、福利费、一般设备购置费、日常维修费、公务车运行维护费等支出。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5"/>
      </w:pPr>
      <w:r>
        <w:t>2023 年，我单位财政拨款“三公”经费预算安排 39.1万元，其中：因公出国（境）费 7.5万元；公务用车购置及运维费21.6万元（其中：公务用车购置费 0 万元，公务用车运行维护费 21.6万元)；公务接待费 10万元。“三公”经费与上年持平。</w:t>
      </w:r>
    </w:p>
    <w:p>
      <w:pPr>
        <w:pStyle w:val="28"/>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1、大气办工作经费绩效目标表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建立重点污染源清单库。2、通过排查企业环境污染问题，督导实现达标排放。3、进行大气污染防治宣传，通过制作展板、印发宣传册、制作宣传条幅等方式，促使企业主动履行大气污染防治主体责任。</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排查企业数量</w:t>
            </w:r>
          </w:p>
        </w:tc>
        <w:tc>
          <w:tcPr>
            <w:tcW w:w="2835" w:type="dxa"/>
            <w:vAlign w:val="center"/>
          </w:tcPr>
          <w:p>
            <w:pPr>
              <w:pStyle w:val="12"/>
            </w:pPr>
            <w:r>
              <w:t>排查企业数量</w:t>
            </w:r>
          </w:p>
        </w:tc>
        <w:tc>
          <w:tcPr>
            <w:tcW w:w="2551" w:type="dxa"/>
            <w:vAlign w:val="center"/>
          </w:tcPr>
          <w:p>
            <w:pPr>
              <w:pStyle w:val="12"/>
            </w:pPr>
            <w:r>
              <w:t>≥10家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制作展板数量</w:t>
            </w:r>
          </w:p>
        </w:tc>
        <w:tc>
          <w:tcPr>
            <w:tcW w:w="2835" w:type="dxa"/>
            <w:vAlign w:val="center"/>
          </w:tcPr>
          <w:p>
            <w:pPr>
              <w:pStyle w:val="12"/>
            </w:pPr>
            <w:r>
              <w:t>制作展板数量</w:t>
            </w:r>
          </w:p>
        </w:tc>
        <w:tc>
          <w:tcPr>
            <w:tcW w:w="2551" w:type="dxa"/>
            <w:vAlign w:val="center"/>
          </w:tcPr>
          <w:p>
            <w:pPr>
              <w:pStyle w:val="12"/>
            </w:pPr>
            <w:r>
              <w:t>≥100块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印发宣传册数量</w:t>
            </w:r>
          </w:p>
        </w:tc>
        <w:tc>
          <w:tcPr>
            <w:tcW w:w="2835" w:type="dxa"/>
            <w:vAlign w:val="center"/>
          </w:tcPr>
          <w:p>
            <w:pPr>
              <w:pStyle w:val="12"/>
            </w:pPr>
            <w:r>
              <w:t>印发宣传册数量</w:t>
            </w:r>
          </w:p>
        </w:tc>
        <w:tc>
          <w:tcPr>
            <w:tcW w:w="2551" w:type="dxa"/>
            <w:vAlign w:val="center"/>
          </w:tcPr>
          <w:p>
            <w:pPr>
              <w:pStyle w:val="12"/>
            </w:pPr>
            <w:r>
              <w:t>≥1000份</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考核达标率</w:t>
            </w:r>
          </w:p>
        </w:tc>
        <w:tc>
          <w:tcPr>
            <w:tcW w:w="2835" w:type="dxa"/>
            <w:vAlign w:val="center"/>
          </w:tcPr>
          <w:p>
            <w:pPr>
              <w:pStyle w:val="12"/>
            </w:pPr>
            <w:r>
              <w:t>大气污染考核达标率</w:t>
            </w:r>
          </w:p>
        </w:tc>
        <w:tc>
          <w:tcPr>
            <w:tcW w:w="2551" w:type="dxa"/>
            <w:vAlign w:val="center"/>
          </w:tcPr>
          <w:p>
            <w:pPr>
              <w:pStyle w:val="12"/>
            </w:pPr>
            <w:r>
              <w:t>≥96%</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2835" w:type="dxa"/>
            <w:vAlign w:val="center"/>
          </w:tcPr>
          <w:p>
            <w:pPr>
              <w:pStyle w:val="12"/>
            </w:pPr>
            <w:r>
              <w:t>工作任务完成及时率</w:t>
            </w:r>
          </w:p>
        </w:tc>
        <w:tc>
          <w:tcPr>
            <w:tcW w:w="2551" w:type="dxa"/>
            <w:vAlign w:val="center"/>
          </w:tcPr>
          <w:p>
            <w:pPr>
              <w:pStyle w:val="12"/>
            </w:pPr>
            <w:r>
              <w:t>≥98%</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≤46.8万元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重点污染源清单库</w:t>
            </w:r>
          </w:p>
        </w:tc>
        <w:tc>
          <w:tcPr>
            <w:tcW w:w="2835" w:type="dxa"/>
            <w:vAlign w:val="center"/>
          </w:tcPr>
          <w:p>
            <w:pPr>
              <w:pStyle w:val="12"/>
            </w:pPr>
            <w:r>
              <w:t>重点污染源清单库</w:t>
            </w:r>
          </w:p>
        </w:tc>
        <w:tc>
          <w:tcPr>
            <w:tcW w:w="2551" w:type="dxa"/>
            <w:vAlign w:val="center"/>
          </w:tcPr>
          <w:p>
            <w:pPr>
              <w:pStyle w:val="12"/>
            </w:pPr>
            <w:r>
              <w:t>≤5家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持续影响效果</w:t>
            </w:r>
          </w:p>
        </w:tc>
        <w:tc>
          <w:tcPr>
            <w:tcW w:w="2835" w:type="dxa"/>
            <w:vAlign w:val="center"/>
          </w:tcPr>
          <w:p>
            <w:pPr>
              <w:pStyle w:val="12"/>
            </w:pPr>
            <w:r>
              <w:t>群众环保意识进一步提高</w:t>
            </w:r>
          </w:p>
        </w:tc>
        <w:tc>
          <w:tcPr>
            <w:tcW w:w="2551" w:type="dxa"/>
            <w:vAlign w:val="center"/>
          </w:tcPr>
          <w:p>
            <w:pPr>
              <w:pStyle w:val="12"/>
            </w:pPr>
            <w:r>
              <w:t>≥96%</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≥96%</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2、电子政务外网服务费绩效目标表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1.目标内容：通过设备服务、软件服务、信息系统集成、运行维护服务、技术服务，达到鹿泉区电子政务外网安全高效运行。</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硬件维护</w:t>
            </w:r>
          </w:p>
        </w:tc>
        <w:tc>
          <w:tcPr>
            <w:tcW w:w="2835" w:type="dxa"/>
            <w:vAlign w:val="center"/>
          </w:tcPr>
          <w:p>
            <w:pPr>
              <w:pStyle w:val="12"/>
            </w:pPr>
            <w:r>
              <w:t>硬件维护数量</w:t>
            </w:r>
          </w:p>
        </w:tc>
        <w:tc>
          <w:tcPr>
            <w:tcW w:w="2551" w:type="dxa"/>
            <w:vAlign w:val="center"/>
          </w:tcPr>
          <w:p>
            <w:pPr>
              <w:pStyle w:val="12"/>
            </w:pPr>
            <w:r>
              <w:t>≥25个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系统故障率</w:t>
            </w:r>
          </w:p>
        </w:tc>
        <w:tc>
          <w:tcPr>
            <w:tcW w:w="2835" w:type="dxa"/>
            <w:vAlign w:val="center"/>
          </w:tcPr>
          <w:p>
            <w:pPr>
              <w:pStyle w:val="12"/>
            </w:pPr>
            <w:r>
              <w:t>系统出现故障率</w:t>
            </w:r>
          </w:p>
        </w:tc>
        <w:tc>
          <w:tcPr>
            <w:tcW w:w="2551" w:type="dxa"/>
            <w:vAlign w:val="center"/>
          </w:tcPr>
          <w:p>
            <w:pPr>
              <w:pStyle w:val="12"/>
            </w:pPr>
            <w:r>
              <w:t>&lt;10%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系统故障修复及时性</w:t>
            </w:r>
          </w:p>
        </w:tc>
        <w:tc>
          <w:tcPr>
            <w:tcW w:w="2835" w:type="dxa"/>
            <w:vAlign w:val="center"/>
          </w:tcPr>
          <w:p>
            <w:pPr>
              <w:pStyle w:val="12"/>
            </w:pPr>
            <w:r>
              <w:t>系统故障修复及时性</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186.5万元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系统正常使用年限</w:t>
            </w:r>
          </w:p>
        </w:tc>
        <w:tc>
          <w:tcPr>
            <w:tcW w:w="2835" w:type="dxa"/>
            <w:vAlign w:val="center"/>
          </w:tcPr>
          <w:p>
            <w:pPr>
              <w:pStyle w:val="12"/>
            </w:pPr>
            <w:r>
              <w:t>购买的系统可正常使用的年限</w:t>
            </w:r>
          </w:p>
        </w:tc>
        <w:tc>
          <w:tcPr>
            <w:tcW w:w="2551" w:type="dxa"/>
            <w:vAlign w:val="center"/>
          </w:tcPr>
          <w:p>
            <w:pPr>
              <w:pStyle w:val="12"/>
            </w:pPr>
            <w:r>
              <w:t>3年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2835" w:type="dxa"/>
            <w:vAlign w:val="center"/>
          </w:tcPr>
          <w:p>
            <w:pPr>
              <w:pStyle w:val="12"/>
            </w:pPr>
            <w:r>
              <w:t>服务对象满意程度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3、公务招待费绩效目标表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1.目标内容：服务于区政府,圆满完成各项接待任务，有效推进我区经济建设的任务目标，保障上级在鹿泉区的各项重大活动圆满完成</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完成公务接待次数</w:t>
            </w:r>
          </w:p>
        </w:tc>
        <w:tc>
          <w:tcPr>
            <w:tcW w:w="2835" w:type="dxa"/>
            <w:vAlign w:val="center"/>
          </w:tcPr>
          <w:p>
            <w:pPr>
              <w:pStyle w:val="12"/>
            </w:pPr>
            <w:r>
              <w:t>项目拉练及重大活动次数</w:t>
            </w:r>
          </w:p>
        </w:tc>
        <w:tc>
          <w:tcPr>
            <w:tcW w:w="2551" w:type="dxa"/>
            <w:vAlign w:val="center"/>
          </w:tcPr>
          <w:p>
            <w:pPr>
              <w:pStyle w:val="12"/>
            </w:pPr>
            <w:r>
              <w:t>≤6次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公务接待完成情况</w:t>
            </w:r>
          </w:p>
        </w:tc>
        <w:tc>
          <w:tcPr>
            <w:tcW w:w="2835" w:type="dxa"/>
            <w:vAlign w:val="center"/>
          </w:tcPr>
          <w:p>
            <w:pPr>
              <w:pStyle w:val="12"/>
            </w:pPr>
            <w:r>
              <w:t>公务接待完成情况</w:t>
            </w:r>
          </w:p>
        </w:tc>
        <w:tc>
          <w:tcPr>
            <w:tcW w:w="2551" w:type="dxa"/>
            <w:vAlign w:val="center"/>
          </w:tcPr>
          <w:p>
            <w:pPr>
              <w:pStyle w:val="12"/>
            </w:pPr>
            <w:r>
              <w:t>是否圆满完成</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2835" w:type="dxa"/>
            <w:vAlign w:val="center"/>
          </w:tcPr>
          <w:p>
            <w:pPr>
              <w:pStyle w:val="12"/>
            </w:pPr>
            <w:r>
              <w:t>是否按时完成</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接待成本</w:t>
            </w:r>
          </w:p>
        </w:tc>
        <w:tc>
          <w:tcPr>
            <w:tcW w:w="2835" w:type="dxa"/>
            <w:vAlign w:val="center"/>
          </w:tcPr>
          <w:p>
            <w:pPr>
              <w:pStyle w:val="12"/>
            </w:pPr>
            <w:r>
              <w:t>接待成本</w:t>
            </w:r>
          </w:p>
        </w:tc>
        <w:tc>
          <w:tcPr>
            <w:tcW w:w="2551" w:type="dxa"/>
            <w:vAlign w:val="center"/>
          </w:tcPr>
          <w:p>
            <w:pPr>
              <w:pStyle w:val="12"/>
            </w:pPr>
            <w:r>
              <w:t>≤10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可持续影响度</w:t>
            </w:r>
          </w:p>
        </w:tc>
        <w:tc>
          <w:tcPr>
            <w:tcW w:w="2835" w:type="dxa"/>
            <w:vAlign w:val="center"/>
          </w:tcPr>
          <w:p>
            <w:pPr>
              <w:pStyle w:val="12"/>
            </w:pPr>
            <w:r>
              <w:t>可持续影响度</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4、国家赔偿金绩效目标表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1.1、通过国家赔偿行为以体现法治公平的目标。2、通过国家赔偿达到维护社会稳定的目标</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国家赔偿金金额</w:t>
            </w:r>
          </w:p>
        </w:tc>
        <w:tc>
          <w:tcPr>
            <w:tcW w:w="2835" w:type="dxa"/>
            <w:vAlign w:val="center"/>
          </w:tcPr>
          <w:p>
            <w:pPr>
              <w:pStyle w:val="12"/>
            </w:pPr>
            <w:r>
              <w:t>国家赔偿金金额</w:t>
            </w:r>
          </w:p>
        </w:tc>
        <w:tc>
          <w:tcPr>
            <w:tcW w:w="2551" w:type="dxa"/>
            <w:vAlign w:val="center"/>
          </w:tcPr>
          <w:p>
            <w:pPr>
              <w:pStyle w:val="12"/>
            </w:pPr>
            <w:r>
              <w:t>≤10万元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国家赔偿金完成率</w:t>
            </w:r>
          </w:p>
        </w:tc>
        <w:tc>
          <w:tcPr>
            <w:tcW w:w="2835" w:type="dxa"/>
            <w:vAlign w:val="center"/>
          </w:tcPr>
          <w:p>
            <w:pPr>
              <w:pStyle w:val="12"/>
            </w:pPr>
            <w:r>
              <w:t>国家赔偿金完成情况</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国家赔偿金赔偿及时率</w:t>
            </w:r>
          </w:p>
        </w:tc>
        <w:tc>
          <w:tcPr>
            <w:tcW w:w="2835" w:type="dxa"/>
            <w:vAlign w:val="center"/>
          </w:tcPr>
          <w:p>
            <w:pPr>
              <w:pStyle w:val="12"/>
            </w:pPr>
            <w:r>
              <w:t>国家赔偿金赔偿及时性</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赔偿金成本</w:t>
            </w:r>
          </w:p>
        </w:tc>
        <w:tc>
          <w:tcPr>
            <w:tcW w:w="2835" w:type="dxa"/>
            <w:vAlign w:val="center"/>
          </w:tcPr>
          <w:p>
            <w:pPr>
              <w:pStyle w:val="12"/>
            </w:pPr>
            <w:r>
              <w:t>赔偿金成本</w:t>
            </w:r>
          </w:p>
        </w:tc>
        <w:tc>
          <w:tcPr>
            <w:tcW w:w="2551" w:type="dxa"/>
            <w:vAlign w:val="center"/>
          </w:tcPr>
          <w:p>
            <w:pPr>
              <w:pStyle w:val="12"/>
            </w:pPr>
            <w:r>
              <w:t>≤10万元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2835" w:type="dxa"/>
            <w:vAlign w:val="center"/>
          </w:tcPr>
          <w:p>
            <w:pPr>
              <w:pStyle w:val="12"/>
            </w:pPr>
            <w:r>
              <w:t>社会影响力方面的变化情况</w:t>
            </w:r>
          </w:p>
        </w:tc>
        <w:tc>
          <w:tcPr>
            <w:tcW w:w="2551" w:type="dxa"/>
            <w:vAlign w:val="center"/>
          </w:tcPr>
          <w:p>
            <w:pPr>
              <w:pStyle w:val="12"/>
            </w:pPr>
            <w:r>
              <w:t>提升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群众对赔偿结果满意度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5、人防经费绩效目标表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1.目标内容：通过建设人防教育基地一处及不少于2次的人防宣传，做好人防宣传教育工作，做到战时有序组织开展人民防空空情信息保障、群众疏散掩蔽等重要的人防工作</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人防宣传次数</w:t>
            </w:r>
          </w:p>
        </w:tc>
        <w:tc>
          <w:tcPr>
            <w:tcW w:w="2835" w:type="dxa"/>
            <w:vAlign w:val="center"/>
          </w:tcPr>
          <w:p>
            <w:pPr>
              <w:pStyle w:val="12"/>
            </w:pPr>
            <w:r>
              <w:t>宣传次数</w:t>
            </w:r>
          </w:p>
        </w:tc>
        <w:tc>
          <w:tcPr>
            <w:tcW w:w="2551" w:type="dxa"/>
            <w:vAlign w:val="center"/>
          </w:tcPr>
          <w:p>
            <w:pPr>
              <w:pStyle w:val="12"/>
            </w:pPr>
            <w:r>
              <w:t>≥2次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人防警报安装的验收通过率</w:t>
            </w:r>
          </w:p>
        </w:tc>
        <w:tc>
          <w:tcPr>
            <w:tcW w:w="2835" w:type="dxa"/>
            <w:vAlign w:val="center"/>
          </w:tcPr>
          <w:p>
            <w:pPr>
              <w:pStyle w:val="12"/>
            </w:pPr>
            <w:r>
              <w:t>人防警报试鸣及安装</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人防宣传按时完成率</w:t>
            </w:r>
          </w:p>
        </w:tc>
        <w:tc>
          <w:tcPr>
            <w:tcW w:w="2835" w:type="dxa"/>
            <w:vAlign w:val="center"/>
          </w:tcPr>
          <w:p>
            <w:pPr>
              <w:pStyle w:val="12"/>
            </w:pPr>
            <w:r>
              <w:t>人防宣传按时完成情况</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≤110万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成果应用效果</w:t>
            </w:r>
          </w:p>
        </w:tc>
        <w:tc>
          <w:tcPr>
            <w:tcW w:w="2835" w:type="dxa"/>
            <w:vAlign w:val="center"/>
          </w:tcPr>
          <w:p>
            <w:pPr>
              <w:pStyle w:val="12"/>
            </w:pPr>
            <w:r>
              <w:t>通过人防教育基地建设，提高群众对人防工作的认识</w:t>
            </w:r>
          </w:p>
        </w:tc>
        <w:tc>
          <w:tcPr>
            <w:tcW w:w="2551" w:type="dxa"/>
            <w:vAlign w:val="center"/>
          </w:tcPr>
          <w:p>
            <w:pPr>
              <w:pStyle w:val="12"/>
            </w:pPr>
            <w:r>
              <w:t>进一步提高群众对人防的认识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群众对诉求事项解决情况满意度</w:t>
            </w:r>
          </w:p>
        </w:tc>
        <w:tc>
          <w:tcPr>
            <w:tcW w:w="2551" w:type="dxa"/>
            <w:vAlign w:val="center"/>
          </w:tcPr>
          <w:p>
            <w:pPr>
              <w:pStyle w:val="12"/>
            </w:pPr>
            <w:r>
              <w:t>≥90%</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6、市民服务热线经费绩效目标表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1.目标内容：公开电话实行24小时办公，进一步提高我区公开电话办理质量,提升群众满意度,解决群众的烦心事、揪心事</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公开电话受理时间</w:t>
            </w:r>
          </w:p>
        </w:tc>
        <w:tc>
          <w:tcPr>
            <w:tcW w:w="2835" w:type="dxa"/>
            <w:vAlign w:val="center"/>
          </w:tcPr>
          <w:p>
            <w:pPr>
              <w:pStyle w:val="12"/>
            </w:pPr>
            <w:r>
              <w:t>公开电话受理时间</w:t>
            </w:r>
          </w:p>
        </w:tc>
        <w:tc>
          <w:tcPr>
            <w:tcW w:w="2551" w:type="dxa"/>
            <w:vAlign w:val="center"/>
          </w:tcPr>
          <w:p>
            <w:pPr>
              <w:pStyle w:val="12"/>
            </w:pPr>
            <w:r>
              <w:t>24小时/天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公开电话办结率</w:t>
            </w:r>
          </w:p>
        </w:tc>
        <w:tc>
          <w:tcPr>
            <w:tcW w:w="2835" w:type="dxa"/>
            <w:vAlign w:val="center"/>
          </w:tcPr>
          <w:p>
            <w:pPr>
              <w:pStyle w:val="12"/>
            </w:pPr>
            <w:r>
              <w:t>群众诉求事项案件办结率</w:t>
            </w:r>
          </w:p>
        </w:tc>
        <w:tc>
          <w:tcPr>
            <w:tcW w:w="2551" w:type="dxa"/>
            <w:vAlign w:val="center"/>
          </w:tcPr>
          <w:p>
            <w:pPr>
              <w:pStyle w:val="12"/>
            </w:pPr>
            <w:r>
              <w:t>≥80%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公开电话办理及时性</w:t>
            </w:r>
          </w:p>
        </w:tc>
        <w:tc>
          <w:tcPr>
            <w:tcW w:w="2835" w:type="dxa"/>
            <w:vAlign w:val="center"/>
          </w:tcPr>
          <w:p>
            <w:pPr>
              <w:pStyle w:val="12"/>
            </w:pPr>
            <w:r>
              <w:t>群众反映问题立即交办</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减少资金成本，人员优化</w:t>
            </w:r>
          </w:p>
        </w:tc>
        <w:tc>
          <w:tcPr>
            <w:tcW w:w="2551" w:type="dxa"/>
            <w:vAlign w:val="center"/>
          </w:tcPr>
          <w:p>
            <w:pPr>
              <w:pStyle w:val="12"/>
            </w:pPr>
            <w:r>
              <w:t>≤96万元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受理电话落实率</w:t>
            </w:r>
          </w:p>
        </w:tc>
        <w:tc>
          <w:tcPr>
            <w:tcW w:w="2835" w:type="dxa"/>
            <w:vAlign w:val="center"/>
          </w:tcPr>
          <w:p>
            <w:pPr>
              <w:pStyle w:val="12"/>
            </w:pPr>
            <w:r>
              <w:t>受理电话落实情况</w:t>
            </w:r>
          </w:p>
        </w:tc>
        <w:tc>
          <w:tcPr>
            <w:tcW w:w="2551" w:type="dxa"/>
            <w:vAlign w:val="center"/>
          </w:tcPr>
          <w:p>
            <w:pPr>
              <w:pStyle w:val="12"/>
            </w:pPr>
            <w:r>
              <w:t>≥85%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≥85%</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7、信息化运行维护费绩效目标表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1.目标内容：通过政府门户网站、网络办公系统2套系统的维护，保障全区各部门、乡镇正常发布网站信息；及时收发通知、公文。</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软件维护数量</w:t>
            </w:r>
          </w:p>
        </w:tc>
        <w:tc>
          <w:tcPr>
            <w:tcW w:w="2835" w:type="dxa"/>
            <w:vAlign w:val="center"/>
          </w:tcPr>
          <w:p>
            <w:pPr>
              <w:pStyle w:val="12"/>
            </w:pPr>
            <w:r>
              <w:t>软件维护数量</w:t>
            </w:r>
          </w:p>
        </w:tc>
        <w:tc>
          <w:tcPr>
            <w:tcW w:w="2551" w:type="dxa"/>
            <w:vAlign w:val="center"/>
          </w:tcPr>
          <w:p>
            <w:pPr>
              <w:pStyle w:val="12"/>
            </w:pPr>
            <w:r>
              <w:t>2个</w:t>
            </w:r>
          </w:p>
        </w:tc>
        <w:tc>
          <w:tcPr>
            <w:tcW w:w="2268"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系统故障率</w:t>
            </w:r>
          </w:p>
        </w:tc>
        <w:tc>
          <w:tcPr>
            <w:tcW w:w="2835" w:type="dxa"/>
            <w:vAlign w:val="center"/>
          </w:tcPr>
          <w:p>
            <w:pPr>
              <w:pStyle w:val="12"/>
            </w:pPr>
            <w:r>
              <w:t>系统出现故障率</w:t>
            </w:r>
          </w:p>
        </w:tc>
        <w:tc>
          <w:tcPr>
            <w:tcW w:w="2551" w:type="dxa"/>
            <w:vAlign w:val="center"/>
          </w:tcPr>
          <w:p>
            <w:pPr>
              <w:pStyle w:val="12"/>
            </w:pPr>
            <w:r>
              <w:t>≤10%</w:t>
            </w:r>
          </w:p>
        </w:tc>
        <w:tc>
          <w:tcPr>
            <w:tcW w:w="2268"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处理业务及时性</w:t>
            </w:r>
          </w:p>
        </w:tc>
        <w:tc>
          <w:tcPr>
            <w:tcW w:w="2835" w:type="dxa"/>
            <w:vAlign w:val="center"/>
          </w:tcPr>
          <w:p>
            <w:pPr>
              <w:pStyle w:val="12"/>
            </w:pPr>
            <w:r>
              <w:t>及时处理业务数占总处理数的比例</w:t>
            </w:r>
          </w:p>
        </w:tc>
        <w:tc>
          <w:tcPr>
            <w:tcW w:w="2551" w:type="dxa"/>
            <w:vAlign w:val="center"/>
          </w:tcPr>
          <w:p>
            <w:pPr>
              <w:pStyle w:val="12"/>
            </w:pPr>
            <w:r>
              <w:t>≥90%</w:t>
            </w:r>
          </w:p>
        </w:tc>
        <w:tc>
          <w:tcPr>
            <w:tcW w:w="2268"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≤90万元</w:t>
            </w:r>
          </w:p>
        </w:tc>
        <w:tc>
          <w:tcPr>
            <w:tcW w:w="2268"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软件正常使用年限</w:t>
            </w:r>
          </w:p>
        </w:tc>
        <w:tc>
          <w:tcPr>
            <w:tcW w:w="2835" w:type="dxa"/>
            <w:vAlign w:val="center"/>
          </w:tcPr>
          <w:p>
            <w:pPr>
              <w:pStyle w:val="12"/>
            </w:pPr>
            <w:r>
              <w:t>软件正常使用年限</w:t>
            </w:r>
          </w:p>
        </w:tc>
        <w:tc>
          <w:tcPr>
            <w:tcW w:w="2551" w:type="dxa"/>
            <w:vAlign w:val="center"/>
          </w:tcPr>
          <w:p>
            <w:pPr>
              <w:pStyle w:val="12"/>
            </w:pPr>
            <w:r>
              <w:t>≥1年</w:t>
            </w:r>
          </w:p>
        </w:tc>
        <w:tc>
          <w:tcPr>
            <w:tcW w:w="2268"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≥99%</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8、因公出国费绩效目标表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1.走访国外知名企业2、引进国外专家人才，学习国外先进经验</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出访次数</w:t>
            </w:r>
          </w:p>
        </w:tc>
        <w:tc>
          <w:tcPr>
            <w:tcW w:w="2835" w:type="dxa"/>
            <w:vAlign w:val="center"/>
          </w:tcPr>
          <w:p>
            <w:pPr>
              <w:pStyle w:val="12"/>
            </w:pPr>
            <w:r>
              <w:t>出访次数</w:t>
            </w:r>
          </w:p>
        </w:tc>
        <w:tc>
          <w:tcPr>
            <w:tcW w:w="2551" w:type="dxa"/>
            <w:vAlign w:val="center"/>
          </w:tcPr>
          <w:p>
            <w:pPr>
              <w:pStyle w:val="12"/>
            </w:pPr>
            <w:r>
              <w:t>≥3次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出国任务完成率</w:t>
            </w:r>
          </w:p>
        </w:tc>
        <w:tc>
          <w:tcPr>
            <w:tcW w:w="2835" w:type="dxa"/>
            <w:vAlign w:val="center"/>
          </w:tcPr>
          <w:p>
            <w:pPr>
              <w:pStyle w:val="12"/>
            </w:pPr>
            <w:r>
              <w:t>出国任务完成情况</w:t>
            </w:r>
          </w:p>
        </w:tc>
        <w:tc>
          <w:tcPr>
            <w:tcW w:w="2551" w:type="dxa"/>
            <w:vAlign w:val="center"/>
          </w:tcPr>
          <w:p>
            <w:pPr>
              <w:pStyle w:val="12"/>
            </w:pPr>
            <w:r>
              <w:t>≥96%</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出国任务完成情况</w:t>
            </w:r>
          </w:p>
        </w:tc>
        <w:tc>
          <w:tcPr>
            <w:tcW w:w="2835" w:type="dxa"/>
            <w:vAlign w:val="center"/>
          </w:tcPr>
          <w:p>
            <w:pPr>
              <w:pStyle w:val="12"/>
            </w:pPr>
            <w:r>
              <w:t>出国任务按时完成情况</w:t>
            </w:r>
          </w:p>
        </w:tc>
        <w:tc>
          <w:tcPr>
            <w:tcW w:w="2551" w:type="dxa"/>
            <w:vAlign w:val="center"/>
          </w:tcPr>
          <w:p>
            <w:pPr>
              <w:pStyle w:val="12"/>
            </w:pPr>
            <w:r>
              <w:t>≥96%</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出访成本</w:t>
            </w:r>
          </w:p>
        </w:tc>
        <w:tc>
          <w:tcPr>
            <w:tcW w:w="2835" w:type="dxa"/>
            <w:vAlign w:val="center"/>
          </w:tcPr>
          <w:p>
            <w:pPr>
              <w:pStyle w:val="12"/>
            </w:pPr>
            <w:r>
              <w:t>出访成本</w:t>
            </w:r>
          </w:p>
        </w:tc>
        <w:tc>
          <w:tcPr>
            <w:tcW w:w="2551" w:type="dxa"/>
            <w:vAlign w:val="center"/>
          </w:tcPr>
          <w:p>
            <w:pPr>
              <w:pStyle w:val="12"/>
            </w:pPr>
            <w:r>
              <w:t>≤7.5万元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2835" w:type="dxa"/>
            <w:vAlign w:val="center"/>
          </w:tcPr>
          <w:p>
            <w:pPr>
              <w:pStyle w:val="12"/>
            </w:pPr>
            <w:r>
              <w:t>社会影响力方面的变化情况</w:t>
            </w:r>
          </w:p>
        </w:tc>
        <w:tc>
          <w:tcPr>
            <w:tcW w:w="2551" w:type="dxa"/>
            <w:vAlign w:val="center"/>
          </w:tcPr>
          <w:p>
            <w:pPr>
              <w:pStyle w:val="12"/>
            </w:pPr>
            <w:r>
              <w:t>提升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活动参与者满意度</w:t>
            </w:r>
          </w:p>
        </w:tc>
        <w:tc>
          <w:tcPr>
            <w:tcW w:w="2835" w:type="dxa"/>
            <w:vAlign w:val="center"/>
          </w:tcPr>
          <w:p>
            <w:pPr>
              <w:pStyle w:val="12"/>
            </w:pPr>
            <w:r>
              <w:t>调查中满意和较满意人数占调查总人数的比</w:t>
            </w:r>
          </w:p>
        </w:tc>
        <w:tc>
          <w:tcPr>
            <w:tcW w:w="2551" w:type="dxa"/>
            <w:vAlign w:val="center"/>
          </w:tcPr>
          <w:p>
            <w:pPr>
              <w:pStyle w:val="12"/>
            </w:pPr>
            <w:r>
              <w:t>≥99%</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9、重大活动经费绩效目标表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1.目标内容：通过组织1-5次的重大活动，对外宣传，塑造我区良好形象，提升招商引资水平。</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组织宣传活动次数</w:t>
            </w:r>
          </w:p>
        </w:tc>
        <w:tc>
          <w:tcPr>
            <w:tcW w:w="2835" w:type="dxa"/>
            <w:vAlign w:val="center"/>
          </w:tcPr>
          <w:p>
            <w:pPr>
              <w:pStyle w:val="12"/>
            </w:pPr>
            <w:r>
              <w:t>宣传活动次数</w:t>
            </w:r>
          </w:p>
        </w:tc>
        <w:tc>
          <w:tcPr>
            <w:tcW w:w="2551" w:type="dxa"/>
            <w:vAlign w:val="center"/>
          </w:tcPr>
          <w:p>
            <w:pPr>
              <w:pStyle w:val="12"/>
            </w:pPr>
            <w:r>
              <w:t>≤5次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宣传活动覆盖率</w:t>
            </w:r>
          </w:p>
        </w:tc>
        <w:tc>
          <w:tcPr>
            <w:tcW w:w="2835" w:type="dxa"/>
            <w:vAlign w:val="center"/>
          </w:tcPr>
          <w:p>
            <w:pPr>
              <w:pStyle w:val="12"/>
            </w:pPr>
            <w:r>
              <w:t>宣传活动覆盖率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重大活动按时完成率</w:t>
            </w:r>
          </w:p>
        </w:tc>
        <w:tc>
          <w:tcPr>
            <w:tcW w:w="2835" w:type="dxa"/>
            <w:vAlign w:val="center"/>
          </w:tcPr>
          <w:p>
            <w:pPr>
              <w:pStyle w:val="12"/>
            </w:pPr>
            <w:r>
              <w:t>重大活动按时完成</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资金成本控制</w:t>
            </w:r>
          </w:p>
        </w:tc>
        <w:tc>
          <w:tcPr>
            <w:tcW w:w="2551" w:type="dxa"/>
            <w:vAlign w:val="center"/>
          </w:tcPr>
          <w:p>
            <w:pPr>
              <w:pStyle w:val="12"/>
            </w:pPr>
            <w:r>
              <w:t>≤30万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宣传知晓率</w:t>
            </w:r>
          </w:p>
        </w:tc>
        <w:tc>
          <w:tcPr>
            <w:tcW w:w="2835" w:type="dxa"/>
            <w:vAlign w:val="center"/>
          </w:tcPr>
          <w:p>
            <w:pPr>
              <w:pStyle w:val="12"/>
            </w:pPr>
            <w:r>
              <w:t>对外宣传效果</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10、专项工作经费绩效目标表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1.目标内容1、对外招商考察2、通过政务公开及政务督查力求上级政策落到实处</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外出考察次数</w:t>
            </w:r>
          </w:p>
        </w:tc>
        <w:tc>
          <w:tcPr>
            <w:tcW w:w="2835" w:type="dxa"/>
            <w:vAlign w:val="center"/>
          </w:tcPr>
          <w:p>
            <w:pPr>
              <w:pStyle w:val="12"/>
            </w:pPr>
            <w:r>
              <w:t>全年外出考察次数</w:t>
            </w:r>
          </w:p>
        </w:tc>
        <w:tc>
          <w:tcPr>
            <w:tcW w:w="2551" w:type="dxa"/>
            <w:vAlign w:val="center"/>
          </w:tcPr>
          <w:p>
            <w:pPr>
              <w:pStyle w:val="12"/>
            </w:pPr>
            <w:r>
              <w:t>≤10次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外出考察效果</w:t>
            </w:r>
          </w:p>
        </w:tc>
        <w:tc>
          <w:tcPr>
            <w:tcW w:w="2835" w:type="dxa"/>
            <w:vAlign w:val="center"/>
          </w:tcPr>
          <w:p>
            <w:pPr>
              <w:pStyle w:val="12"/>
            </w:pPr>
            <w:r>
              <w:t>外出考察效果</w:t>
            </w:r>
          </w:p>
        </w:tc>
        <w:tc>
          <w:tcPr>
            <w:tcW w:w="2551" w:type="dxa"/>
            <w:vAlign w:val="center"/>
          </w:tcPr>
          <w:p>
            <w:pPr>
              <w:pStyle w:val="12"/>
            </w:pPr>
            <w:r>
              <w:t>是否达到预期目标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考察按时完成率</w:t>
            </w:r>
          </w:p>
        </w:tc>
        <w:tc>
          <w:tcPr>
            <w:tcW w:w="2835" w:type="dxa"/>
            <w:vAlign w:val="center"/>
          </w:tcPr>
          <w:p>
            <w:pPr>
              <w:pStyle w:val="12"/>
            </w:pPr>
            <w:r>
              <w:t>考察按时完成</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≤118万元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社会影响率</w:t>
            </w:r>
          </w:p>
        </w:tc>
        <w:tc>
          <w:tcPr>
            <w:tcW w:w="2835" w:type="dxa"/>
            <w:vAlign w:val="center"/>
          </w:tcPr>
          <w:p>
            <w:pPr>
              <w:pStyle w:val="12"/>
            </w:pPr>
            <w:r>
              <w:t>社会影响力方面的变化</w:t>
            </w:r>
          </w:p>
        </w:tc>
        <w:tc>
          <w:tcPr>
            <w:tcW w:w="2551" w:type="dxa"/>
            <w:vAlign w:val="center"/>
          </w:tcPr>
          <w:p>
            <w:pPr>
              <w:pStyle w:val="12"/>
            </w:pPr>
            <w:r>
              <w:t>提升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2023年，石家庄市鹿泉区人民政府办公室本级安排政府采购预算96.00万元。具体内容见下表。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301001石家庄市鹿泉区人民政府办公室本级</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96.00</w:t>
            </w:r>
          </w:p>
        </w:tc>
        <w:tc>
          <w:tcPr>
            <w:tcW w:w="964" w:type="dxa"/>
            <w:vAlign w:val="center"/>
          </w:tcPr>
          <w:p>
            <w:pPr>
              <w:pStyle w:val="15"/>
            </w:pPr>
            <w:r>
              <w:t>96.00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石家庄市鹿泉区人民政府办公室本级小计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96.00</w:t>
            </w:r>
          </w:p>
        </w:tc>
        <w:tc>
          <w:tcPr>
            <w:tcW w:w="964" w:type="dxa"/>
            <w:vAlign w:val="center"/>
          </w:tcPr>
          <w:p>
            <w:pPr>
              <w:pStyle w:val="15"/>
            </w:pPr>
            <w:r>
              <w:t>96.00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市民服务热线经费</w:t>
            </w:r>
          </w:p>
        </w:tc>
        <w:tc>
          <w:tcPr>
            <w:tcW w:w="964" w:type="dxa"/>
            <w:vAlign w:val="center"/>
          </w:tcPr>
          <w:p>
            <w:pPr>
              <w:pStyle w:val="11"/>
            </w:pPr>
            <w:r>
              <w:t>96.00</w:t>
            </w:r>
          </w:p>
        </w:tc>
        <w:tc>
          <w:tcPr>
            <w:tcW w:w="1134" w:type="dxa"/>
            <w:vAlign w:val="center"/>
          </w:tcPr>
          <w:p>
            <w:pPr>
              <w:pStyle w:val="12"/>
            </w:pPr>
            <w:r>
              <w:t>其他信息技术服务</w:t>
            </w:r>
          </w:p>
        </w:tc>
        <w:tc>
          <w:tcPr>
            <w:tcW w:w="1134" w:type="dxa"/>
            <w:vAlign w:val="center"/>
          </w:tcPr>
          <w:p>
            <w:pPr>
              <w:pStyle w:val="12"/>
            </w:pPr>
            <w:r>
              <w:t>C16990000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96.00</w:t>
            </w:r>
          </w:p>
        </w:tc>
        <w:tc>
          <w:tcPr>
            <w:tcW w:w="964" w:type="dxa"/>
            <w:vAlign w:val="center"/>
          </w:tcPr>
          <w:p>
            <w:pPr>
              <w:pStyle w:val="11"/>
            </w:pPr>
            <w:r>
              <w:t>96.00</w:t>
            </w:r>
          </w:p>
        </w:tc>
        <w:tc>
          <w:tcPr>
            <w:tcW w:w="964" w:type="dxa"/>
            <w:vAlign w:val="center"/>
          </w:tcPr>
          <w:p>
            <w:pPr>
              <w:pStyle w:val="11"/>
            </w:pPr>
            <w:r>
              <w:t>96.00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96.00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石家庄市鹿泉区人民政府办公室本级上年末固定资产金额为1445.43万元（详见下表）。本年度拟购置固定资产总额为10.00万元，已按要求列入政府采购预算，详见政府采购预算表。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301001石家庄市鹿泉区人民政府办公室本级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1445.43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r>
              <w:t>521.00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r>
              <w:t>521.00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r>
              <w:t>545.43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379.00</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roman"/>
    <w:pitch w:val="default"/>
    <w:sig w:usb0="00000001" w:usb1="08000000" w:usb2="00000000" w:usb3="00000000" w:csb0="00040000" w:csb1="00000000"/>
  </w:font>
  <w:font w:name="方正书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14</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2E3Njk2YzU5MWFmMmZjYzgzN2Q3MWZjODk1ZGE2YWEifQ=="/>
  </w:docVars>
  <w:rsids>
    <w:rsidRoot w:val="007A5FD1"/>
    <w:rsid w:val="007A5FD1"/>
    <w:rsid w:val="00AE7F2B"/>
    <w:rsid w:val="00BC5308"/>
    <w:rsid w:val="00D21D80"/>
    <w:rsid w:val="01DA0D2E"/>
    <w:rsid w:val="0EDE15A2"/>
    <w:rsid w:val="196E316C"/>
    <w:rsid w:val="1CE036C3"/>
    <w:rsid w:val="1DF74C4A"/>
    <w:rsid w:val="1E336C3A"/>
    <w:rsid w:val="225F3F33"/>
    <w:rsid w:val="231353AB"/>
    <w:rsid w:val="34CF2578"/>
    <w:rsid w:val="365629A7"/>
    <w:rsid w:val="3716497A"/>
    <w:rsid w:val="3CF42BCC"/>
    <w:rsid w:val="41CB0734"/>
    <w:rsid w:val="462067F8"/>
    <w:rsid w:val="48BB2CDA"/>
    <w:rsid w:val="4A086152"/>
    <w:rsid w:val="4CA1583B"/>
    <w:rsid w:val="5254144F"/>
    <w:rsid w:val="53137F75"/>
    <w:rsid w:val="590D05C0"/>
    <w:rsid w:val="63E82FAD"/>
    <w:rsid w:val="6DCD4647"/>
    <w:rsid w:val="74D70BEE"/>
    <w:rsid w:val="7F2127CE"/>
    <w:rsid w:val="BFFFB1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34"/>
    <w:unhideWhenUsed/>
    <w:qFormat/>
    <w:uiPriority w:val="99"/>
    <w:pPr>
      <w:tabs>
        <w:tab w:val="center" w:pos="4153"/>
        <w:tab w:val="right" w:pos="8306"/>
      </w:tabs>
      <w:snapToGrid w:val="0"/>
    </w:pPr>
    <w:rPr>
      <w:sz w:val="18"/>
      <w:szCs w:val="18"/>
    </w:rPr>
  </w:style>
  <w:style w:type="paragraph" w:styleId="3">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67</Pages>
  <Words>4114</Words>
  <Characters>23452</Characters>
  <Lines>195</Lines>
  <Paragraphs>55</Paragraphs>
  <TotalTime>0</TotalTime>
  <ScaleCrop>false</ScaleCrop>
  <LinksUpToDate>false</LinksUpToDate>
  <CharactersWithSpaces>27511</CharactersWithSpaces>
  <Application>WPS Office_11.8.2.10195_F1E327BC-269C-435d-A152-05C5408002CA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2023-03-08T17:56:00Z</dcterms:created>
  <dc:creator>Administrator</dc:creator>
  <cp:lastModifiedBy>uos</cp:lastModifiedBy>
  <dcterms:modified xsi:type="dcterms:W3CDTF">2024-07-03T11:04:37Z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2052-11.8.2.10195</vt:lpwstr>
  </property>
  <property fmtid="{D5CDD505-2E9C-101B-9397-08002B2CF9AE}" pid="3" name="ICV">
    <vt:lpwstr>2FF31C4E6252467BB235F4CC2F798613_12</vt:lpwstr>
  </property>
</Properties>
</file>