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w:t>
      </w:r>
      <w:r>
        <w:rPr>
          <w:rFonts w:hint="eastAsia" w:ascii="黑体" w:hAnsi="黑体" w:eastAsia="黑体" w:cs="黑体"/>
          <w:b/>
          <w:color w:val="000000"/>
          <w:sz w:val="44"/>
          <w:lang w:eastAsia="zh-CN"/>
        </w:rPr>
        <w:t>部门所属单位</w:t>
      </w:r>
      <w:r>
        <w:rPr>
          <w:rFonts w:ascii="黑体" w:hAnsi="黑体" w:eastAsia="黑体" w:cs="黑体"/>
          <w:b/>
          <w:color w:val="000000"/>
          <w:sz w:val="44"/>
        </w:rPr>
        <w:t>预算信息公开目录</w:t>
      </w:r>
    </w:p>
    <w:p>
      <w:pPr>
        <w:jc w:val="center"/>
      </w:pPr>
    </w:p>
    <w:p>
      <w:pPr/>
    </w:p>
    <w:p>
      <w:pPr>
        <w:pStyle w:val="32"/>
        <w:tabs>
          <w:tab w:val="right" w:leader="dot" w:pos="14562"/>
        </w:tabs>
      </w:pPr>
      <w:r>
        <w:fldChar w:fldCharType="begin"/>
      </w:r>
      <w:r>
        <w:instrText xml:space="preserve">TOC \o "4-4" \h \z \u</w:instrText>
      </w:r>
      <w:r>
        <w:fldChar w:fldCharType="separate"/>
      </w:r>
      <w:r>
        <w:fldChar w:fldCharType="begin"/>
      </w:r>
      <w:r>
        <w:instrText xml:space="preserve"> HYPERLINK \l "_Toc_4_4_0000000019" </w:instrText>
      </w:r>
      <w:r>
        <w:fldChar w:fldCharType="separate"/>
      </w:r>
      <w:r>
        <w:t>一、石家庄市鹿泉区财政局本级收支预算</w:t>
      </w:r>
      <w:r>
        <w:tab/>
      </w:r>
      <w:r>
        <w:fldChar w:fldCharType="end"/>
      </w:r>
      <w:r>
        <w:rPr>
          <w:rFonts w:hint="eastAsia"/>
          <w:lang w:val="en-US" w:eastAsia="zh-CN"/>
        </w:rPr>
        <w:t>2</w:t>
      </w:r>
    </w:p>
    <w:p>
      <w:pPr>
        <w:sectPr>
          <w:pgSz w:w="16840" w:h="11900" w:orient="landscape"/>
          <w:pgMar w:top="1587" w:right="1134" w:bottom="1361" w:left="1134" w:header="720" w:footer="720" w:gutter="0"/>
          <w:pgNumType w:start="1"/>
          <w:cols w:space="720" w:num="1"/>
        </w:sectPr>
      </w:pPr>
      <w:r>
        <w:fldChar w:fldCharType="end"/>
      </w:r>
    </w:p>
    <w:p>
      <w:pPr>
        <w:jc w:val="center"/>
        <w:outlineLvl w:val="3"/>
      </w:pPr>
      <w:bookmarkStart w:id="0" w:name="_Toc_4_4_0000000019"/>
      <w:r>
        <w:rPr>
          <w:rFonts w:ascii="方正小标宋_GBK" w:hAnsi="方正小标宋_GBK" w:eastAsia="方正小标宋_GBK" w:cs="方正小标宋_GBK"/>
          <w:color w:val="000000"/>
          <w:sz w:val="44"/>
        </w:rPr>
        <w:t>一、石家庄市鹿泉区财政局本级收支预算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126" w:type="dxa"/>
            <w:tcBorders>
              <w:top w:val="single" w:color="FFFFFF" w:sz="6" w:space="0"/>
              <w:left w:val="single" w:color="FFFFFF" w:sz="6" w:space="0"/>
              <w:right w:val="single" w:color="FFFFFF" w:sz="6" w:space="0"/>
            </w:tcBorders>
            <w:vAlign w:val="center"/>
          </w:tcPr>
          <w:p>
            <w:pPr>
              <w:pStyle w:val="8"/>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2"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6"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6"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6" w:type="dxa"/>
            <w:vAlign w:val="center"/>
          </w:tcPr>
          <w:p>
            <w:pPr>
              <w:pStyle w:val="12"/>
            </w:pPr>
            <w:r>
              <w:t>一、一般公共预算拨款收入</w:t>
            </w:r>
          </w:p>
        </w:tc>
        <w:tc>
          <w:tcPr>
            <w:tcW w:w="2126" w:type="dxa"/>
            <w:vAlign w:val="center"/>
          </w:tcPr>
          <w:p>
            <w:pPr>
              <w:pStyle w:val="11"/>
            </w:pPr>
            <w:r>
              <w:t>1913.59</w:t>
            </w:r>
          </w:p>
        </w:tc>
        <w:tc>
          <w:tcPr>
            <w:tcW w:w="4535" w:type="dxa"/>
            <w:vAlign w:val="center"/>
          </w:tcPr>
          <w:p>
            <w:pPr>
              <w:pStyle w:val="12"/>
            </w:pPr>
            <w:r>
              <w:t>一、一般公共服务支出</w:t>
            </w:r>
          </w:p>
        </w:tc>
        <w:tc>
          <w:tcPr>
            <w:tcW w:w="2126" w:type="dxa"/>
            <w:vAlign w:val="center"/>
          </w:tcPr>
          <w:p>
            <w:pPr>
              <w:pStyle w:val="11"/>
            </w:pPr>
            <w:r>
              <w:t>1450.50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6"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6"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6"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6" w:type="dxa"/>
            <w:vAlign w:val="center"/>
          </w:tcPr>
          <w:p>
            <w:pPr>
              <w:pStyle w:val="12"/>
            </w:pPr>
            <w:r>
              <w:t>五、事业收入</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6" w:type="dxa"/>
            <w:vAlign w:val="center"/>
          </w:tcPr>
          <w:p>
            <w:pPr>
              <w:pStyle w:val="12"/>
            </w:pPr>
            <w:r>
              <w:t>六、事业单位经营收入</w:t>
            </w: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6" w:type="dxa"/>
            <w:vAlign w:val="center"/>
          </w:tcPr>
          <w:p>
            <w:pPr>
              <w:pStyle w:val="12"/>
            </w:pPr>
            <w:r>
              <w:t>七、上级补助收入</w:t>
            </w: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6" w:type="dxa"/>
            <w:vAlign w:val="center"/>
          </w:tcPr>
          <w:p>
            <w:pPr>
              <w:pStyle w:val="12"/>
            </w:pPr>
            <w:r>
              <w:t>八、附属单位上缴收入</w:t>
            </w: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291.09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6" w:type="dxa"/>
            <w:vAlign w:val="center"/>
          </w:tcPr>
          <w:p>
            <w:pPr>
              <w:pStyle w:val="12"/>
            </w:pPr>
            <w:r>
              <w:t>九、其他收入</w:t>
            </w: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70.14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93.86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6"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6" w:type="dxa"/>
            <w:vAlign w:val="center"/>
          </w:tcPr>
          <w:p>
            <w:pPr>
              <w:pStyle w:val="14"/>
            </w:pPr>
            <w:r>
              <w:t>本年收入合计</w:t>
            </w:r>
          </w:p>
        </w:tc>
        <w:tc>
          <w:tcPr>
            <w:tcW w:w="2126" w:type="dxa"/>
            <w:vAlign w:val="center"/>
          </w:tcPr>
          <w:p>
            <w:pPr>
              <w:pStyle w:val="15"/>
            </w:pPr>
            <w:r>
              <w:t>1913.59</w:t>
            </w:r>
          </w:p>
        </w:tc>
        <w:tc>
          <w:tcPr>
            <w:tcW w:w="4535" w:type="dxa"/>
            <w:vAlign w:val="center"/>
          </w:tcPr>
          <w:p>
            <w:pPr>
              <w:pStyle w:val="14"/>
            </w:pPr>
            <w:r>
              <w:t>本年支出合计</w:t>
            </w:r>
          </w:p>
        </w:tc>
        <w:tc>
          <w:tcPr>
            <w:tcW w:w="2126" w:type="dxa"/>
            <w:vAlign w:val="center"/>
          </w:tcPr>
          <w:p>
            <w:pPr>
              <w:pStyle w:val="15"/>
            </w:pPr>
            <w:r>
              <w:t>1923.57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6" w:type="dxa"/>
            <w:vAlign w:val="center"/>
          </w:tcPr>
          <w:p>
            <w:pPr>
              <w:pStyle w:val="12"/>
            </w:pPr>
            <w:r>
              <w:t>上年结转结余</w:t>
            </w:r>
          </w:p>
        </w:tc>
        <w:tc>
          <w:tcPr>
            <w:tcW w:w="2126" w:type="dxa"/>
            <w:vAlign w:val="center"/>
          </w:tcPr>
          <w:p>
            <w:pPr>
              <w:pStyle w:val="11"/>
            </w:pPr>
            <w:r>
              <w:t>9.98</w:t>
            </w: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6" w:type="dxa"/>
            <w:vAlign w:val="center"/>
          </w:tcPr>
          <w:p>
            <w:pPr>
              <w:pStyle w:val="14"/>
            </w:pPr>
            <w:r>
              <w:t>收入总计</w:t>
            </w:r>
          </w:p>
        </w:tc>
        <w:tc>
          <w:tcPr>
            <w:tcW w:w="2126" w:type="dxa"/>
            <w:vAlign w:val="center"/>
          </w:tcPr>
          <w:p>
            <w:pPr>
              <w:pStyle w:val="15"/>
            </w:pPr>
            <w:r>
              <w:t>1923.57</w:t>
            </w:r>
          </w:p>
        </w:tc>
        <w:tc>
          <w:tcPr>
            <w:tcW w:w="4535" w:type="dxa"/>
            <w:vAlign w:val="center"/>
          </w:tcPr>
          <w:p>
            <w:pPr>
              <w:pStyle w:val="14"/>
            </w:pPr>
            <w:r>
              <w:t>支出总计</w:t>
            </w:r>
          </w:p>
        </w:tc>
        <w:tc>
          <w:tcPr>
            <w:tcW w:w="2126" w:type="dxa"/>
            <w:vAlign w:val="center"/>
          </w:tcPr>
          <w:p>
            <w:pPr>
              <w:pStyle w:val="15"/>
            </w:pPr>
            <w:r>
              <w:t>1923.57</w:t>
            </w:r>
          </w:p>
        </w:tc>
      </w:tr>
    </w:tbl>
    <w:p>
      <w:pPr>
        <w:sectPr>
          <w:footerReference r:id="rId3" w:type="default"/>
          <w:footerReference r:id="rId4" w:type="even"/>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1923.57</w:t>
            </w:r>
          </w:p>
        </w:tc>
        <w:tc>
          <w:tcPr>
            <w:tcW w:w="1134" w:type="dxa"/>
            <w:vAlign w:val="center"/>
          </w:tcPr>
          <w:p>
            <w:pPr>
              <w:pStyle w:val="15"/>
            </w:pPr>
            <w:r>
              <w:t>1913.59</w:t>
            </w:r>
          </w:p>
        </w:tc>
        <w:tc>
          <w:tcPr>
            <w:tcW w:w="1134" w:type="dxa"/>
            <w:vAlign w:val="center"/>
          </w:tcPr>
          <w:p>
            <w:pPr>
              <w:pStyle w:val="15"/>
            </w:pPr>
            <w:r>
              <w:t>1913.59</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r>
              <w:t>9.98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201</w:t>
            </w:r>
          </w:p>
        </w:tc>
        <w:tc>
          <w:tcPr>
            <w:tcW w:w="1559" w:type="dxa"/>
            <w:vAlign w:val="center"/>
          </w:tcPr>
          <w:p>
            <w:pPr>
              <w:pStyle w:val="12"/>
            </w:pPr>
            <w:r>
              <w:t>一般公共服务支出</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20106</w:t>
            </w:r>
          </w:p>
        </w:tc>
        <w:tc>
          <w:tcPr>
            <w:tcW w:w="1559" w:type="dxa"/>
            <w:vAlign w:val="center"/>
          </w:tcPr>
          <w:p>
            <w:pPr>
              <w:pStyle w:val="12"/>
            </w:pPr>
            <w:r>
              <w:t>财政事务</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r>
              <w:t>1450.50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2010601</w:t>
            </w:r>
          </w:p>
        </w:tc>
        <w:tc>
          <w:tcPr>
            <w:tcW w:w="1559" w:type="dxa"/>
            <w:vAlign w:val="center"/>
          </w:tcPr>
          <w:p>
            <w:pPr>
              <w:pStyle w:val="12"/>
            </w:pPr>
            <w:r>
              <w:t>行政运行</w:t>
            </w:r>
          </w:p>
        </w:tc>
        <w:tc>
          <w:tcPr>
            <w:tcW w:w="1134" w:type="dxa"/>
            <w:vAlign w:val="center"/>
          </w:tcPr>
          <w:p>
            <w:pPr>
              <w:pStyle w:val="11"/>
            </w:pPr>
            <w:r>
              <w:t>944.66</w:t>
            </w:r>
          </w:p>
        </w:tc>
        <w:tc>
          <w:tcPr>
            <w:tcW w:w="1134" w:type="dxa"/>
            <w:vAlign w:val="center"/>
          </w:tcPr>
          <w:p>
            <w:pPr>
              <w:pStyle w:val="11"/>
            </w:pPr>
            <w:r>
              <w:t>944.66</w:t>
            </w:r>
          </w:p>
        </w:tc>
        <w:tc>
          <w:tcPr>
            <w:tcW w:w="1134" w:type="dxa"/>
            <w:vAlign w:val="center"/>
          </w:tcPr>
          <w:p>
            <w:pPr>
              <w:pStyle w:val="11"/>
            </w:pPr>
            <w:r>
              <w:t>944.66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2010602</w:t>
            </w:r>
          </w:p>
        </w:tc>
        <w:tc>
          <w:tcPr>
            <w:tcW w:w="1559" w:type="dxa"/>
            <w:vAlign w:val="center"/>
          </w:tcPr>
          <w:p>
            <w:pPr>
              <w:pStyle w:val="12"/>
            </w:pPr>
            <w:r>
              <w:t>一般行政管理事务</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r>
              <w:t>28.00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2010603</w:t>
            </w:r>
          </w:p>
        </w:tc>
        <w:tc>
          <w:tcPr>
            <w:tcW w:w="1559" w:type="dxa"/>
            <w:vAlign w:val="center"/>
          </w:tcPr>
          <w:p>
            <w:pPr>
              <w:pStyle w:val="12"/>
            </w:pPr>
            <w:r>
              <w:t>机关服务</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r>
              <w:t>25.00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2010604</w:t>
            </w:r>
          </w:p>
        </w:tc>
        <w:tc>
          <w:tcPr>
            <w:tcW w:w="1559" w:type="dxa"/>
            <w:vAlign w:val="center"/>
          </w:tcPr>
          <w:p>
            <w:pPr>
              <w:pStyle w:val="12"/>
            </w:pPr>
            <w:r>
              <w:t>预算改革业务</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r>
              <w:t>40.00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2010607</w:t>
            </w:r>
          </w:p>
        </w:tc>
        <w:tc>
          <w:tcPr>
            <w:tcW w:w="1559" w:type="dxa"/>
            <w:vAlign w:val="center"/>
          </w:tcPr>
          <w:p>
            <w:pPr>
              <w:pStyle w:val="12"/>
            </w:pPr>
            <w:r>
              <w:t>信息化建设</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r>
              <w:t>50.00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2010608</w:t>
            </w:r>
          </w:p>
        </w:tc>
        <w:tc>
          <w:tcPr>
            <w:tcW w:w="1559" w:type="dxa"/>
            <w:vAlign w:val="center"/>
          </w:tcPr>
          <w:p>
            <w:pPr>
              <w:pStyle w:val="12"/>
            </w:pPr>
            <w:r>
              <w:t>财政委托业务支出</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r>
              <w:t>280.00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2010699</w:t>
            </w:r>
          </w:p>
        </w:tc>
        <w:tc>
          <w:tcPr>
            <w:tcW w:w="1559" w:type="dxa"/>
            <w:vAlign w:val="center"/>
          </w:tcPr>
          <w:p>
            <w:pPr>
              <w:pStyle w:val="12"/>
            </w:pPr>
            <w:r>
              <w:t>其他财政事务支出</w:t>
            </w:r>
          </w:p>
        </w:tc>
        <w:tc>
          <w:tcPr>
            <w:tcW w:w="1134" w:type="dxa"/>
            <w:vAlign w:val="center"/>
          </w:tcPr>
          <w:p>
            <w:pPr>
              <w:pStyle w:val="11"/>
            </w:pPr>
            <w:r>
              <w:t>82.84</w:t>
            </w:r>
          </w:p>
        </w:tc>
        <w:tc>
          <w:tcPr>
            <w:tcW w:w="1134" w:type="dxa"/>
            <w:vAlign w:val="center"/>
          </w:tcPr>
          <w:p>
            <w:pPr>
              <w:pStyle w:val="11"/>
            </w:pPr>
            <w:r>
              <w:t>82.84</w:t>
            </w:r>
          </w:p>
        </w:tc>
        <w:tc>
          <w:tcPr>
            <w:tcW w:w="1134" w:type="dxa"/>
            <w:vAlign w:val="center"/>
          </w:tcPr>
          <w:p>
            <w:pPr>
              <w:pStyle w:val="11"/>
            </w:pPr>
            <w:r>
              <w:t>82.84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r>
              <w:t>291.09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218.38</w:t>
            </w:r>
          </w:p>
        </w:tc>
        <w:tc>
          <w:tcPr>
            <w:tcW w:w="1134" w:type="dxa"/>
            <w:vAlign w:val="center"/>
          </w:tcPr>
          <w:p>
            <w:pPr>
              <w:pStyle w:val="11"/>
            </w:pPr>
            <w:r>
              <w:t>218.38</w:t>
            </w:r>
          </w:p>
        </w:tc>
        <w:tc>
          <w:tcPr>
            <w:tcW w:w="1134" w:type="dxa"/>
            <w:vAlign w:val="center"/>
          </w:tcPr>
          <w:p>
            <w:pPr>
              <w:pStyle w:val="11"/>
            </w:pPr>
            <w:r>
              <w:t>218.38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72.71</w:t>
            </w:r>
          </w:p>
        </w:tc>
        <w:tc>
          <w:tcPr>
            <w:tcW w:w="1134" w:type="dxa"/>
            <w:vAlign w:val="center"/>
          </w:tcPr>
          <w:p>
            <w:pPr>
              <w:pStyle w:val="11"/>
            </w:pPr>
            <w:r>
              <w:t>72.71</w:t>
            </w:r>
          </w:p>
        </w:tc>
        <w:tc>
          <w:tcPr>
            <w:tcW w:w="1134" w:type="dxa"/>
            <w:vAlign w:val="center"/>
          </w:tcPr>
          <w:p>
            <w:pPr>
              <w:pStyle w:val="11"/>
            </w:pPr>
            <w:r>
              <w:t>72.71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r>
              <w:t>70.14</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992" w:type="dxa"/>
            <w:vAlign w:val="center"/>
          </w:tcPr>
          <w:p>
            <w:pPr>
              <w:pStyle w:val="12"/>
            </w:pPr>
            <w:r>
              <w:t>212</w:t>
            </w:r>
          </w:p>
        </w:tc>
        <w:tc>
          <w:tcPr>
            <w:tcW w:w="1559" w:type="dxa"/>
            <w:vAlign w:val="center"/>
          </w:tcPr>
          <w:p>
            <w:pPr>
              <w:pStyle w:val="12"/>
            </w:pPr>
            <w:r>
              <w:t>城乡社区支出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19</w:t>
            </w:r>
          </w:p>
        </w:tc>
        <w:tc>
          <w:tcPr>
            <w:tcW w:w="992" w:type="dxa"/>
            <w:vAlign w:val="center"/>
          </w:tcPr>
          <w:p>
            <w:pPr>
              <w:pStyle w:val="12"/>
            </w:pPr>
            <w:r>
              <w:t>21208</w:t>
            </w:r>
          </w:p>
        </w:tc>
        <w:tc>
          <w:tcPr>
            <w:tcW w:w="1559" w:type="dxa"/>
            <w:vAlign w:val="center"/>
          </w:tcPr>
          <w:p>
            <w:pPr>
              <w:pStyle w:val="12"/>
            </w:pPr>
            <w:r>
              <w:t>国有土地使用权出让收入安排的支出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20</w:t>
            </w:r>
          </w:p>
        </w:tc>
        <w:tc>
          <w:tcPr>
            <w:tcW w:w="992" w:type="dxa"/>
            <w:vAlign w:val="center"/>
          </w:tcPr>
          <w:p>
            <w:pPr>
              <w:pStyle w:val="12"/>
            </w:pPr>
            <w:r>
              <w:t>2120804</w:t>
            </w:r>
          </w:p>
        </w:tc>
        <w:tc>
          <w:tcPr>
            <w:tcW w:w="1559" w:type="dxa"/>
            <w:vAlign w:val="center"/>
          </w:tcPr>
          <w:p>
            <w:pPr>
              <w:pStyle w:val="12"/>
            </w:pPr>
            <w:r>
              <w:t>农村基础设施建设支出</w:t>
            </w:r>
          </w:p>
        </w:tc>
        <w:tc>
          <w:tcPr>
            <w:tcW w:w="1134" w:type="dxa"/>
            <w:vAlign w:val="center"/>
          </w:tcPr>
          <w:p>
            <w:pPr>
              <w:pStyle w:val="11"/>
            </w:pPr>
            <w:r>
              <w:t>2.00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21</w:t>
            </w:r>
          </w:p>
        </w:tc>
        <w:tc>
          <w:tcPr>
            <w:tcW w:w="992" w:type="dxa"/>
            <w:vAlign w:val="center"/>
          </w:tcPr>
          <w:p>
            <w:pPr>
              <w:pStyle w:val="12"/>
            </w:pPr>
            <w:r>
              <w:t>213</w:t>
            </w:r>
          </w:p>
        </w:tc>
        <w:tc>
          <w:tcPr>
            <w:tcW w:w="1559" w:type="dxa"/>
            <w:vAlign w:val="center"/>
          </w:tcPr>
          <w:p>
            <w:pPr>
              <w:pStyle w:val="12"/>
            </w:pPr>
            <w:r>
              <w:t>农林水支出</w:t>
            </w:r>
          </w:p>
        </w:tc>
        <w:tc>
          <w:tcPr>
            <w:tcW w:w="1134" w:type="dxa"/>
            <w:vAlign w:val="center"/>
          </w:tcPr>
          <w:p>
            <w:pPr>
              <w:pStyle w:val="11"/>
            </w:pPr>
            <w:r>
              <w:t>15.98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22</w:t>
            </w:r>
          </w:p>
        </w:tc>
        <w:tc>
          <w:tcPr>
            <w:tcW w:w="992" w:type="dxa"/>
            <w:vAlign w:val="center"/>
          </w:tcPr>
          <w:p>
            <w:pPr>
              <w:pStyle w:val="12"/>
            </w:pPr>
            <w:r>
              <w:t>21301</w:t>
            </w:r>
          </w:p>
        </w:tc>
        <w:tc>
          <w:tcPr>
            <w:tcW w:w="1559" w:type="dxa"/>
            <w:vAlign w:val="center"/>
          </w:tcPr>
          <w:p>
            <w:pPr>
              <w:pStyle w:val="12"/>
            </w:pPr>
            <w:r>
              <w:t>农业农村</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23</w:t>
            </w:r>
          </w:p>
        </w:tc>
        <w:tc>
          <w:tcPr>
            <w:tcW w:w="992" w:type="dxa"/>
            <w:vAlign w:val="center"/>
          </w:tcPr>
          <w:p>
            <w:pPr>
              <w:pStyle w:val="12"/>
            </w:pPr>
            <w:r>
              <w:t>2130199</w:t>
            </w:r>
          </w:p>
        </w:tc>
        <w:tc>
          <w:tcPr>
            <w:tcW w:w="1559" w:type="dxa"/>
            <w:vAlign w:val="center"/>
          </w:tcPr>
          <w:p>
            <w:pPr>
              <w:pStyle w:val="12"/>
            </w:pPr>
            <w:r>
              <w:t>其他农业农村支出</w:t>
            </w:r>
          </w:p>
        </w:tc>
        <w:tc>
          <w:tcPr>
            <w:tcW w:w="1134" w:type="dxa"/>
            <w:vAlign w:val="center"/>
          </w:tcPr>
          <w:p>
            <w:pPr>
              <w:pStyle w:val="11"/>
            </w:pPr>
            <w:r>
              <w:t>0.40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24</w:t>
            </w:r>
          </w:p>
        </w:tc>
        <w:tc>
          <w:tcPr>
            <w:tcW w:w="992" w:type="dxa"/>
            <w:vAlign w:val="center"/>
          </w:tcPr>
          <w:p>
            <w:pPr>
              <w:pStyle w:val="12"/>
            </w:pPr>
            <w:r>
              <w:t>21307</w:t>
            </w:r>
          </w:p>
        </w:tc>
        <w:tc>
          <w:tcPr>
            <w:tcW w:w="1559" w:type="dxa"/>
            <w:vAlign w:val="center"/>
          </w:tcPr>
          <w:p>
            <w:pPr>
              <w:pStyle w:val="12"/>
            </w:pPr>
            <w:r>
              <w:t>农村综合改革</w:t>
            </w:r>
          </w:p>
        </w:tc>
        <w:tc>
          <w:tcPr>
            <w:tcW w:w="1134" w:type="dxa"/>
            <w:vAlign w:val="center"/>
          </w:tcPr>
          <w:p>
            <w:pPr>
              <w:pStyle w:val="11"/>
            </w:pPr>
            <w:r>
              <w:t>15.58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25</w:t>
            </w:r>
          </w:p>
        </w:tc>
        <w:tc>
          <w:tcPr>
            <w:tcW w:w="992" w:type="dxa"/>
            <w:vAlign w:val="center"/>
          </w:tcPr>
          <w:p>
            <w:pPr>
              <w:pStyle w:val="12"/>
            </w:pPr>
            <w:r>
              <w:t>2130799</w:t>
            </w:r>
          </w:p>
        </w:tc>
        <w:tc>
          <w:tcPr>
            <w:tcW w:w="1559" w:type="dxa"/>
            <w:vAlign w:val="center"/>
          </w:tcPr>
          <w:p>
            <w:pPr>
              <w:pStyle w:val="12"/>
            </w:pPr>
            <w:r>
              <w:t>其他农村综合改革支出</w:t>
            </w:r>
          </w:p>
        </w:tc>
        <w:tc>
          <w:tcPr>
            <w:tcW w:w="1134" w:type="dxa"/>
            <w:vAlign w:val="center"/>
          </w:tcPr>
          <w:p>
            <w:pPr>
              <w:pStyle w:val="11"/>
            </w:pPr>
            <w:r>
              <w:t>15.58</w:t>
            </w:r>
          </w:p>
        </w:tc>
        <w:tc>
          <w:tcPr>
            <w:tcW w:w="1134" w:type="dxa"/>
            <w:vAlign w:val="center"/>
          </w:tcPr>
          <w:p>
            <w:pPr>
              <w:pStyle w:val="11"/>
            </w:pPr>
            <w:r>
              <w:t>8.00</w:t>
            </w:r>
          </w:p>
        </w:tc>
        <w:tc>
          <w:tcPr>
            <w:tcW w:w="1134" w:type="dxa"/>
            <w:vAlign w:val="center"/>
          </w:tcPr>
          <w:p>
            <w:pPr>
              <w:pStyle w:val="11"/>
            </w:pPr>
            <w:r>
              <w:t>8.00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r>
              <w:t>7.58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26</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27</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28</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r>
              <w:t>93.86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5"/>
        <w:tblW w:w="1454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8"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6"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6"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6" w:type="dxa"/>
            <w:vAlign w:val="center"/>
          </w:tcPr>
          <w:p>
            <w:pPr>
              <w:pStyle w:val="14"/>
            </w:pPr>
            <w:r>
              <w:t>合计</w:t>
            </w:r>
          </w:p>
        </w:tc>
        <w:tc>
          <w:tcPr>
            <w:tcW w:w="1361" w:type="dxa"/>
            <w:vAlign w:val="center"/>
          </w:tcPr>
          <w:p>
            <w:pPr>
              <w:pStyle w:val="15"/>
            </w:pPr>
            <w:r>
              <w:t>1923.57</w:t>
            </w:r>
          </w:p>
        </w:tc>
        <w:tc>
          <w:tcPr>
            <w:tcW w:w="1361" w:type="dxa"/>
            <w:vAlign w:val="center"/>
          </w:tcPr>
          <w:p>
            <w:pPr>
              <w:pStyle w:val="15"/>
            </w:pPr>
            <w:r>
              <w:t>1399.75</w:t>
            </w:r>
          </w:p>
        </w:tc>
        <w:tc>
          <w:tcPr>
            <w:tcW w:w="1361" w:type="dxa"/>
            <w:vAlign w:val="center"/>
          </w:tcPr>
          <w:p>
            <w:pPr>
              <w:pStyle w:val="15"/>
            </w:pPr>
            <w:r>
              <w:t>523.82</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201</w:t>
            </w:r>
          </w:p>
        </w:tc>
        <w:tc>
          <w:tcPr>
            <w:tcW w:w="4536" w:type="dxa"/>
            <w:vAlign w:val="center"/>
          </w:tcPr>
          <w:p>
            <w:pPr>
              <w:pStyle w:val="12"/>
            </w:pPr>
            <w:r>
              <w:t>一般公共服务支出</w:t>
            </w:r>
          </w:p>
        </w:tc>
        <w:tc>
          <w:tcPr>
            <w:tcW w:w="1361" w:type="dxa"/>
            <w:vAlign w:val="center"/>
          </w:tcPr>
          <w:p>
            <w:pPr>
              <w:pStyle w:val="11"/>
            </w:pPr>
            <w:r>
              <w:t>1450.50</w:t>
            </w:r>
          </w:p>
        </w:tc>
        <w:tc>
          <w:tcPr>
            <w:tcW w:w="1361" w:type="dxa"/>
            <w:vAlign w:val="center"/>
          </w:tcPr>
          <w:p>
            <w:pPr>
              <w:pStyle w:val="11"/>
            </w:pPr>
            <w:r>
              <w:t>944.66</w:t>
            </w:r>
          </w:p>
        </w:tc>
        <w:tc>
          <w:tcPr>
            <w:tcW w:w="1361" w:type="dxa"/>
            <w:vAlign w:val="center"/>
          </w:tcPr>
          <w:p>
            <w:pPr>
              <w:pStyle w:val="11"/>
            </w:pPr>
            <w:r>
              <w:t>505.84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20106</w:t>
            </w:r>
          </w:p>
        </w:tc>
        <w:tc>
          <w:tcPr>
            <w:tcW w:w="4536" w:type="dxa"/>
            <w:vAlign w:val="center"/>
          </w:tcPr>
          <w:p>
            <w:pPr>
              <w:pStyle w:val="12"/>
            </w:pPr>
            <w:r>
              <w:t>财政事务</w:t>
            </w:r>
          </w:p>
        </w:tc>
        <w:tc>
          <w:tcPr>
            <w:tcW w:w="1361" w:type="dxa"/>
            <w:vAlign w:val="center"/>
          </w:tcPr>
          <w:p>
            <w:pPr>
              <w:pStyle w:val="11"/>
            </w:pPr>
            <w:r>
              <w:t>1450.50</w:t>
            </w:r>
          </w:p>
        </w:tc>
        <w:tc>
          <w:tcPr>
            <w:tcW w:w="1361" w:type="dxa"/>
            <w:vAlign w:val="center"/>
          </w:tcPr>
          <w:p>
            <w:pPr>
              <w:pStyle w:val="11"/>
            </w:pPr>
            <w:r>
              <w:t>944.66</w:t>
            </w:r>
          </w:p>
        </w:tc>
        <w:tc>
          <w:tcPr>
            <w:tcW w:w="1361" w:type="dxa"/>
            <w:vAlign w:val="center"/>
          </w:tcPr>
          <w:p>
            <w:pPr>
              <w:pStyle w:val="11"/>
            </w:pPr>
            <w:r>
              <w:t>505.84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2010601</w:t>
            </w:r>
          </w:p>
        </w:tc>
        <w:tc>
          <w:tcPr>
            <w:tcW w:w="4536" w:type="dxa"/>
            <w:vAlign w:val="center"/>
          </w:tcPr>
          <w:p>
            <w:pPr>
              <w:pStyle w:val="12"/>
            </w:pPr>
            <w:r>
              <w:t>行政运行</w:t>
            </w:r>
          </w:p>
        </w:tc>
        <w:tc>
          <w:tcPr>
            <w:tcW w:w="1361" w:type="dxa"/>
            <w:vAlign w:val="center"/>
          </w:tcPr>
          <w:p>
            <w:pPr>
              <w:pStyle w:val="11"/>
            </w:pPr>
            <w:r>
              <w:t>944.66</w:t>
            </w:r>
          </w:p>
        </w:tc>
        <w:tc>
          <w:tcPr>
            <w:tcW w:w="1361" w:type="dxa"/>
            <w:vAlign w:val="center"/>
          </w:tcPr>
          <w:p>
            <w:pPr>
              <w:pStyle w:val="11"/>
            </w:pPr>
            <w:r>
              <w:t>944.66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2010602</w:t>
            </w:r>
          </w:p>
        </w:tc>
        <w:tc>
          <w:tcPr>
            <w:tcW w:w="4536" w:type="dxa"/>
            <w:vAlign w:val="center"/>
          </w:tcPr>
          <w:p>
            <w:pPr>
              <w:pStyle w:val="12"/>
            </w:pPr>
            <w:r>
              <w:t>一般行政管理事务</w:t>
            </w: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r>
              <w:t>28.00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2010603</w:t>
            </w:r>
          </w:p>
        </w:tc>
        <w:tc>
          <w:tcPr>
            <w:tcW w:w="4536" w:type="dxa"/>
            <w:vAlign w:val="center"/>
          </w:tcPr>
          <w:p>
            <w:pPr>
              <w:pStyle w:val="12"/>
            </w:pPr>
            <w:r>
              <w:t>机关服务</w:t>
            </w: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r>
              <w:t>25.00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2010604</w:t>
            </w:r>
          </w:p>
        </w:tc>
        <w:tc>
          <w:tcPr>
            <w:tcW w:w="4536" w:type="dxa"/>
            <w:vAlign w:val="center"/>
          </w:tcPr>
          <w:p>
            <w:pPr>
              <w:pStyle w:val="12"/>
            </w:pPr>
            <w:r>
              <w:t>预算改革业务</w:t>
            </w: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r>
              <w:t>40.00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2010607</w:t>
            </w:r>
          </w:p>
        </w:tc>
        <w:tc>
          <w:tcPr>
            <w:tcW w:w="4536" w:type="dxa"/>
            <w:vAlign w:val="center"/>
          </w:tcPr>
          <w:p>
            <w:pPr>
              <w:pStyle w:val="12"/>
            </w:pPr>
            <w:r>
              <w:t>信息化建设</w:t>
            </w: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r>
              <w:t>50.00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2010608</w:t>
            </w:r>
          </w:p>
        </w:tc>
        <w:tc>
          <w:tcPr>
            <w:tcW w:w="4536" w:type="dxa"/>
            <w:vAlign w:val="center"/>
          </w:tcPr>
          <w:p>
            <w:pPr>
              <w:pStyle w:val="12"/>
            </w:pPr>
            <w:r>
              <w:t>财政委托业务支出</w:t>
            </w: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r>
              <w:t>280.00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2010699</w:t>
            </w:r>
          </w:p>
        </w:tc>
        <w:tc>
          <w:tcPr>
            <w:tcW w:w="4536" w:type="dxa"/>
            <w:vAlign w:val="center"/>
          </w:tcPr>
          <w:p>
            <w:pPr>
              <w:pStyle w:val="12"/>
            </w:pPr>
            <w:r>
              <w:t>其他财政事务支出</w:t>
            </w:r>
          </w:p>
        </w:tc>
        <w:tc>
          <w:tcPr>
            <w:tcW w:w="1361" w:type="dxa"/>
            <w:vAlign w:val="center"/>
          </w:tcPr>
          <w:p>
            <w:pPr>
              <w:pStyle w:val="11"/>
            </w:pPr>
            <w:r>
              <w:t>82.84</w:t>
            </w:r>
          </w:p>
        </w:tc>
        <w:tc>
          <w:tcPr>
            <w:tcW w:w="1361" w:type="dxa"/>
            <w:vAlign w:val="center"/>
          </w:tcPr>
          <w:p>
            <w:pPr>
              <w:pStyle w:val="11"/>
            </w:pPr>
          </w:p>
        </w:tc>
        <w:tc>
          <w:tcPr>
            <w:tcW w:w="1361" w:type="dxa"/>
            <w:vAlign w:val="center"/>
          </w:tcPr>
          <w:p>
            <w:pPr>
              <w:pStyle w:val="11"/>
            </w:pPr>
            <w:r>
              <w:t>82.84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208</w:t>
            </w:r>
          </w:p>
        </w:tc>
        <w:tc>
          <w:tcPr>
            <w:tcW w:w="4536" w:type="dxa"/>
            <w:vAlign w:val="center"/>
          </w:tcPr>
          <w:p>
            <w:pPr>
              <w:pStyle w:val="12"/>
            </w:pPr>
            <w:r>
              <w:t>社会保障和就业支出</w:t>
            </w:r>
          </w:p>
        </w:tc>
        <w:tc>
          <w:tcPr>
            <w:tcW w:w="1361" w:type="dxa"/>
            <w:vAlign w:val="center"/>
          </w:tcPr>
          <w:p>
            <w:pPr>
              <w:pStyle w:val="11"/>
            </w:pPr>
            <w:r>
              <w:t>291.09</w:t>
            </w:r>
          </w:p>
        </w:tc>
        <w:tc>
          <w:tcPr>
            <w:tcW w:w="1361" w:type="dxa"/>
            <w:vAlign w:val="center"/>
          </w:tcPr>
          <w:p>
            <w:pPr>
              <w:pStyle w:val="11"/>
            </w:pPr>
            <w:r>
              <w:t>291.09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20805</w:t>
            </w:r>
          </w:p>
        </w:tc>
        <w:tc>
          <w:tcPr>
            <w:tcW w:w="4536" w:type="dxa"/>
            <w:vAlign w:val="center"/>
          </w:tcPr>
          <w:p>
            <w:pPr>
              <w:pStyle w:val="12"/>
            </w:pPr>
            <w:r>
              <w:t>行政事业单位养老支出</w:t>
            </w:r>
          </w:p>
        </w:tc>
        <w:tc>
          <w:tcPr>
            <w:tcW w:w="1361" w:type="dxa"/>
            <w:vAlign w:val="center"/>
          </w:tcPr>
          <w:p>
            <w:pPr>
              <w:pStyle w:val="11"/>
            </w:pPr>
            <w:r>
              <w:t>291.09</w:t>
            </w:r>
          </w:p>
        </w:tc>
        <w:tc>
          <w:tcPr>
            <w:tcW w:w="1361" w:type="dxa"/>
            <w:vAlign w:val="center"/>
          </w:tcPr>
          <w:p>
            <w:pPr>
              <w:pStyle w:val="11"/>
            </w:pPr>
            <w:r>
              <w:t>291.09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2080501</w:t>
            </w:r>
          </w:p>
        </w:tc>
        <w:tc>
          <w:tcPr>
            <w:tcW w:w="4536" w:type="dxa"/>
            <w:vAlign w:val="center"/>
          </w:tcPr>
          <w:p>
            <w:pPr>
              <w:pStyle w:val="12"/>
            </w:pPr>
            <w:r>
              <w:t>行政单位离退休</w:t>
            </w:r>
          </w:p>
        </w:tc>
        <w:tc>
          <w:tcPr>
            <w:tcW w:w="1361" w:type="dxa"/>
            <w:vAlign w:val="center"/>
          </w:tcPr>
          <w:p>
            <w:pPr>
              <w:pStyle w:val="11"/>
            </w:pPr>
            <w:r>
              <w:t>218.38</w:t>
            </w:r>
          </w:p>
        </w:tc>
        <w:tc>
          <w:tcPr>
            <w:tcW w:w="1361" w:type="dxa"/>
            <w:vAlign w:val="center"/>
          </w:tcPr>
          <w:p>
            <w:pPr>
              <w:pStyle w:val="11"/>
            </w:pPr>
            <w:r>
              <w:t>218.38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2080505</w:t>
            </w:r>
          </w:p>
        </w:tc>
        <w:tc>
          <w:tcPr>
            <w:tcW w:w="4536" w:type="dxa"/>
            <w:vAlign w:val="center"/>
          </w:tcPr>
          <w:p>
            <w:pPr>
              <w:pStyle w:val="12"/>
            </w:pPr>
            <w:r>
              <w:t>机关事业单位基本养老保险缴费支出</w:t>
            </w:r>
          </w:p>
        </w:tc>
        <w:tc>
          <w:tcPr>
            <w:tcW w:w="1361" w:type="dxa"/>
            <w:vAlign w:val="center"/>
          </w:tcPr>
          <w:p>
            <w:pPr>
              <w:pStyle w:val="11"/>
            </w:pPr>
            <w:r>
              <w:t>72.71</w:t>
            </w:r>
          </w:p>
        </w:tc>
        <w:tc>
          <w:tcPr>
            <w:tcW w:w="1361" w:type="dxa"/>
            <w:vAlign w:val="center"/>
          </w:tcPr>
          <w:p>
            <w:pPr>
              <w:pStyle w:val="11"/>
            </w:pPr>
            <w:r>
              <w:t>72.71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210</w:t>
            </w:r>
          </w:p>
        </w:tc>
        <w:tc>
          <w:tcPr>
            <w:tcW w:w="4536" w:type="dxa"/>
            <w:vAlign w:val="center"/>
          </w:tcPr>
          <w:p>
            <w:pPr>
              <w:pStyle w:val="12"/>
            </w:pPr>
            <w:r>
              <w:t>卫生健康支出</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21011</w:t>
            </w:r>
          </w:p>
        </w:tc>
        <w:tc>
          <w:tcPr>
            <w:tcW w:w="4536" w:type="dxa"/>
            <w:vAlign w:val="center"/>
          </w:tcPr>
          <w:p>
            <w:pPr>
              <w:pStyle w:val="12"/>
            </w:pPr>
            <w:r>
              <w:t>行政事业单位医疗</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2101101</w:t>
            </w:r>
          </w:p>
        </w:tc>
        <w:tc>
          <w:tcPr>
            <w:tcW w:w="4536" w:type="dxa"/>
            <w:vAlign w:val="center"/>
          </w:tcPr>
          <w:p>
            <w:pPr>
              <w:pStyle w:val="12"/>
            </w:pPr>
            <w:r>
              <w:t>行政单位医疗</w:t>
            </w:r>
          </w:p>
        </w:tc>
        <w:tc>
          <w:tcPr>
            <w:tcW w:w="1361" w:type="dxa"/>
            <w:vAlign w:val="center"/>
          </w:tcPr>
          <w:p>
            <w:pPr>
              <w:pStyle w:val="11"/>
            </w:pPr>
            <w:r>
              <w:t>70.14</w:t>
            </w:r>
          </w:p>
        </w:tc>
        <w:tc>
          <w:tcPr>
            <w:tcW w:w="1361" w:type="dxa"/>
            <w:vAlign w:val="center"/>
          </w:tcPr>
          <w:p>
            <w:pPr>
              <w:pStyle w:val="11"/>
            </w:pPr>
            <w:r>
              <w:t>70.14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992" w:type="dxa"/>
            <w:vAlign w:val="center"/>
          </w:tcPr>
          <w:p>
            <w:pPr>
              <w:pStyle w:val="12"/>
            </w:pPr>
            <w:r>
              <w:t>212</w:t>
            </w:r>
          </w:p>
        </w:tc>
        <w:tc>
          <w:tcPr>
            <w:tcW w:w="4536" w:type="dxa"/>
            <w:vAlign w:val="center"/>
          </w:tcPr>
          <w:p>
            <w:pPr>
              <w:pStyle w:val="12"/>
            </w:pPr>
            <w:r>
              <w:t>城乡社区支出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992" w:type="dxa"/>
            <w:vAlign w:val="center"/>
          </w:tcPr>
          <w:p>
            <w:pPr>
              <w:pStyle w:val="12"/>
            </w:pPr>
            <w:r>
              <w:t>21208</w:t>
            </w:r>
          </w:p>
        </w:tc>
        <w:tc>
          <w:tcPr>
            <w:tcW w:w="4536" w:type="dxa"/>
            <w:vAlign w:val="center"/>
          </w:tcPr>
          <w:p>
            <w:pPr>
              <w:pStyle w:val="12"/>
            </w:pPr>
            <w:r>
              <w:t>国有土地使用权出让收入安排的支出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992" w:type="dxa"/>
            <w:vAlign w:val="center"/>
          </w:tcPr>
          <w:p>
            <w:pPr>
              <w:pStyle w:val="12"/>
            </w:pPr>
            <w:r>
              <w:t>2120804</w:t>
            </w:r>
          </w:p>
        </w:tc>
        <w:tc>
          <w:tcPr>
            <w:tcW w:w="4536" w:type="dxa"/>
            <w:vAlign w:val="center"/>
          </w:tcPr>
          <w:p>
            <w:pPr>
              <w:pStyle w:val="12"/>
            </w:pPr>
            <w:r>
              <w:t>农村基础设施建设支出</w:t>
            </w: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r>
              <w:t>2.00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992" w:type="dxa"/>
            <w:vAlign w:val="center"/>
          </w:tcPr>
          <w:p>
            <w:pPr>
              <w:pStyle w:val="12"/>
            </w:pPr>
            <w:r>
              <w:t>213</w:t>
            </w:r>
          </w:p>
        </w:tc>
        <w:tc>
          <w:tcPr>
            <w:tcW w:w="4536" w:type="dxa"/>
            <w:vAlign w:val="center"/>
          </w:tcPr>
          <w:p>
            <w:pPr>
              <w:pStyle w:val="12"/>
            </w:pPr>
            <w:r>
              <w:t>农林水支出</w:t>
            </w:r>
          </w:p>
        </w:tc>
        <w:tc>
          <w:tcPr>
            <w:tcW w:w="1361" w:type="dxa"/>
            <w:vAlign w:val="center"/>
          </w:tcPr>
          <w:p>
            <w:pPr>
              <w:pStyle w:val="11"/>
            </w:pPr>
            <w:r>
              <w:t>15.98</w:t>
            </w:r>
          </w:p>
        </w:tc>
        <w:tc>
          <w:tcPr>
            <w:tcW w:w="1361" w:type="dxa"/>
            <w:vAlign w:val="center"/>
          </w:tcPr>
          <w:p>
            <w:pPr>
              <w:pStyle w:val="11"/>
            </w:pPr>
          </w:p>
        </w:tc>
        <w:tc>
          <w:tcPr>
            <w:tcW w:w="1361" w:type="dxa"/>
            <w:vAlign w:val="center"/>
          </w:tcPr>
          <w:p>
            <w:pPr>
              <w:pStyle w:val="11"/>
            </w:pPr>
            <w:r>
              <w:t>15.98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992" w:type="dxa"/>
            <w:vAlign w:val="center"/>
          </w:tcPr>
          <w:p>
            <w:pPr>
              <w:pStyle w:val="12"/>
            </w:pPr>
            <w:r>
              <w:t>21301</w:t>
            </w:r>
          </w:p>
        </w:tc>
        <w:tc>
          <w:tcPr>
            <w:tcW w:w="4536" w:type="dxa"/>
            <w:vAlign w:val="center"/>
          </w:tcPr>
          <w:p>
            <w:pPr>
              <w:pStyle w:val="12"/>
            </w:pPr>
            <w:r>
              <w:t>农业农村</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992" w:type="dxa"/>
            <w:vAlign w:val="center"/>
          </w:tcPr>
          <w:p>
            <w:pPr>
              <w:pStyle w:val="12"/>
            </w:pPr>
            <w:r>
              <w:t>2130199</w:t>
            </w:r>
          </w:p>
        </w:tc>
        <w:tc>
          <w:tcPr>
            <w:tcW w:w="4536" w:type="dxa"/>
            <w:vAlign w:val="center"/>
          </w:tcPr>
          <w:p>
            <w:pPr>
              <w:pStyle w:val="12"/>
            </w:pPr>
            <w:r>
              <w:t>其他农业农村支出</w:t>
            </w: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r>
              <w:t>0.40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992" w:type="dxa"/>
            <w:vAlign w:val="center"/>
          </w:tcPr>
          <w:p>
            <w:pPr>
              <w:pStyle w:val="12"/>
            </w:pPr>
            <w:r>
              <w:t>21307</w:t>
            </w:r>
          </w:p>
        </w:tc>
        <w:tc>
          <w:tcPr>
            <w:tcW w:w="4536" w:type="dxa"/>
            <w:vAlign w:val="center"/>
          </w:tcPr>
          <w:p>
            <w:pPr>
              <w:pStyle w:val="12"/>
            </w:pPr>
            <w:r>
              <w:t>农村综合改革</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992" w:type="dxa"/>
            <w:vAlign w:val="center"/>
          </w:tcPr>
          <w:p>
            <w:pPr>
              <w:pStyle w:val="12"/>
            </w:pPr>
            <w:r>
              <w:t>2130799</w:t>
            </w:r>
          </w:p>
        </w:tc>
        <w:tc>
          <w:tcPr>
            <w:tcW w:w="4536" w:type="dxa"/>
            <w:vAlign w:val="center"/>
          </w:tcPr>
          <w:p>
            <w:pPr>
              <w:pStyle w:val="12"/>
            </w:pPr>
            <w:r>
              <w:t>其他农村综合改革支出</w:t>
            </w: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r>
              <w:t>15.58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992" w:type="dxa"/>
            <w:vAlign w:val="center"/>
          </w:tcPr>
          <w:p>
            <w:pPr>
              <w:pStyle w:val="12"/>
            </w:pPr>
            <w:r>
              <w:t>221</w:t>
            </w:r>
          </w:p>
        </w:tc>
        <w:tc>
          <w:tcPr>
            <w:tcW w:w="4536" w:type="dxa"/>
            <w:vAlign w:val="center"/>
          </w:tcPr>
          <w:p>
            <w:pPr>
              <w:pStyle w:val="12"/>
            </w:pPr>
            <w:r>
              <w:t>住房保障支出</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992" w:type="dxa"/>
            <w:vAlign w:val="center"/>
          </w:tcPr>
          <w:p>
            <w:pPr>
              <w:pStyle w:val="12"/>
            </w:pPr>
            <w:r>
              <w:t>22102</w:t>
            </w:r>
          </w:p>
        </w:tc>
        <w:tc>
          <w:tcPr>
            <w:tcW w:w="4536" w:type="dxa"/>
            <w:vAlign w:val="center"/>
          </w:tcPr>
          <w:p>
            <w:pPr>
              <w:pStyle w:val="12"/>
            </w:pPr>
            <w:r>
              <w:t>住房改革支出</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992" w:type="dxa"/>
            <w:vAlign w:val="center"/>
          </w:tcPr>
          <w:p>
            <w:pPr>
              <w:pStyle w:val="12"/>
            </w:pPr>
            <w:r>
              <w:t>2210201</w:t>
            </w:r>
          </w:p>
        </w:tc>
        <w:tc>
          <w:tcPr>
            <w:tcW w:w="4536" w:type="dxa"/>
            <w:vAlign w:val="center"/>
          </w:tcPr>
          <w:p>
            <w:pPr>
              <w:pStyle w:val="12"/>
            </w:pPr>
            <w:r>
              <w:t>住房公积金</w:t>
            </w:r>
          </w:p>
        </w:tc>
        <w:tc>
          <w:tcPr>
            <w:tcW w:w="1361" w:type="dxa"/>
            <w:vAlign w:val="center"/>
          </w:tcPr>
          <w:p>
            <w:pPr>
              <w:pStyle w:val="11"/>
            </w:pPr>
            <w:r>
              <w:t>93.86</w:t>
            </w:r>
          </w:p>
        </w:tc>
        <w:tc>
          <w:tcPr>
            <w:tcW w:w="1361" w:type="dxa"/>
            <w:vAlign w:val="center"/>
          </w:tcPr>
          <w:p>
            <w:pPr>
              <w:pStyle w:val="11"/>
            </w:pPr>
            <w:r>
              <w:t>93.86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3402" w:type="dxa"/>
            <w:tcBorders>
              <w:top w:val="single" w:color="FFFFFF" w:sz="6" w:space="0"/>
              <w:left w:val="single" w:color="FFFFFF" w:sz="6" w:space="0"/>
              <w:right w:val="single" w:color="FFFFFF" w:sz="6" w:space="0"/>
            </w:tcBorders>
            <w:vAlign w:val="center"/>
          </w:tcPr>
          <w:p>
            <w:pPr>
              <w:pStyle w:val="8"/>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1913.59</w:t>
            </w:r>
          </w:p>
        </w:tc>
        <w:tc>
          <w:tcPr>
            <w:tcW w:w="3402" w:type="dxa"/>
            <w:vAlign w:val="center"/>
          </w:tcPr>
          <w:p>
            <w:pPr>
              <w:pStyle w:val="12"/>
            </w:pPr>
            <w:r>
              <w:t>一、一般公共服务支出</w:t>
            </w:r>
          </w:p>
        </w:tc>
        <w:tc>
          <w:tcPr>
            <w:tcW w:w="1474" w:type="dxa"/>
            <w:vAlign w:val="center"/>
          </w:tcPr>
          <w:p>
            <w:pPr>
              <w:pStyle w:val="11"/>
            </w:pPr>
            <w:r>
              <w:t>1450.50</w:t>
            </w:r>
          </w:p>
        </w:tc>
        <w:tc>
          <w:tcPr>
            <w:tcW w:w="1474" w:type="dxa"/>
            <w:vAlign w:val="center"/>
          </w:tcPr>
          <w:p>
            <w:pPr>
              <w:pStyle w:val="11"/>
            </w:pPr>
            <w:r>
              <w:t>1450.50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291.09</w:t>
            </w:r>
          </w:p>
        </w:tc>
        <w:tc>
          <w:tcPr>
            <w:tcW w:w="1474" w:type="dxa"/>
            <w:vAlign w:val="center"/>
          </w:tcPr>
          <w:p>
            <w:pPr>
              <w:pStyle w:val="11"/>
            </w:pPr>
            <w:r>
              <w:t>291.09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70.14</w:t>
            </w:r>
          </w:p>
        </w:tc>
        <w:tc>
          <w:tcPr>
            <w:tcW w:w="1474" w:type="dxa"/>
            <w:vAlign w:val="center"/>
          </w:tcPr>
          <w:p>
            <w:pPr>
              <w:pStyle w:val="11"/>
            </w:pPr>
            <w:r>
              <w:t>70.14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r>
              <w:t>2.00</w:t>
            </w:r>
          </w:p>
        </w:tc>
        <w:tc>
          <w:tcPr>
            <w:tcW w:w="1474" w:type="dxa"/>
            <w:vAlign w:val="center"/>
          </w:tcPr>
          <w:p>
            <w:pPr>
              <w:pStyle w:val="11"/>
            </w:pPr>
          </w:p>
        </w:tc>
        <w:tc>
          <w:tcPr>
            <w:tcW w:w="1474" w:type="dxa"/>
            <w:vAlign w:val="center"/>
          </w:tcPr>
          <w:p>
            <w:pPr>
              <w:pStyle w:val="11"/>
            </w:pPr>
            <w:r>
              <w:t>2.00</w:t>
            </w: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r>
              <w:t>15.98</w:t>
            </w:r>
          </w:p>
        </w:tc>
        <w:tc>
          <w:tcPr>
            <w:tcW w:w="1474" w:type="dxa"/>
            <w:vAlign w:val="center"/>
          </w:tcPr>
          <w:p>
            <w:pPr>
              <w:pStyle w:val="11"/>
            </w:pPr>
            <w:r>
              <w:t>15.98</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93.86</w:t>
            </w:r>
          </w:p>
        </w:tc>
        <w:tc>
          <w:tcPr>
            <w:tcW w:w="1474" w:type="dxa"/>
            <w:vAlign w:val="center"/>
          </w:tcPr>
          <w:p>
            <w:pPr>
              <w:pStyle w:val="11"/>
            </w:pPr>
            <w:r>
              <w:t>93.86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4"/>
            </w:pPr>
            <w:r>
              <w:t>本年收入合计</w:t>
            </w:r>
          </w:p>
        </w:tc>
        <w:tc>
          <w:tcPr>
            <w:tcW w:w="1474" w:type="dxa"/>
            <w:vAlign w:val="center"/>
          </w:tcPr>
          <w:p>
            <w:pPr>
              <w:pStyle w:val="15"/>
            </w:pPr>
            <w:r>
              <w:t>1913.59</w:t>
            </w:r>
          </w:p>
        </w:tc>
        <w:tc>
          <w:tcPr>
            <w:tcW w:w="3402" w:type="dxa"/>
            <w:vAlign w:val="center"/>
          </w:tcPr>
          <w:p>
            <w:pPr>
              <w:pStyle w:val="14"/>
            </w:pPr>
            <w:r>
              <w:t>本年支出合计</w:t>
            </w:r>
          </w:p>
        </w:tc>
        <w:tc>
          <w:tcPr>
            <w:tcW w:w="1474" w:type="dxa"/>
            <w:vAlign w:val="center"/>
          </w:tcPr>
          <w:p>
            <w:pPr>
              <w:pStyle w:val="15"/>
            </w:pPr>
            <w:r>
              <w:t>1923.57</w:t>
            </w:r>
          </w:p>
        </w:tc>
        <w:tc>
          <w:tcPr>
            <w:tcW w:w="1474" w:type="dxa"/>
            <w:vAlign w:val="center"/>
          </w:tcPr>
          <w:p>
            <w:pPr>
              <w:pStyle w:val="15"/>
            </w:pPr>
            <w:r>
              <w:t>1921.57</w:t>
            </w:r>
          </w:p>
        </w:tc>
        <w:tc>
          <w:tcPr>
            <w:tcW w:w="1474" w:type="dxa"/>
            <w:vAlign w:val="center"/>
          </w:tcPr>
          <w:p>
            <w:pPr>
              <w:pStyle w:val="15"/>
            </w:pPr>
            <w:r>
              <w:t>2.00</w:t>
            </w: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2"/>
            </w:pPr>
            <w:r>
              <w:t>年初财政拨款结转和结余</w:t>
            </w:r>
          </w:p>
        </w:tc>
        <w:tc>
          <w:tcPr>
            <w:tcW w:w="1474" w:type="dxa"/>
            <w:vAlign w:val="center"/>
          </w:tcPr>
          <w:p>
            <w:pPr>
              <w:pStyle w:val="11"/>
            </w:pPr>
            <w:r>
              <w:t>9.98</w:t>
            </w: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一、一般公共预算拨款</w:t>
            </w:r>
          </w:p>
        </w:tc>
        <w:tc>
          <w:tcPr>
            <w:tcW w:w="1474" w:type="dxa"/>
            <w:vAlign w:val="center"/>
          </w:tcPr>
          <w:p>
            <w:pPr>
              <w:pStyle w:val="11"/>
            </w:pPr>
            <w:r>
              <w:t>7.98</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二、政府性基金预算拨款</w:t>
            </w:r>
          </w:p>
        </w:tc>
        <w:tc>
          <w:tcPr>
            <w:tcW w:w="1474" w:type="dxa"/>
            <w:vAlign w:val="center"/>
          </w:tcPr>
          <w:p>
            <w:pPr>
              <w:pStyle w:val="11"/>
            </w:pPr>
            <w:r>
              <w:t>2.00</w:t>
            </w: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4"/>
            </w:pPr>
            <w:r>
              <w:t>收入总计</w:t>
            </w:r>
          </w:p>
        </w:tc>
        <w:tc>
          <w:tcPr>
            <w:tcW w:w="1474" w:type="dxa"/>
            <w:vAlign w:val="center"/>
          </w:tcPr>
          <w:p>
            <w:pPr>
              <w:pStyle w:val="15"/>
            </w:pPr>
            <w:r>
              <w:t>1923.57</w:t>
            </w:r>
          </w:p>
        </w:tc>
        <w:tc>
          <w:tcPr>
            <w:tcW w:w="3402" w:type="dxa"/>
            <w:vAlign w:val="center"/>
          </w:tcPr>
          <w:p>
            <w:pPr>
              <w:pStyle w:val="14"/>
            </w:pPr>
            <w:r>
              <w:t>支出总计</w:t>
            </w:r>
          </w:p>
        </w:tc>
        <w:tc>
          <w:tcPr>
            <w:tcW w:w="1474" w:type="dxa"/>
            <w:vAlign w:val="center"/>
          </w:tcPr>
          <w:p>
            <w:pPr>
              <w:pStyle w:val="15"/>
            </w:pPr>
            <w:r>
              <w:t>1923.57</w:t>
            </w:r>
          </w:p>
        </w:tc>
        <w:tc>
          <w:tcPr>
            <w:tcW w:w="1474" w:type="dxa"/>
            <w:vAlign w:val="center"/>
          </w:tcPr>
          <w:p>
            <w:pPr>
              <w:pStyle w:val="15"/>
            </w:pPr>
            <w:r>
              <w:t>1921.57</w:t>
            </w:r>
          </w:p>
        </w:tc>
        <w:tc>
          <w:tcPr>
            <w:tcW w:w="1474" w:type="dxa"/>
            <w:vAlign w:val="center"/>
          </w:tcPr>
          <w:p>
            <w:pPr>
              <w:pStyle w:val="15"/>
            </w:pPr>
            <w:r>
              <w:t>2.00</w:t>
            </w:r>
          </w:p>
        </w:tc>
        <w:tc>
          <w:tcPr>
            <w:tcW w:w="1474" w:type="dxa"/>
            <w:vAlign w:val="center"/>
          </w:tcPr>
          <w:p>
            <w:pPr>
              <w:pStyle w:val="15"/>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1921.57</w:t>
            </w:r>
          </w:p>
        </w:tc>
        <w:tc>
          <w:tcPr>
            <w:tcW w:w="2551" w:type="dxa"/>
            <w:vAlign w:val="center"/>
          </w:tcPr>
          <w:p>
            <w:pPr>
              <w:pStyle w:val="15"/>
            </w:pPr>
            <w:r>
              <w:t>1399.75</w:t>
            </w:r>
          </w:p>
        </w:tc>
        <w:tc>
          <w:tcPr>
            <w:tcW w:w="2551" w:type="dxa"/>
            <w:vAlign w:val="center"/>
          </w:tcPr>
          <w:p>
            <w:pPr>
              <w:pStyle w:val="15"/>
            </w:pPr>
            <w:r>
              <w:t>521.82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1450.50</w:t>
            </w:r>
          </w:p>
        </w:tc>
        <w:tc>
          <w:tcPr>
            <w:tcW w:w="2551" w:type="dxa"/>
            <w:vAlign w:val="center"/>
          </w:tcPr>
          <w:p>
            <w:pPr>
              <w:pStyle w:val="11"/>
            </w:pPr>
            <w:r>
              <w:t>944.66</w:t>
            </w:r>
          </w:p>
        </w:tc>
        <w:tc>
          <w:tcPr>
            <w:tcW w:w="2551" w:type="dxa"/>
            <w:vAlign w:val="center"/>
          </w:tcPr>
          <w:p>
            <w:pPr>
              <w:pStyle w:val="11"/>
            </w:pPr>
            <w:r>
              <w:t>505.84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20106</w:t>
            </w:r>
          </w:p>
        </w:tc>
        <w:tc>
          <w:tcPr>
            <w:tcW w:w="4535" w:type="dxa"/>
            <w:vAlign w:val="center"/>
          </w:tcPr>
          <w:p>
            <w:pPr>
              <w:pStyle w:val="12"/>
            </w:pPr>
            <w:r>
              <w:t>财政事务</w:t>
            </w:r>
          </w:p>
        </w:tc>
        <w:tc>
          <w:tcPr>
            <w:tcW w:w="2551" w:type="dxa"/>
            <w:vAlign w:val="center"/>
          </w:tcPr>
          <w:p>
            <w:pPr>
              <w:pStyle w:val="11"/>
            </w:pPr>
            <w:r>
              <w:t>1450.50</w:t>
            </w:r>
          </w:p>
        </w:tc>
        <w:tc>
          <w:tcPr>
            <w:tcW w:w="2551" w:type="dxa"/>
            <w:vAlign w:val="center"/>
          </w:tcPr>
          <w:p>
            <w:pPr>
              <w:pStyle w:val="11"/>
            </w:pPr>
            <w:r>
              <w:t>944.66</w:t>
            </w:r>
          </w:p>
        </w:tc>
        <w:tc>
          <w:tcPr>
            <w:tcW w:w="2551" w:type="dxa"/>
            <w:vAlign w:val="center"/>
          </w:tcPr>
          <w:p>
            <w:pPr>
              <w:pStyle w:val="11"/>
            </w:pPr>
            <w:r>
              <w:t>505.84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2010601</w:t>
            </w:r>
          </w:p>
        </w:tc>
        <w:tc>
          <w:tcPr>
            <w:tcW w:w="4535" w:type="dxa"/>
            <w:vAlign w:val="center"/>
          </w:tcPr>
          <w:p>
            <w:pPr>
              <w:pStyle w:val="12"/>
            </w:pPr>
            <w:r>
              <w:t>行政运行</w:t>
            </w:r>
          </w:p>
        </w:tc>
        <w:tc>
          <w:tcPr>
            <w:tcW w:w="2551" w:type="dxa"/>
            <w:vAlign w:val="center"/>
          </w:tcPr>
          <w:p>
            <w:pPr>
              <w:pStyle w:val="11"/>
            </w:pPr>
            <w:r>
              <w:t>944.66</w:t>
            </w:r>
          </w:p>
        </w:tc>
        <w:tc>
          <w:tcPr>
            <w:tcW w:w="2551" w:type="dxa"/>
            <w:vAlign w:val="center"/>
          </w:tcPr>
          <w:p>
            <w:pPr>
              <w:pStyle w:val="11"/>
            </w:pPr>
            <w:r>
              <w:t>944.66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2010602</w:t>
            </w:r>
          </w:p>
        </w:tc>
        <w:tc>
          <w:tcPr>
            <w:tcW w:w="4535" w:type="dxa"/>
            <w:vAlign w:val="center"/>
          </w:tcPr>
          <w:p>
            <w:pPr>
              <w:pStyle w:val="12"/>
            </w:pPr>
            <w:r>
              <w:t>一般行政管理事务</w:t>
            </w:r>
          </w:p>
        </w:tc>
        <w:tc>
          <w:tcPr>
            <w:tcW w:w="2551" w:type="dxa"/>
            <w:vAlign w:val="center"/>
          </w:tcPr>
          <w:p>
            <w:pPr>
              <w:pStyle w:val="11"/>
            </w:pPr>
            <w:r>
              <w:t>28.00</w:t>
            </w:r>
          </w:p>
        </w:tc>
        <w:tc>
          <w:tcPr>
            <w:tcW w:w="2551" w:type="dxa"/>
            <w:vAlign w:val="center"/>
          </w:tcPr>
          <w:p>
            <w:pPr>
              <w:pStyle w:val="11"/>
            </w:pPr>
          </w:p>
        </w:tc>
        <w:tc>
          <w:tcPr>
            <w:tcW w:w="2551" w:type="dxa"/>
            <w:vAlign w:val="center"/>
          </w:tcPr>
          <w:p>
            <w:pPr>
              <w:pStyle w:val="11"/>
            </w:pPr>
            <w:r>
              <w:t>28.00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2010603</w:t>
            </w:r>
          </w:p>
        </w:tc>
        <w:tc>
          <w:tcPr>
            <w:tcW w:w="4535" w:type="dxa"/>
            <w:vAlign w:val="center"/>
          </w:tcPr>
          <w:p>
            <w:pPr>
              <w:pStyle w:val="12"/>
            </w:pPr>
            <w:r>
              <w:t>机关服务</w:t>
            </w:r>
          </w:p>
        </w:tc>
        <w:tc>
          <w:tcPr>
            <w:tcW w:w="2551" w:type="dxa"/>
            <w:vAlign w:val="center"/>
          </w:tcPr>
          <w:p>
            <w:pPr>
              <w:pStyle w:val="11"/>
            </w:pPr>
            <w:r>
              <w:t>25.00</w:t>
            </w:r>
          </w:p>
        </w:tc>
        <w:tc>
          <w:tcPr>
            <w:tcW w:w="2551" w:type="dxa"/>
            <w:vAlign w:val="center"/>
          </w:tcPr>
          <w:p>
            <w:pPr>
              <w:pStyle w:val="11"/>
            </w:pPr>
          </w:p>
        </w:tc>
        <w:tc>
          <w:tcPr>
            <w:tcW w:w="2551" w:type="dxa"/>
            <w:vAlign w:val="center"/>
          </w:tcPr>
          <w:p>
            <w:pPr>
              <w:pStyle w:val="11"/>
            </w:pPr>
            <w:r>
              <w:t>25.00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2010604</w:t>
            </w:r>
          </w:p>
        </w:tc>
        <w:tc>
          <w:tcPr>
            <w:tcW w:w="4535" w:type="dxa"/>
            <w:vAlign w:val="center"/>
          </w:tcPr>
          <w:p>
            <w:pPr>
              <w:pStyle w:val="12"/>
            </w:pPr>
            <w:r>
              <w:t>预算改革业务</w:t>
            </w:r>
          </w:p>
        </w:tc>
        <w:tc>
          <w:tcPr>
            <w:tcW w:w="2551" w:type="dxa"/>
            <w:vAlign w:val="center"/>
          </w:tcPr>
          <w:p>
            <w:pPr>
              <w:pStyle w:val="11"/>
            </w:pPr>
            <w:r>
              <w:t>40.00</w:t>
            </w:r>
          </w:p>
        </w:tc>
        <w:tc>
          <w:tcPr>
            <w:tcW w:w="2551" w:type="dxa"/>
            <w:vAlign w:val="center"/>
          </w:tcPr>
          <w:p>
            <w:pPr>
              <w:pStyle w:val="11"/>
            </w:pPr>
          </w:p>
        </w:tc>
        <w:tc>
          <w:tcPr>
            <w:tcW w:w="2551" w:type="dxa"/>
            <w:vAlign w:val="center"/>
          </w:tcPr>
          <w:p>
            <w:pPr>
              <w:pStyle w:val="11"/>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2010607</w:t>
            </w:r>
          </w:p>
        </w:tc>
        <w:tc>
          <w:tcPr>
            <w:tcW w:w="4535" w:type="dxa"/>
            <w:vAlign w:val="center"/>
          </w:tcPr>
          <w:p>
            <w:pPr>
              <w:pStyle w:val="12"/>
            </w:pPr>
            <w:r>
              <w:t>信息化建设</w:t>
            </w:r>
          </w:p>
        </w:tc>
        <w:tc>
          <w:tcPr>
            <w:tcW w:w="2551" w:type="dxa"/>
            <w:vAlign w:val="center"/>
          </w:tcPr>
          <w:p>
            <w:pPr>
              <w:pStyle w:val="11"/>
            </w:pPr>
            <w:r>
              <w:t>50.00</w:t>
            </w:r>
          </w:p>
        </w:tc>
        <w:tc>
          <w:tcPr>
            <w:tcW w:w="2551" w:type="dxa"/>
            <w:vAlign w:val="center"/>
          </w:tcPr>
          <w:p>
            <w:pPr>
              <w:pStyle w:val="11"/>
            </w:pPr>
          </w:p>
        </w:tc>
        <w:tc>
          <w:tcPr>
            <w:tcW w:w="2551" w:type="dxa"/>
            <w:vAlign w:val="center"/>
          </w:tcPr>
          <w:p>
            <w:pPr>
              <w:pStyle w:val="11"/>
            </w:pPr>
            <w:r>
              <w:t>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2010608</w:t>
            </w:r>
          </w:p>
        </w:tc>
        <w:tc>
          <w:tcPr>
            <w:tcW w:w="4535" w:type="dxa"/>
            <w:vAlign w:val="center"/>
          </w:tcPr>
          <w:p>
            <w:pPr>
              <w:pStyle w:val="12"/>
            </w:pPr>
            <w:r>
              <w:t>财政委托业务支出</w:t>
            </w:r>
          </w:p>
        </w:tc>
        <w:tc>
          <w:tcPr>
            <w:tcW w:w="2551" w:type="dxa"/>
            <w:vAlign w:val="center"/>
          </w:tcPr>
          <w:p>
            <w:pPr>
              <w:pStyle w:val="11"/>
            </w:pPr>
            <w:r>
              <w:t>280.00</w:t>
            </w:r>
          </w:p>
        </w:tc>
        <w:tc>
          <w:tcPr>
            <w:tcW w:w="2551" w:type="dxa"/>
            <w:vAlign w:val="center"/>
          </w:tcPr>
          <w:p>
            <w:pPr>
              <w:pStyle w:val="11"/>
            </w:pPr>
          </w:p>
        </w:tc>
        <w:tc>
          <w:tcPr>
            <w:tcW w:w="2551" w:type="dxa"/>
            <w:vAlign w:val="center"/>
          </w:tcPr>
          <w:p>
            <w:pPr>
              <w:pStyle w:val="11"/>
            </w:pPr>
            <w:r>
              <w:t>280.00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2010699</w:t>
            </w:r>
          </w:p>
        </w:tc>
        <w:tc>
          <w:tcPr>
            <w:tcW w:w="4535" w:type="dxa"/>
            <w:vAlign w:val="center"/>
          </w:tcPr>
          <w:p>
            <w:pPr>
              <w:pStyle w:val="12"/>
            </w:pPr>
            <w:r>
              <w:t>其他财政事务支出</w:t>
            </w:r>
          </w:p>
        </w:tc>
        <w:tc>
          <w:tcPr>
            <w:tcW w:w="2551" w:type="dxa"/>
            <w:vAlign w:val="center"/>
          </w:tcPr>
          <w:p>
            <w:pPr>
              <w:pStyle w:val="11"/>
            </w:pPr>
            <w:r>
              <w:t>82.84</w:t>
            </w:r>
          </w:p>
        </w:tc>
        <w:tc>
          <w:tcPr>
            <w:tcW w:w="2551" w:type="dxa"/>
            <w:vAlign w:val="center"/>
          </w:tcPr>
          <w:p>
            <w:pPr>
              <w:pStyle w:val="11"/>
            </w:pPr>
          </w:p>
        </w:tc>
        <w:tc>
          <w:tcPr>
            <w:tcW w:w="2551" w:type="dxa"/>
            <w:vAlign w:val="center"/>
          </w:tcPr>
          <w:p>
            <w:pPr>
              <w:pStyle w:val="11"/>
            </w:pPr>
            <w:r>
              <w:t>82.84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291.09</w:t>
            </w:r>
          </w:p>
        </w:tc>
        <w:tc>
          <w:tcPr>
            <w:tcW w:w="2551" w:type="dxa"/>
            <w:vAlign w:val="center"/>
          </w:tcPr>
          <w:p>
            <w:pPr>
              <w:pStyle w:val="11"/>
            </w:pPr>
            <w:r>
              <w:t>291.09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291.09</w:t>
            </w:r>
          </w:p>
        </w:tc>
        <w:tc>
          <w:tcPr>
            <w:tcW w:w="2551" w:type="dxa"/>
            <w:vAlign w:val="center"/>
          </w:tcPr>
          <w:p>
            <w:pPr>
              <w:pStyle w:val="11"/>
            </w:pPr>
            <w:r>
              <w:t>291.09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218.38</w:t>
            </w:r>
          </w:p>
        </w:tc>
        <w:tc>
          <w:tcPr>
            <w:tcW w:w="2551" w:type="dxa"/>
            <w:vAlign w:val="center"/>
          </w:tcPr>
          <w:p>
            <w:pPr>
              <w:pStyle w:val="11"/>
            </w:pPr>
            <w:r>
              <w:t>218.38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72.71</w:t>
            </w:r>
          </w:p>
        </w:tc>
        <w:tc>
          <w:tcPr>
            <w:tcW w:w="2551" w:type="dxa"/>
            <w:vAlign w:val="center"/>
          </w:tcPr>
          <w:p>
            <w:pPr>
              <w:pStyle w:val="11"/>
            </w:pPr>
            <w:r>
              <w:t>72.71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70.14</w:t>
            </w:r>
          </w:p>
        </w:tc>
        <w:tc>
          <w:tcPr>
            <w:tcW w:w="2551" w:type="dxa"/>
            <w:vAlign w:val="center"/>
          </w:tcPr>
          <w:p>
            <w:pPr>
              <w:pStyle w:val="11"/>
            </w:pPr>
            <w:r>
              <w:t>70.14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213</w:t>
            </w:r>
          </w:p>
        </w:tc>
        <w:tc>
          <w:tcPr>
            <w:tcW w:w="4535" w:type="dxa"/>
            <w:vAlign w:val="center"/>
          </w:tcPr>
          <w:p>
            <w:pPr>
              <w:pStyle w:val="12"/>
            </w:pPr>
            <w:r>
              <w:t>农林水支出</w:t>
            </w:r>
          </w:p>
        </w:tc>
        <w:tc>
          <w:tcPr>
            <w:tcW w:w="2551" w:type="dxa"/>
            <w:vAlign w:val="center"/>
          </w:tcPr>
          <w:p>
            <w:pPr>
              <w:pStyle w:val="11"/>
            </w:pPr>
            <w:r>
              <w:t>15.98</w:t>
            </w:r>
          </w:p>
        </w:tc>
        <w:tc>
          <w:tcPr>
            <w:tcW w:w="2551" w:type="dxa"/>
            <w:vAlign w:val="center"/>
          </w:tcPr>
          <w:p>
            <w:pPr>
              <w:pStyle w:val="11"/>
            </w:pPr>
          </w:p>
        </w:tc>
        <w:tc>
          <w:tcPr>
            <w:tcW w:w="2551" w:type="dxa"/>
            <w:vAlign w:val="center"/>
          </w:tcPr>
          <w:p>
            <w:pPr>
              <w:pStyle w:val="11"/>
            </w:pPr>
            <w:r>
              <w:t>15.98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21301</w:t>
            </w:r>
          </w:p>
        </w:tc>
        <w:tc>
          <w:tcPr>
            <w:tcW w:w="4535" w:type="dxa"/>
            <w:vAlign w:val="center"/>
          </w:tcPr>
          <w:p>
            <w:pPr>
              <w:pStyle w:val="12"/>
            </w:pPr>
            <w:r>
              <w:t>农业农村</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2130199</w:t>
            </w:r>
          </w:p>
        </w:tc>
        <w:tc>
          <w:tcPr>
            <w:tcW w:w="4535" w:type="dxa"/>
            <w:vAlign w:val="center"/>
          </w:tcPr>
          <w:p>
            <w:pPr>
              <w:pStyle w:val="12"/>
            </w:pPr>
            <w:r>
              <w:t>其他农业农村支出</w:t>
            </w:r>
          </w:p>
        </w:tc>
        <w:tc>
          <w:tcPr>
            <w:tcW w:w="2551" w:type="dxa"/>
            <w:vAlign w:val="center"/>
          </w:tcPr>
          <w:p>
            <w:pPr>
              <w:pStyle w:val="11"/>
            </w:pPr>
            <w:r>
              <w:t>0.40</w:t>
            </w:r>
          </w:p>
        </w:tc>
        <w:tc>
          <w:tcPr>
            <w:tcW w:w="2551" w:type="dxa"/>
            <w:vAlign w:val="center"/>
          </w:tcPr>
          <w:p>
            <w:pPr>
              <w:pStyle w:val="11"/>
            </w:pPr>
          </w:p>
        </w:tc>
        <w:tc>
          <w:tcPr>
            <w:tcW w:w="2551"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21307</w:t>
            </w:r>
          </w:p>
        </w:tc>
        <w:tc>
          <w:tcPr>
            <w:tcW w:w="4535" w:type="dxa"/>
            <w:vAlign w:val="center"/>
          </w:tcPr>
          <w:p>
            <w:pPr>
              <w:pStyle w:val="12"/>
            </w:pPr>
            <w:r>
              <w:t>农村综合改革</w:t>
            </w:r>
          </w:p>
        </w:tc>
        <w:tc>
          <w:tcPr>
            <w:tcW w:w="2551" w:type="dxa"/>
            <w:vAlign w:val="center"/>
          </w:tcPr>
          <w:p>
            <w:pPr>
              <w:pStyle w:val="11"/>
            </w:pPr>
            <w:r>
              <w:t>15.58</w:t>
            </w:r>
          </w:p>
        </w:tc>
        <w:tc>
          <w:tcPr>
            <w:tcW w:w="2551" w:type="dxa"/>
            <w:vAlign w:val="center"/>
          </w:tcPr>
          <w:p>
            <w:pPr>
              <w:pStyle w:val="11"/>
            </w:pPr>
          </w:p>
        </w:tc>
        <w:tc>
          <w:tcPr>
            <w:tcW w:w="2551"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2130799</w:t>
            </w:r>
          </w:p>
        </w:tc>
        <w:tc>
          <w:tcPr>
            <w:tcW w:w="4535" w:type="dxa"/>
            <w:vAlign w:val="center"/>
          </w:tcPr>
          <w:p>
            <w:pPr>
              <w:pStyle w:val="12"/>
            </w:pPr>
            <w:r>
              <w:t>其他农村综合改革支出</w:t>
            </w:r>
          </w:p>
        </w:tc>
        <w:tc>
          <w:tcPr>
            <w:tcW w:w="2551" w:type="dxa"/>
            <w:vAlign w:val="center"/>
          </w:tcPr>
          <w:p>
            <w:pPr>
              <w:pStyle w:val="11"/>
            </w:pPr>
            <w:r>
              <w:t>15.58</w:t>
            </w:r>
          </w:p>
        </w:tc>
        <w:tc>
          <w:tcPr>
            <w:tcW w:w="2551" w:type="dxa"/>
            <w:vAlign w:val="center"/>
          </w:tcPr>
          <w:p>
            <w:pPr>
              <w:pStyle w:val="11"/>
            </w:pPr>
          </w:p>
        </w:tc>
        <w:tc>
          <w:tcPr>
            <w:tcW w:w="2551" w:type="dxa"/>
            <w:vAlign w:val="center"/>
          </w:tcPr>
          <w:p>
            <w:pPr>
              <w:pStyle w:val="11"/>
            </w:pPr>
            <w:r>
              <w:t>15.58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93.86</w:t>
            </w:r>
          </w:p>
        </w:tc>
        <w:tc>
          <w:tcPr>
            <w:tcW w:w="2551" w:type="dxa"/>
            <w:vAlign w:val="center"/>
          </w:tcPr>
          <w:p>
            <w:pPr>
              <w:pStyle w:val="11"/>
            </w:pPr>
            <w:r>
              <w:t>93.86</w:t>
            </w:r>
          </w:p>
        </w:tc>
        <w:tc>
          <w:tcPr>
            <w:tcW w:w="2551" w:type="dxa"/>
            <w:vAlign w:val="center"/>
          </w:tcPr>
          <w:p>
            <w:pPr>
              <w:pStyle w:val="11"/>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3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4"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2"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2"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1399.75</w:t>
            </w:r>
          </w:p>
        </w:tc>
        <w:tc>
          <w:tcPr>
            <w:tcW w:w="2551" w:type="dxa"/>
            <w:vAlign w:val="center"/>
          </w:tcPr>
          <w:p>
            <w:pPr>
              <w:pStyle w:val="15"/>
            </w:pPr>
            <w:r>
              <w:t>1177.56</w:t>
            </w:r>
          </w:p>
        </w:tc>
        <w:tc>
          <w:tcPr>
            <w:tcW w:w="2552" w:type="dxa"/>
            <w:vAlign w:val="center"/>
          </w:tcPr>
          <w:p>
            <w:pPr>
              <w:pStyle w:val="15"/>
            </w:pPr>
            <w:r>
              <w:t>222.19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961.39</w:t>
            </w:r>
          </w:p>
        </w:tc>
        <w:tc>
          <w:tcPr>
            <w:tcW w:w="2551" w:type="dxa"/>
            <w:vAlign w:val="center"/>
          </w:tcPr>
          <w:p>
            <w:pPr>
              <w:pStyle w:val="11"/>
            </w:pPr>
            <w:r>
              <w:t>961.39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258.07</w:t>
            </w:r>
          </w:p>
        </w:tc>
        <w:tc>
          <w:tcPr>
            <w:tcW w:w="2551" w:type="dxa"/>
            <w:vAlign w:val="center"/>
          </w:tcPr>
          <w:p>
            <w:pPr>
              <w:pStyle w:val="11"/>
            </w:pPr>
            <w:r>
              <w:t>258.07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104.18</w:t>
            </w:r>
          </w:p>
        </w:tc>
        <w:tc>
          <w:tcPr>
            <w:tcW w:w="2551" w:type="dxa"/>
            <w:vAlign w:val="center"/>
          </w:tcPr>
          <w:p>
            <w:pPr>
              <w:pStyle w:val="11"/>
            </w:pPr>
            <w:r>
              <w:t>104.18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6.43</w:t>
            </w:r>
          </w:p>
        </w:tc>
        <w:tc>
          <w:tcPr>
            <w:tcW w:w="2551" w:type="dxa"/>
            <w:vAlign w:val="center"/>
          </w:tcPr>
          <w:p>
            <w:pPr>
              <w:pStyle w:val="11"/>
            </w:pPr>
            <w:r>
              <w:t>6.43</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138.21</w:t>
            </w:r>
          </w:p>
        </w:tc>
        <w:tc>
          <w:tcPr>
            <w:tcW w:w="2551" w:type="dxa"/>
            <w:vAlign w:val="center"/>
          </w:tcPr>
          <w:p>
            <w:pPr>
              <w:pStyle w:val="11"/>
            </w:pPr>
            <w:r>
              <w:t>138.21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72.71</w:t>
            </w:r>
          </w:p>
        </w:tc>
        <w:tc>
          <w:tcPr>
            <w:tcW w:w="2551" w:type="dxa"/>
            <w:vAlign w:val="center"/>
          </w:tcPr>
          <w:p>
            <w:pPr>
              <w:pStyle w:val="11"/>
            </w:pPr>
            <w:r>
              <w:t>72.71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39.54</w:t>
            </w:r>
          </w:p>
        </w:tc>
        <w:tc>
          <w:tcPr>
            <w:tcW w:w="2551" w:type="dxa"/>
            <w:vAlign w:val="center"/>
          </w:tcPr>
          <w:p>
            <w:pPr>
              <w:pStyle w:val="11"/>
            </w:pPr>
            <w:r>
              <w:t>39.54</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30.60</w:t>
            </w:r>
          </w:p>
        </w:tc>
        <w:tc>
          <w:tcPr>
            <w:tcW w:w="2551" w:type="dxa"/>
            <w:vAlign w:val="center"/>
          </w:tcPr>
          <w:p>
            <w:pPr>
              <w:pStyle w:val="11"/>
            </w:pPr>
            <w:r>
              <w:t>30.60</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4.51</w:t>
            </w:r>
          </w:p>
        </w:tc>
        <w:tc>
          <w:tcPr>
            <w:tcW w:w="2551" w:type="dxa"/>
            <w:vAlign w:val="center"/>
          </w:tcPr>
          <w:p>
            <w:pPr>
              <w:pStyle w:val="11"/>
            </w:pPr>
            <w:r>
              <w:t>4.51</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93.86</w:t>
            </w:r>
          </w:p>
        </w:tc>
        <w:tc>
          <w:tcPr>
            <w:tcW w:w="2551" w:type="dxa"/>
            <w:vAlign w:val="center"/>
          </w:tcPr>
          <w:p>
            <w:pPr>
              <w:pStyle w:val="11"/>
            </w:pPr>
            <w:r>
              <w:t>93.86</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30199</w:t>
            </w:r>
          </w:p>
        </w:tc>
        <w:tc>
          <w:tcPr>
            <w:tcW w:w="4535" w:type="dxa"/>
            <w:vAlign w:val="center"/>
          </w:tcPr>
          <w:p>
            <w:pPr>
              <w:pStyle w:val="12"/>
            </w:pPr>
            <w:r>
              <w:t>其他工资福利支出</w:t>
            </w:r>
          </w:p>
        </w:tc>
        <w:tc>
          <w:tcPr>
            <w:tcW w:w="2551" w:type="dxa"/>
            <w:vAlign w:val="center"/>
          </w:tcPr>
          <w:p>
            <w:pPr>
              <w:pStyle w:val="11"/>
            </w:pPr>
            <w:r>
              <w:t>213.28</w:t>
            </w:r>
          </w:p>
        </w:tc>
        <w:tc>
          <w:tcPr>
            <w:tcW w:w="2551" w:type="dxa"/>
            <w:vAlign w:val="center"/>
          </w:tcPr>
          <w:p>
            <w:pPr>
              <w:pStyle w:val="11"/>
            </w:pPr>
            <w:r>
              <w:t>213.28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222.19</w:t>
            </w:r>
          </w:p>
        </w:tc>
        <w:tc>
          <w:tcPr>
            <w:tcW w:w="2551" w:type="dxa"/>
            <w:vAlign w:val="center"/>
          </w:tcPr>
          <w:p>
            <w:pPr>
              <w:pStyle w:val="11"/>
            </w:pPr>
          </w:p>
        </w:tc>
        <w:tc>
          <w:tcPr>
            <w:tcW w:w="2552" w:type="dxa"/>
            <w:vAlign w:val="center"/>
          </w:tcPr>
          <w:p>
            <w:pPr>
              <w:pStyle w:val="11"/>
            </w:pPr>
            <w:r>
              <w:t>222.19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37.20</w:t>
            </w:r>
          </w:p>
        </w:tc>
        <w:tc>
          <w:tcPr>
            <w:tcW w:w="2551" w:type="dxa"/>
            <w:vAlign w:val="center"/>
          </w:tcPr>
          <w:p>
            <w:pPr>
              <w:pStyle w:val="11"/>
            </w:pPr>
          </w:p>
        </w:tc>
        <w:tc>
          <w:tcPr>
            <w:tcW w:w="2552" w:type="dxa"/>
            <w:vAlign w:val="center"/>
          </w:tcPr>
          <w:p>
            <w:pPr>
              <w:pStyle w:val="11"/>
            </w:pPr>
            <w:r>
              <w:t>37.20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10.10</w:t>
            </w:r>
          </w:p>
        </w:tc>
        <w:tc>
          <w:tcPr>
            <w:tcW w:w="2551" w:type="dxa"/>
            <w:vAlign w:val="center"/>
          </w:tcPr>
          <w:p>
            <w:pPr>
              <w:pStyle w:val="11"/>
            </w:pPr>
          </w:p>
        </w:tc>
        <w:tc>
          <w:tcPr>
            <w:tcW w:w="2552" w:type="dxa"/>
            <w:vAlign w:val="center"/>
          </w:tcPr>
          <w:p>
            <w:pPr>
              <w:pStyle w:val="11"/>
            </w:pPr>
            <w:r>
              <w:t>10.10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30208</w:t>
            </w:r>
          </w:p>
        </w:tc>
        <w:tc>
          <w:tcPr>
            <w:tcW w:w="4535" w:type="dxa"/>
            <w:vAlign w:val="center"/>
          </w:tcPr>
          <w:p>
            <w:pPr>
              <w:pStyle w:val="12"/>
            </w:pPr>
            <w:r>
              <w:t>取暖费</w:t>
            </w:r>
          </w:p>
        </w:tc>
        <w:tc>
          <w:tcPr>
            <w:tcW w:w="2551" w:type="dxa"/>
            <w:vAlign w:val="center"/>
          </w:tcPr>
          <w:p>
            <w:pPr>
              <w:pStyle w:val="11"/>
            </w:pPr>
            <w:r>
              <w:t>18.53</w:t>
            </w:r>
          </w:p>
        </w:tc>
        <w:tc>
          <w:tcPr>
            <w:tcW w:w="2551" w:type="dxa"/>
            <w:vAlign w:val="center"/>
          </w:tcPr>
          <w:p>
            <w:pPr>
              <w:pStyle w:val="11"/>
            </w:pPr>
          </w:p>
        </w:tc>
        <w:tc>
          <w:tcPr>
            <w:tcW w:w="2552" w:type="dxa"/>
            <w:vAlign w:val="center"/>
          </w:tcPr>
          <w:p>
            <w:pPr>
              <w:pStyle w:val="11"/>
            </w:pPr>
            <w:r>
              <w:t>18.53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30215</w:t>
            </w:r>
          </w:p>
        </w:tc>
        <w:tc>
          <w:tcPr>
            <w:tcW w:w="4535" w:type="dxa"/>
            <w:vAlign w:val="center"/>
          </w:tcPr>
          <w:p>
            <w:pPr>
              <w:pStyle w:val="12"/>
            </w:pPr>
            <w:r>
              <w:t>会议费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1.00</w:t>
            </w:r>
          </w:p>
        </w:tc>
        <w:tc>
          <w:tcPr>
            <w:tcW w:w="2551" w:type="dxa"/>
            <w:vAlign w:val="center"/>
          </w:tcPr>
          <w:p>
            <w:pPr>
              <w:pStyle w:val="11"/>
            </w:pPr>
          </w:p>
        </w:tc>
        <w:tc>
          <w:tcPr>
            <w:tcW w:w="2552"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30217</w:t>
            </w:r>
          </w:p>
        </w:tc>
        <w:tc>
          <w:tcPr>
            <w:tcW w:w="4535" w:type="dxa"/>
            <w:vAlign w:val="center"/>
          </w:tcPr>
          <w:p>
            <w:pPr>
              <w:pStyle w:val="12"/>
            </w:pPr>
            <w:r>
              <w:t>公务接待费</w:t>
            </w:r>
          </w:p>
        </w:tc>
        <w:tc>
          <w:tcPr>
            <w:tcW w:w="2551" w:type="dxa"/>
            <w:vAlign w:val="center"/>
          </w:tcPr>
          <w:p>
            <w:pPr>
              <w:pStyle w:val="11"/>
            </w:pPr>
            <w:r>
              <w:t>2.00</w:t>
            </w:r>
          </w:p>
        </w:tc>
        <w:tc>
          <w:tcPr>
            <w:tcW w:w="2551" w:type="dxa"/>
            <w:vAlign w:val="center"/>
          </w:tcPr>
          <w:p>
            <w:pPr>
              <w:pStyle w:val="11"/>
            </w:pPr>
          </w:p>
        </w:tc>
        <w:tc>
          <w:tcPr>
            <w:tcW w:w="2552" w:type="dxa"/>
            <w:vAlign w:val="center"/>
          </w:tcPr>
          <w:p>
            <w:pPr>
              <w:pStyle w:val="11"/>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30227</w:t>
            </w:r>
          </w:p>
        </w:tc>
        <w:tc>
          <w:tcPr>
            <w:tcW w:w="4535" w:type="dxa"/>
            <w:vAlign w:val="center"/>
          </w:tcPr>
          <w:p>
            <w:pPr>
              <w:pStyle w:val="12"/>
            </w:pPr>
            <w:r>
              <w:t>委托业务费</w:t>
            </w:r>
          </w:p>
        </w:tc>
        <w:tc>
          <w:tcPr>
            <w:tcW w:w="2551" w:type="dxa"/>
            <w:vAlign w:val="center"/>
          </w:tcPr>
          <w:p>
            <w:pPr>
              <w:pStyle w:val="11"/>
            </w:pPr>
            <w:r>
              <w:t>109.62</w:t>
            </w:r>
          </w:p>
        </w:tc>
        <w:tc>
          <w:tcPr>
            <w:tcW w:w="2551" w:type="dxa"/>
            <w:vAlign w:val="center"/>
          </w:tcPr>
          <w:p>
            <w:pPr>
              <w:pStyle w:val="11"/>
            </w:pPr>
          </w:p>
        </w:tc>
        <w:tc>
          <w:tcPr>
            <w:tcW w:w="2552" w:type="dxa"/>
            <w:vAlign w:val="center"/>
          </w:tcPr>
          <w:p>
            <w:pPr>
              <w:pStyle w:val="11"/>
            </w:pPr>
            <w:r>
              <w:t>109.62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5.45</w:t>
            </w:r>
          </w:p>
        </w:tc>
        <w:tc>
          <w:tcPr>
            <w:tcW w:w="2551" w:type="dxa"/>
            <w:vAlign w:val="center"/>
          </w:tcPr>
          <w:p>
            <w:pPr>
              <w:pStyle w:val="11"/>
            </w:pPr>
          </w:p>
        </w:tc>
        <w:tc>
          <w:tcPr>
            <w:tcW w:w="2552" w:type="dxa"/>
            <w:vAlign w:val="center"/>
          </w:tcPr>
          <w:p>
            <w:pPr>
              <w:pStyle w:val="11"/>
            </w:pPr>
            <w:r>
              <w:t>5.45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30229</w:t>
            </w:r>
          </w:p>
        </w:tc>
        <w:tc>
          <w:tcPr>
            <w:tcW w:w="4535" w:type="dxa"/>
            <w:vAlign w:val="center"/>
          </w:tcPr>
          <w:p>
            <w:pPr>
              <w:pStyle w:val="12"/>
            </w:pPr>
            <w:r>
              <w:t>福利费</w:t>
            </w:r>
          </w:p>
        </w:tc>
        <w:tc>
          <w:tcPr>
            <w:tcW w:w="2551" w:type="dxa"/>
            <w:vAlign w:val="center"/>
          </w:tcPr>
          <w:p>
            <w:pPr>
              <w:pStyle w:val="11"/>
            </w:pPr>
            <w:r>
              <w:t>6.45</w:t>
            </w:r>
          </w:p>
        </w:tc>
        <w:tc>
          <w:tcPr>
            <w:tcW w:w="2551" w:type="dxa"/>
            <w:vAlign w:val="center"/>
          </w:tcPr>
          <w:p>
            <w:pPr>
              <w:pStyle w:val="11"/>
            </w:pPr>
          </w:p>
        </w:tc>
        <w:tc>
          <w:tcPr>
            <w:tcW w:w="2552" w:type="dxa"/>
            <w:vAlign w:val="center"/>
          </w:tcPr>
          <w:p>
            <w:pPr>
              <w:pStyle w:val="11"/>
            </w:pPr>
            <w:r>
              <w:t>6.45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8.10</w:t>
            </w:r>
          </w:p>
        </w:tc>
        <w:tc>
          <w:tcPr>
            <w:tcW w:w="2551" w:type="dxa"/>
            <w:vAlign w:val="center"/>
          </w:tcPr>
          <w:p>
            <w:pPr>
              <w:pStyle w:val="11"/>
            </w:pPr>
          </w:p>
        </w:tc>
        <w:tc>
          <w:tcPr>
            <w:tcW w:w="2552" w:type="dxa"/>
            <w:vAlign w:val="center"/>
          </w:tcPr>
          <w:p>
            <w:pPr>
              <w:pStyle w:val="11"/>
            </w:pPr>
            <w:r>
              <w:t>8.10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14.58</w:t>
            </w:r>
          </w:p>
        </w:tc>
        <w:tc>
          <w:tcPr>
            <w:tcW w:w="2551" w:type="dxa"/>
            <w:vAlign w:val="center"/>
          </w:tcPr>
          <w:p>
            <w:pPr>
              <w:pStyle w:val="11"/>
            </w:pPr>
          </w:p>
        </w:tc>
        <w:tc>
          <w:tcPr>
            <w:tcW w:w="2552" w:type="dxa"/>
            <w:vAlign w:val="center"/>
          </w:tcPr>
          <w:p>
            <w:pPr>
              <w:pStyle w:val="11"/>
            </w:pPr>
            <w:r>
              <w:t>14.58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7.15</w:t>
            </w:r>
          </w:p>
        </w:tc>
        <w:tc>
          <w:tcPr>
            <w:tcW w:w="2551" w:type="dxa"/>
            <w:vAlign w:val="center"/>
          </w:tcPr>
          <w:p>
            <w:pPr>
              <w:pStyle w:val="11"/>
            </w:pPr>
          </w:p>
        </w:tc>
        <w:tc>
          <w:tcPr>
            <w:tcW w:w="2552" w:type="dxa"/>
            <w:vAlign w:val="center"/>
          </w:tcPr>
          <w:p>
            <w:pPr>
              <w:pStyle w:val="11"/>
            </w:pPr>
            <w:r>
              <w:t>7.15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216.17</w:t>
            </w:r>
          </w:p>
        </w:tc>
        <w:tc>
          <w:tcPr>
            <w:tcW w:w="2551" w:type="dxa"/>
            <w:vAlign w:val="center"/>
          </w:tcPr>
          <w:p>
            <w:pPr>
              <w:pStyle w:val="11"/>
            </w:pPr>
            <w:r>
              <w:t>216.17</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1191" w:type="dxa"/>
            <w:vAlign w:val="center"/>
          </w:tcPr>
          <w:p>
            <w:pPr>
              <w:pStyle w:val="12"/>
            </w:pPr>
            <w:r>
              <w:t>30301</w:t>
            </w:r>
          </w:p>
        </w:tc>
        <w:tc>
          <w:tcPr>
            <w:tcW w:w="4535" w:type="dxa"/>
            <w:vAlign w:val="center"/>
          </w:tcPr>
          <w:p>
            <w:pPr>
              <w:pStyle w:val="12"/>
            </w:pPr>
            <w:r>
              <w:t>离休费</w:t>
            </w:r>
          </w:p>
        </w:tc>
        <w:tc>
          <w:tcPr>
            <w:tcW w:w="2551" w:type="dxa"/>
            <w:vAlign w:val="center"/>
          </w:tcPr>
          <w:p>
            <w:pPr>
              <w:pStyle w:val="11"/>
            </w:pPr>
            <w:r>
              <w:t>11.39</w:t>
            </w:r>
          </w:p>
        </w:tc>
        <w:tc>
          <w:tcPr>
            <w:tcW w:w="2551" w:type="dxa"/>
            <w:vAlign w:val="center"/>
          </w:tcPr>
          <w:p>
            <w:pPr>
              <w:pStyle w:val="11"/>
            </w:pPr>
            <w:r>
              <w:t>11.39</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46.22</w:t>
            </w:r>
          </w:p>
        </w:tc>
        <w:tc>
          <w:tcPr>
            <w:tcW w:w="2551" w:type="dxa"/>
            <w:vAlign w:val="center"/>
          </w:tcPr>
          <w:p>
            <w:pPr>
              <w:pStyle w:val="11"/>
            </w:pPr>
            <w:r>
              <w:t>46.22</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1191" w:type="dxa"/>
            <w:vAlign w:val="center"/>
          </w:tcPr>
          <w:p>
            <w:pPr>
              <w:pStyle w:val="12"/>
            </w:pPr>
            <w:r>
              <w:t>30305</w:t>
            </w:r>
          </w:p>
        </w:tc>
        <w:tc>
          <w:tcPr>
            <w:tcW w:w="4535" w:type="dxa"/>
            <w:vAlign w:val="center"/>
          </w:tcPr>
          <w:p>
            <w:pPr>
              <w:pStyle w:val="12"/>
            </w:pPr>
            <w:r>
              <w:t>生活补助</w:t>
            </w:r>
          </w:p>
        </w:tc>
        <w:tc>
          <w:tcPr>
            <w:tcW w:w="2551" w:type="dxa"/>
            <w:vAlign w:val="center"/>
          </w:tcPr>
          <w:p>
            <w:pPr>
              <w:pStyle w:val="11"/>
            </w:pPr>
            <w:r>
              <w:t>3.68</w:t>
            </w:r>
          </w:p>
        </w:tc>
        <w:tc>
          <w:tcPr>
            <w:tcW w:w="2551" w:type="dxa"/>
            <w:vAlign w:val="center"/>
          </w:tcPr>
          <w:p>
            <w:pPr>
              <w:pStyle w:val="11"/>
            </w:pPr>
            <w:r>
              <w:t>3.68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1191" w:type="dxa"/>
            <w:vAlign w:val="center"/>
          </w:tcPr>
          <w:p>
            <w:pPr>
              <w:pStyle w:val="12"/>
            </w:pPr>
            <w:r>
              <w:t>30309</w:t>
            </w:r>
          </w:p>
        </w:tc>
        <w:tc>
          <w:tcPr>
            <w:tcW w:w="4535" w:type="dxa"/>
            <w:vAlign w:val="center"/>
          </w:tcPr>
          <w:p>
            <w:pPr>
              <w:pStyle w:val="12"/>
            </w:pPr>
            <w:r>
              <w:t>奖励金</w:t>
            </w:r>
          </w:p>
        </w:tc>
        <w:tc>
          <w:tcPr>
            <w:tcW w:w="2551" w:type="dxa"/>
            <w:vAlign w:val="center"/>
          </w:tcPr>
          <w:p>
            <w:pPr>
              <w:pStyle w:val="11"/>
            </w:pPr>
            <w:r>
              <w:t>0.08</w:t>
            </w:r>
          </w:p>
        </w:tc>
        <w:tc>
          <w:tcPr>
            <w:tcW w:w="2551" w:type="dxa"/>
            <w:vAlign w:val="center"/>
          </w:tcPr>
          <w:p>
            <w:pPr>
              <w:pStyle w:val="11"/>
            </w:pPr>
            <w:r>
              <w:t>0.08</w:t>
            </w:r>
          </w:p>
        </w:tc>
        <w:tc>
          <w:tcPr>
            <w:tcW w:w="25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1191" w:type="dxa"/>
            <w:vAlign w:val="center"/>
          </w:tcPr>
          <w:p>
            <w:pPr>
              <w:pStyle w:val="12"/>
            </w:pPr>
            <w:r>
              <w:t>30399</w:t>
            </w:r>
          </w:p>
        </w:tc>
        <w:tc>
          <w:tcPr>
            <w:tcW w:w="4535" w:type="dxa"/>
            <w:vAlign w:val="center"/>
          </w:tcPr>
          <w:p>
            <w:pPr>
              <w:pStyle w:val="12"/>
            </w:pPr>
            <w:r>
              <w:t>其他对个人和家庭的补助</w:t>
            </w:r>
          </w:p>
        </w:tc>
        <w:tc>
          <w:tcPr>
            <w:tcW w:w="2551" w:type="dxa"/>
            <w:vAlign w:val="center"/>
          </w:tcPr>
          <w:p>
            <w:pPr>
              <w:pStyle w:val="11"/>
            </w:pPr>
            <w:r>
              <w:t>154.80</w:t>
            </w:r>
          </w:p>
        </w:tc>
        <w:tc>
          <w:tcPr>
            <w:tcW w:w="2551" w:type="dxa"/>
            <w:vAlign w:val="center"/>
          </w:tcPr>
          <w:p>
            <w:pPr>
              <w:pStyle w:val="11"/>
            </w:pPr>
            <w:r>
              <w:t>154.80</w:t>
            </w:r>
          </w:p>
        </w:tc>
        <w:tc>
          <w:tcPr>
            <w:tcW w:w="2552" w:type="dxa"/>
            <w:vAlign w:val="center"/>
          </w:tcPr>
          <w:p>
            <w:pPr>
              <w:pStyle w:val="11"/>
            </w:pPr>
          </w:p>
        </w:tc>
      </w:tr>
    </w:tbl>
    <w:p>
      <w:pPr/>
    </w:p>
    <w:p>
      <w:pPr/>
    </w:p>
    <w:p>
      <w:pPr/>
    </w:p>
    <w:p>
      <w:pPr/>
    </w:p>
    <w:p>
      <w:pPr/>
    </w:p>
    <w:p>
      <w:pPr/>
    </w:p>
    <w:p>
      <w:pPr/>
    </w:p>
    <w:p>
      <w:pPr/>
    </w:p>
    <w:p>
      <w:pPr/>
    </w:p>
    <w:p>
      <w:pPr/>
    </w:p>
    <w:p>
      <w:pPr/>
    </w:p>
    <w:p>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pPr/>
          </w:p>
        </w:tc>
        <w:tc>
          <w:tcPr>
            <w:tcW w:w="2551" w:type="dxa"/>
            <w:vMerge w:val="continue"/>
            <w:vAlign w:val="top"/>
          </w:tcPr>
          <w:p>
            <w:pPr/>
          </w:p>
        </w:tc>
        <w:tc>
          <w:tcPr>
            <w:tcW w:w="2551" w:type="dxa"/>
            <w:vMerge w:val="continue"/>
            <w:vAlign w:val="top"/>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3563.90</w:t>
            </w:r>
          </w:p>
        </w:tc>
        <w:tc>
          <w:tcPr>
            <w:tcW w:w="2551" w:type="dxa"/>
            <w:vAlign w:val="center"/>
          </w:tcPr>
          <w:p>
            <w:pPr>
              <w:pStyle w:val="15"/>
            </w:pPr>
          </w:p>
        </w:tc>
        <w:tc>
          <w:tcPr>
            <w:tcW w:w="2551" w:type="dxa"/>
            <w:vAlign w:val="center"/>
          </w:tcPr>
          <w:p>
            <w:pPr>
              <w:pStyle w:val="15"/>
            </w:pPr>
            <w:r>
              <w:t>3563.90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212</w:t>
            </w:r>
          </w:p>
        </w:tc>
        <w:tc>
          <w:tcPr>
            <w:tcW w:w="4535" w:type="dxa"/>
            <w:vAlign w:val="center"/>
          </w:tcPr>
          <w:p>
            <w:pPr>
              <w:pStyle w:val="12"/>
            </w:pPr>
            <w:r>
              <w:t>城乡社区支出</w:t>
            </w:r>
          </w:p>
        </w:tc>
        <w:tc>
          <w:tcPr>
            <w:tcW w:w="2551" w:type="dxa"/>
            <w:vAlign w:val="center"/>
          </w:tcPr>
          <w:p>
            <w:pPr>
              <w:pStyle w:val="11"/>
            </w:pPr>
            <w:r>
              <w:t>3563.90</w:t>
            </w:r>
          </w:p>
        </w:tc>
        <w:tc>
          <w:tcPr>
            <w:tcW w:w="2551" w:type="dxa"/>
            <w:vAlign w:val="center"/>
          </w:tcPr>
          <w:p>
            <w:pPr>
              <w:pStyle w:val="11"/>
            </w:pPr>
          </w:p>
        </w:tc>
        <w:tc>
          <w:tcPr>
            <w:tcW w:w="2551" w:type="dxa"/>
            <w:vAlign w:val="center"/>
          </w:tcPr>
          <w:p>
            <w:pPr>
              <w:pStyle w:val="11"/>
            </w:pPr>
            <w:r>
              <w:t>3563.90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21210</w:t>
            </w:r>
          </w:p>
        </w:tc>
        <w:tc>
          <w:tcPr>
            <w:tcW w:w="4535" w:type="dxa"/>
            <w:vAlign w:val="center"/>
          </w:tcPr>
          <w:p>
            <w:pPr>
              <w:pStyle w:val="12"/>
            </w:pPr>
            <w:r>
              <w:t>国有土地收益基金安排的支出</w:t>
            </w:r>
          </w:p>
        </w:tc>
        <w:tc>
          <w:tcPr>
            <w:tcW w:w="2551" w:type="dxa"/>
            <w:vAlign w:val="center"/>
          </w:tcPr>
          <w:p>
            <w:pPr>
              <w:pStyle w:val="11"/>
            </w:pPr>
            <w:r>
              <w:t>3563.90</w:t>
            </w:r>
          </w:p>
        </w:tc>
        <w:tc>
          <w:tcPr>
            <w:tcW w:w="2551" w:type="dxa"/>
            <w:vAlign w:val="center"/>
          </w:tcPr>
          <w:p>
            <w:pPr>
              <w:pStyle w:val="11"/>
            </w:pPr>
          </w:p>
        </w:tc>
        <w:tc>
          <w:tcPr>
            <w:tcW w:w="2551" w:type="dxa"/>
            <w:vAlign w:val="center"/>
          </w:tcPr>
          <w:p>
            <w:pPr>
              <w:pStyle w:val="11"/>
            </w:pPr>
            <w:r>
              <w:t>3563.90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2121099</w:t>
            </w:r>
          </w:p>
        </w:tc>
        <w:tc>
          <w:tcPr>
            <w:tcW w:w="4535" w:type="dxa"/>
            <w:vAlign w:val="center"/>
          </w:tcPr>
          <w:p>
            <w:pPr>
              <w:pStyle w:val="12"/>
            </w:pPr>
            <w:r>
              <w:t>其他国有土地收益基金支出</w:t>
            </w:r>
          </w:p>
        </w:tc>
        <w:tc>
          <w:tcPr>
            <w:tcW w:w="2551" w:type="dxa"/>
            <w:vAlign w:val="center"/>
          </w:tcPr>
          <w:p>
            <w:pPr>
              <w:pStyle w:val="11"/>
            </w:pPr>
            <w:r>
              <w:t>3563.90</w:t>
            </w:r>
          </w:p>
        </w:tc>
        <w:tc>
          <w:tcPr>
            <w:tcW w:w="2551" w:type="dxa"/>
            <w:vAlign w:val="center"/>
          </w:tcPr>
          <w:p>
            <w:pPr>
              <w:pStyle w:val="11"/>
            </w:pPr>
          </w:p>
        </w:tc>
        <w:tc>
          <w:tcPr>
            <w:tcW w:w="2551" w:type="dxa"/>
            <w:vAlign w:val="center"/>
          </w:tcPr>
          <w:p>
            <w:pPr>
              <w:pStyle w:val="11"/>
            </w:pPr>
            <w:r>
              <w:t>3563.90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551" w:type="dxa"/>
            <w:tcBorders>
              <w:top w:val="single" w:color="FFFFFF" w:sz="6" w:space="0"/>
              <w:left w:val="single" w:color="FFFFFF" w:sz="6" w:space="0"/>
              <w:right w:val="single" w:color="FFFFFF" w:sz="6" w:space="0"/>
            </w:tcBorders>
            <w:vAlign w:val="center"/>
          </w:tcPr>
          <w:p>
            <w:pPr>
              <w:pStyle w:val="8"/>
            </w:pPr>
            <w:r>
              <w:t>预算年度：2023</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vAlign w:val="top"/>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vAlign w:val="top"/>
          </w:tcPr>
          <w:p>
            <w:pPr/>
          </w:p>
        </w:tc>
        <w:tc>
          <w:tcPr>
            <w:tcW w:w="2551" w:type="dxa"/>
            <w:vMerge w:val="continue"/>
            <w:vAlign w:val="top"/>
          </w:tcPr>
          <w:p>
            <w:pPr/>
          </w:p>
        </w:tc>
        <w:tc>
          <w:tcPr>
            <w:tcW w:w="2551" w:type="dxa"/>
            <w:vMerge w:val="continue"/>
            <w:vAlign w:val="top"/>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2381" w:type="dxa"/>
            <w:tcBorders>
              <w:top w:val="single" w:color="FFFFFF" w:sz="6" w:space="0"/>
              <w:left w:val="single" w:color="FFFFFF" w:sz="6" w:space="0"/>
              <w:right w:val="single" w:color="FFFFFF" w:sz="6" w:space="0"/>
            </w:tcBorders>
            <w:vAlign w:val="center"/>
          </w:tcPr>
          <w:p>
            <w:pPr>
              <w:pStyle w:val="8"/>
            </w:pPr>
            <w:r>
              <w:t>预算年度：2023</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5"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vAlign w:val="top"/>
          </w:tcPr>
          <w:p>
            <w:pPr/>
          </w:p>
        </w:tc>
        <w:tc>
          <w:tcPr>
            <w:tcW w:w="3798" w:type="dxa"/>
            <w:vMerge w:val="continue"/>
            <w:vAlign w:val="top"/>
          </w:tcPr>
          <w:p>
            <w:pPr/>
          </w:p>
        </w:tc>
        <w:tc>
          <w:tcPr>
            <w:tcW w:w="2382"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2"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2" w:type="dxa"/>
            <w:vAlign w:val="center"/>
          </w:tcPr>
          <w:p>
            <w:pPr>
              <w:pStyle w:val="15"/>
            </w:pPr>
            <w:r>
              <w:t>8.10</w:t>
            </w:r>
          </w:p>
        </w:tc>
        <w:tc>
          <w:tcPr>
            <w:tcW w:w="2381" w:type="dxa"/>
            <w:vAlign w:val="center"/>
          </w:tcPr>
          <w:p>
            <w:pPr>
              <w:pStyle w:val="15"/>
            </w:pPr>
            <w:r>
              <w:t>8.10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“三公”经费小计</w:t>
            </w:r>
          </w:p>
        </w:tc>
        <w:tc>
          <w:tcPr>
            <w:tcW w:w="2382"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一、因公出国（境）费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其中：教学科研人员因公出国（境）费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其他因公出国（境）费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二、公务用车购置及运维费</w:t>
            </w:r>
          </w:p>
        </w:tc>
        <w:tc>
          <w:tcPr>
            <w:tcW w:w="2382"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7</w:t>
            </w:r>
          </w:p>
        </w:tc>
        <w:tc>
          <w:tcPr>
            <w:tcW w:w="3798" w:type="dxa"/>
            <w:vAlign w:val="center"/>
          </w:tcPr>
          <w:p>
            <w:pPr>
              <w:pStyle w:val="12"/>
            </w:pPr>
            <w:r>
              <w:t xml:space="preserve">    其中：公务用车购置费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8</w:t>
            </w:r>
          </w:p>
        </w:tc>
        <w:tc>
          <w:tcPr>
            <w:tcW w:w="3798" w:type="dxa"/>
            <w:vAlign w:val="center"/>
          </w:tcPr>
          <w:p>
            <w:pPr>
              <w:pStyle w:val="12"/>
            </w:pPr>
            <w:r>
              <w:t xml:space="preserve">          公务用车运行维护费</w:t>
            </w:r>
          </w:p>
        </w:tc>
        <w:tc>
          <w:tcPr>
            <w:tcW w:w="2382" w:type="dxa"/>
            <w:vAlign w:val="center"/>
          </w:tcPr>
          <w:p>
            <w:pPr>
              <w:pStyle w:val="11"/>
            </w:pPr>
            <w:r>
              <w:t>8.10</w:t>
            </w:r>
          </w:p>
        </w:tc>
        <w:tc>
          <w:tcPr>
            <w:tcW w:w="2381" w:type="dxa"/>
            <w:vAlign w:val="center"/>
          </w:tcPr>
          <w:p>
            <w:pPr>
              <w:pStyle w:val="11"/>
            </w:pPr>
            <w:r>
              <w:t>8.10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9</w:t>
            </w:r>
          </w:p>
        </w:tc>
        <w:tc>
          <w:tcPr>
            <w:tcW w:w="3798" w:type="dxa"/>
            <w:vAlign w:val="center"/>
          </w:tcPr>
          <w:p>
            <w:pPr>
              <w:pStyle w:val="12"/>
            </w:pPr>
            <w:r>
              <w:t>三、公务接待费</w:t>
            </w:r>
          </w:p>
        </w:tc>
        <w:tc>
          <w:tcPr>
            <w:tcW w:w="2382"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cols w:space="720" w:num="1"/>
        </w:sectPr>
      </w:pPr>
    </w:p>
    <w:p>
      <w:pPr>
        <w:jc w:val="center"/>
        <w:outlineLvl w:val="4"/>
      </w:pPr>
      <w:r>
        <w:rPr>
          <w:rFonts w:ascii="方正小标宋_GBK" w:hAnsi="方正小标宋_GBK" w:eastAsia="方正小标宋_GBK" w:cs="方正小标宋_GBK"/>
          <w:color w:val="000000"/>
          <w:sz w:val="44"/>
        </w:rPr>
        <w:t>石家庄市鹿泉区财政局本级2022年单位预算信息公开情况说明</w:t>
      </w:r>
    </w:p>
    <w:p>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预算法》、《地方预决算公开操作规程》和《关于进一步推进预算公开工作的实施意见》规定，现将石家庄市鹿泉区财政局本级2022年单位预算公开如下：</w:t>
      </w:r>
    </w:p>
    <w:p>
      <w:pPr>
        <w:spacing w:before="10" w:after="10"/>
        <w:ind w:firstLine="640"/>
        <w:outlineLvl w:val="5"/>
      </w:pPr>
      <w:r>
        <w:rPr>
          <w:rFonts w:ascii="黑体" w:hAnsi="黑体" w:eastAsia="黑体" w:cs="黑体"/>
          <w:color w:val="000000"/>
          <w:sz w:val="32"/>
        </w:rPr>
        <w:t>一、单位职责及机构设置情况</w:t>
      </w:r>
    </w:p>
    <w:p>
      <w:pPr>
        <w:ind w:firstLine="640"/>
      </w:pPr>
      <w:r>
        <w:rPr>
          <w:rFonts w:ascii="方正楷体_GBK" w:hAnsi="方正楷体_GBK" w:eastAsia="方正楷体_GBK" w:cs="方正楷体_GBK"/>
          <w:b/>
          <w:color w:val="000000"/>
          <w:sz w:val="32"/>
        </w:rPr>
        <w:t>单位职责：</w:t>
      </w:r>
    </w:p>
    <w:p>
      <w:pPr>
        <w:pStyle w:val="25"/>
      </w:pPr>
      <w:r>
        <w:t>贯彻落实党中央和省委、市委、区委关于财政和国有企业监督管理工作的方针政策和决策部署，在履行职责过程中坚持和加强党对财政工作的集中统一领导。主要职责是：</w:t>
      </w:r>
    </w:p>
    <w:p>
      <w:pPr>
        <w:pStyle w:val="25"/>
      </w:pPr>
      <w:r>
        <w:t>（一）贯彻执行财税发展规划、政策和改革方案。分析预测宏观经济形势，参与制定各项宏观经济政策，提出运用财税政策实施宏观调控和综合平衡社会财力的建议;拟订区与乡(镇、区)、政府与企业的分配政策，完善鼓励公益事业发展的财税政策。</w:t>
      </w:r>
    </w:p>
    <w:p>
      <w:pPr>
        <w:pStyle w:val="25"/>
      </w:pPr>
      <w:r>
        <w:t xml:space="preserve">(二)贯彻执行财政、财务、会计管理的法律法规和规章。 </w:t>
      </w:r>
    </w:p>
    <w:p>
      <w:pPr>
        <w:pStyle w:val="25"/>
      </w:pPr>
      <w:r>
        <w:t>（三）负责管理区级及乡级各项财政收支。编制年度区级及乡级预决算草案并组织执行，汇编全区预决算草案。组织制定经费开支标准、定额，审核批复部门(单位)年度预决算。受区政府委托，向区人民代表大会及其常委会报告财政预算、执行和决算等情况。负责政府投资基金区级财政出资的资产管理.负责区级及指导乡级财政预决算公开。</w:t>
      </w:r>
    </w:p>
    <w:p>
      <w:pPr>
        <w:pStyle w:val="25"/>
      </w:pPr>
      <w:r>
        <w:t>(四)贯彻执行税收地方性法规和规章、实施细则和税收政策调整方案。提出上级授权税目税率调整、减免和地方税收政策等重大事项的建议。组织推进税收制度改革。</w:t>
      </w:r>
    </w:p>
    <w:p>
      <w:pPr>
        <w:pStyle w:val="25"/>
      </w:pPr>
      <w:r>
        <w:t>(五)按分工负责政府非税收入管理。负责政府性基金管理，按规定管理行政事业性收费。管理财政票据。贯彻实施彩票管理政策和有关办法，按规定管理彩票资金。</w:t>
      </w:r>
    </w:p>
    <w:p>
      <w:pPr>
        <w:pStyle w:val="25"/>
      </w:pPr>
      <w:r>
        <w:t>(六)研究制定国库管理制度、国库集中收付制度，按规定开展国库资金现金管理工作。组织实施政府财务报告编制工作。制定政府采购制度并监督管。</w:t>
      </w:r>
    </w:p>
    <w:p>
      <w:pPr>
        <w:pStyle w:val="25"/>
      </w:pPr>
      <w:r>
        <w:t>(七)拟订政府债务管理制度和办法并组织实施。负责政府债务限额管理，按规定组织政府债券申报和还本付息等工作。执行国家外债管理政策，管理区政府国外债务。</w:t>
      </w:r>
    </w:p>
    <w:p>
      <w:pPr>
        <w:pStyle w:val="25"/>
      </w:pPr>
      <w:r>
        <w:t>(八)牵头编制国有资产管理情况报告。根据区政府授权，履行区级国有金融资本出资人职责。执行国有金融资本管理规章制度。贯彻执行行政事业单位国有资产管理制度并组织实施，制定全区统一规定的开支标准和支出政策。</w:t>
      </w:r>
    </w:p>
    <w:p>
      <w:pPr>
        <w:pStyle w:val="25"/>
      </w:pPr>
      <w:r>
        <w:t>(九)负责审核并汇总编制全区国有资本经营预决算草案，组织实施国有资本经营预算制度，收取区属企业国有资本收益。组织实施企业财务制度。</w:t>
      </w:r>
    </w:p>
    <w:p>
      <w:pPr>
        <w:pStyle w:val="25"/>
      </w:pPr>
      <w:r>
        <w:t>(十)负责审核并汇总编制全区社会保险基金预决算草案，会同有关部门拟订有关资金(基金)财务管理制度并组织实施。承担社会保险基金财政监管工作。</w:t>
      </w:r>
    </w:p>
    <w:p>
      <w:pPr>
        <w:pStyle w:val="25"/>
      </w:pPr>
      <w:r>
        <w:t>(十ー)负责办理和监督区级财政的经济发展支出、区级政府性投资项目的财政拨款，参与拟订区级建设投资的有关政策，贯彻执行上级制定的基建财务管理制度。负责财政评审管理。</w:t>
      </w:r>
    </w:p>
    <w:p>
      <w:pPr>
        <w:pStyle w:val="25"/>
      </w:pPr>
      <w:r>
        <w:t>(十ニ)负责管理全区会计工作，监督和规范会计行为，组织实施会计制度</w:t>
      </w:r>
    </w:p>
    <w:p>
      <w:pPr>
        <w:pStyle w:val="25"/>
      </w:pPr>
      <w:r>
        <w:t>(十三)根据区政府授权，依照《中华人民共和国企业国有资产法》《中华人民共和国公司法》等法律和行政法规履行国有资产出资人职责，不行使社会公共管理职能，专司国有资产监管，监管履行出资人职责企业的国有资产，加强国有资产的管理工作。</w:t>
      </w:r>
    </w:p>
    <w:p>
      <w:pPr>
        <w:pStyle w:val="25"/>
      </w:pPr>
      <w:r>
        <w:t>(十四)承担监督所监管企业国有资产保值增值的责任;建立和完善国有资产保值增值指标体系、拟订考核标准，通过统计、稽核对所监管企业国有资产的保值增值情况进行监管;优化考核分配，完善激励约東机制，健全监管企业收入分配管理和调控体系，负责所监管企业工资分配管理工作，制定所监管企业负责人收入分配政策并组织实施。</w:t>
      </w:r>
    </w:p>
    <w:p>
      <w:pPr>
        <w:pStyle w:val="25"/>
      </w:pPr>
      <w:r>
        <w:t>(十五)建立健全国有资本运作制度，制定国有资本运作规划;推动国有资本规范运作，组建区财政局履行出资人职责的国有资本投资、运营公司并指导其开展国有资本运营;根据调整和优化国有资本布局结构的要求，指导所监管企业对所从事的金融业务加强管理;组织指导有关投资基金的设立和运作;归口管理财政局履行多元投资主体企业股东职责有关工作。</w:t>
      </w:r>
    </w:p>
    <w:p>
      <w:pPr>
        <w:pStyle w:val="25"/>
      </w:pPr>
      <w:r>
        <w:t>(十六)指导推进国有企业改革和重组，推进国有企业的现代企业制度建设，完善公司治理结构:推动国有经济布局和结构的战略性调整，制定所监管企业整体规划，审核所监管企业发展战略和规划;改进投资监管方式，强化主业管理:指导所监管企业防范风险，开展违规投资追责。</w:t>
      </w:r>
    </w:p>
    <w:p>
      <w:pPr>
        <w:pStyle w:val="25"/>
      </w:pPr>
      <w:r>
        <w:t>(十七)通过法定程序对监管企业负责人进行任免、考核，并根据经营业绩及考核结果对其进行奖惩。</w:t>
      </w:r>
    </w:p>
    <w:p>
      <w:pPr>
        <w:pStyle w:val="25"/>
      </w:pPr>
      <w:r>
        <w:t>(十八)负责组织所监管企业上交国有资本收益，参与制定国有资本经营预算有关管理制度和办法，按照有关规定负责国有资本经营预决算编制和执行等工作。</w:t>
      </w:r>
    </w:p>
    <w:p>
      <w:pPr>
        <w:pStyle w:val="25"/>
      </w:pPr>
      <w:r>
        <w:t>(十九)负责有关监督成果的利用工作，分类处置、督办和深入核查监督检查发现移交的问题，对共性问题组织开展专项核查，组织开展国有资产重大损失调查，提出有关责任追究的意见建议。</w:t>
      </w:r>
    </w:p>
    <w:p>
      <w:pPr>
        <w:pStyle w:val="25"/>
      </w:pPr>
      <w:r>
        <w:t>(二十)按照出资人职责，配合相关部门督促监管企业贯彻落实国家安全生产、环境保护方针政策及有关法律法规、标准等工作。</w:t>
      </w:r>
    </w:p>
    <w:p>
      <w:pPr>
        <w:pStyle w:val="25"/>
      </w:pPr>
      <w:r>
        <w:t>(二十ー)负责监管企业国有资产基础管理，贯彻落实国家、省、市有关国有资产管理的法律法规和政府规章，制定有关制度和办法。</w:t>
      </w:r>
    </w:p>
    <w:p>
      <w:pPr>
        <w:pStyle w:val="25"/>
      </w:pPr>
      <w:r>
        <w:t>(二十ニ)建立健全党建工作责任制，完善企业党建工作考核评价体系，开展所监管企业党建工作考核;指导所监管企业开展党的建设工作。</w:t>
      </w:r>
    </w:p>
    <w:p>
      <w:pPr>
        <w:pStyle w:val="25"/>
      </w:pPr>
      <w:r>
        <w:t>(二十三)指导所监管企业和局属事业单位对巡视巡察、专项检查、审计中发现问题的整改;指导所监管企业开展内部巡察工作。</w:t>
      </w:r>
    </w:p>
    <w:p>
      <w:pPr>
        <w:pStyle w:val="25"/>
      </w:pPr>
      <w:r>
        <w:t>(二十四)完成区委、区政府交办的其他任务。</w:t>
      </w:r>
    </w:p>
    <w:p>
      <w:pPr>
        <w:pStyle w:val="25"/>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石家庄市鹿泉区财政局本级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pStyle w:val="26"/>
      </w:pPr>
      <w:r>
        <w:t>按照预算管理有关规定，目前我</w:t>
      </w:r>
      <w:r>
        <w:rPr>
          <w:rFonts w:hint="eastAsia"/>
          <w:lang w:eastAsia="zh-CN"/>
        </w:rPr>
        <w:t>区</w:t>
      </w:r>
      <w:r>
        <w:t>单位预算的编制实行综合预算管理，即全部收入和支出都反映在预算中。石家庄市鹿泉区财政局本级的收支包含在单位预算中。</w:t>
      </w:r>
    </w:p>
    <w:p>
      <w:pPr>
        <w:pStyle w:val="26"/>
      </w:pPr>
      <w:r>
        <w:t>1、收入说明</w:t>
      </w:r>
    </w:p>
    <w:p>
      <w:pPr>
        <w:pStyle w:val="26"/>
      </w:pPr>
      <w:r>
        <w:t>反映本单位当年全部收入。石家庄市鹿泉区财政局本级2022年预算收入总计1913.59万元。其中，一般公共预算收入1913.59万元，基金预算收入 0 万元。</w:t>
      </w:r>
    </w:p>
    <w:p>
      <w:pPr>
        <w:pStyle w:val="26"/>
      </w:pPr>
      <w:r>
        <w:t>2、支出说明</w:t>
      </w:r>
    </w:p>
    <w:p>
      <w:pPr>
        <w:pStyle w:val="18"/>
      </w:pPr>
      <w:r>
        <w:t xml:space="preserve">收支预算总表支出栏、基本支出表、项目支出表按经济分类和支出功能分类科目编制，反映石家庄市鹿泉区财政局本级年度预算中支出预算的总体情况。2022预算支出1923.57万元 ，其中基本支出1399.75万元，包括人员经费1177.56万元和日常公用经费222.19万元；项目支出 523.82万元 </w:t>
      </w:r>
      <w:r>
        <w:rPr>
          <w:rFonts w:hint="eastAsia"/>
          <w:lang w:eastAsia="zh-CN"/>
        </w:rPr>
        <w:t>，主要为政府购买投资评审服务项目</w:t>
      </w:r>
      <w:r>
        <w:rPr>
          <w:rFonts w:hint="eastAsia"/>
          <w:lang w:val="en-US" w:eastAsia="zh-CN"/>
        </w:rPr>
        <w:t>200万元，税收专项检查服务50万元，信息化建设50万元，财政改革业务费40万元等。</w:t>
      </w:r>
    </w:p>
    <w:p>
      <w:pPr>
        <w:pStyle w:val="26"/>
      </w:pPr>
    </w:p>
    <w:p>
      <w:pPr>
        <w:pStyle w:val="26"/>
      </w:pPr>
      <w:r>
        <w:t>3、比上年增减情况</w:t>
      </w:r>
    </w:p>
    <w:p>
      <w:pPr>
        <w:pStyle w:val="26"/>
      </w:pPr>
      <w:r>
        <w:t>2022年本级预算收支安排1923.57万元，较2021年减少1201.38万元，其中：基本支出减少7.4万元，主要是人员减少，相应减少人员经费和日常公用经费；项目支出减少193.98万元，主要是政府购买投资评审服务项目预算安排减少，信息化建设预算安排减少等。</w:t>
      </w:r>
    </w:p>
    <w:p>
      <w:pPr>
        <w:spacing w:before="10" w:after="10"/>
        <w:ind w:firstLine="640"/>
        <w:outlineLvl w:val="5"/>
      </w:pPr>
      <w:r>
        <w:rPr>
          <w:rFonts w:ascii="黑体" w:hAnsi="黑体" w:eastAsia="黑体" w:cs="黑体"/>
          <w:color w:val="000000"/>
          <w:sz w:val="32"/>
        </w:rPr>
        <w:t>三、机关运行经费安排情况</w:t>
      </w:r>
    </w:p>
    <w:p>
      <w:pPr>
        <w:pStyle w:val="27"/>
      </w:pPr>
      <w:r>
        <w:t>石家庄市鹿泉区财政局本级2022年机关运行经费222.19万元，其中日常公用经费216.21万元，公务用车运行费 8.1万元，取暖费18.53万元。主要用于保证机关正常运转的办公及印刷费、邮电费、差旅费、会议费、福利费、专用材料及一般设备购置费、办公用房水电费、办公用房取暖费、日常维修费、办公楼物业管理费、公务车运行维护费等支出。</w:t>
      </w:r>
    </w:p>
    <w:p>
      <w:pPr>
        <w:spacing w:before="10" w:after="10"/>
        <w:ind w:firstLine="640"/>
        <w:outlineLvl w:val="5"/>
      </w:pPr>
      <w:r>
        <w:rPr>
          <w:rFonts w:ascii="黑体" w:hAnsi="黑体" w:eastAsia="黑体" w:cs="黑体"/>
          <w:color w:val="000000"/>
          <w:sz w:val="32"/>
        </w:rPr>
        <w:t>四、财政拨款“三公”经费预算情况及增减变化原因</w:t>
      </w:r>
    </w:p>
    <w:p>
      <w:pPr>
        <w:pStyle w:val="28"/>
      </w:pPr>
      <w:r>
        <w:t>2022年本级安排“三公”经费预算安排10.1万元，其中：因公出国（境）费0万元；公务用车购置及运维费8.1万元（其中：公务用车购置费0万元，公务用车运行维护费8.1万元)；公务接待费2万元。“三公”经费与上年持平，无增减变化。</w:t>
      </w:r>
    </w:p>
    <w:p>
      <w:pPr>
        <w:numPr>
          <w:ilvl w:val="0"/>
          <w:numId w:val="1"/>
        </w:numPr>
        <w:spacing w:before="10" w:after="10"/>
        <w:ind w:firstLine="640"/>
        <w:outlineLvl w:val="5"/>
        <w:rPr>
          <w:rFonts w:ascii="黑体" w:hAnsi="黑体" w:eastAsia="黑体" w:cs="黑体"/>
          <w:color w:val="000000"/>
          <w:sz w:val="32"/>
        </w:rPr>
      </w:pPr>
      <w:r>
        <w:rPr>
          <w:rFonts w:ascii="黑体" w:hAnsi="黑体" w:eastAsia="黑体" w:cs="黑体"/>
          <w:color w:val="000000"/>
          <w:sz w:val="32"/>
        </w:rPr>
        <w:t>预算绩效信息</w:t>
      </w:r>
    </w:p>
    <w:p>
      <w:pPr>
        <w:numPr>
          <w:ilvl w:val="0"/>
          <w:numId w:val="0"/>
        </w:numPr>
        <w:spacing w:before="10" w:after="10"/>
        <w:outlineLvl w:val="5"/>
        <w:rPr>
          <w:rFonts w:ascii="黑体" w:hAnsi="黑体" w:eastAsia="黑体" w:cs="黑体"/>
          <w:color w:val="000000"/>
          <w:sz w:val="32"/>
        </w:rPr>
      </w:pPr>
    </w:p>
    <w:p>
      <w:pPr>
        <w:ind w:firstLine="560"/>
      </w:pPr>
      <w:r>
        <w:rPr>
          <w:rFonts w:ascii="方正仿宋_GBK" w:hAnsi="方正仿宋_GBK" w:eastAsia="方正仿宋_GBK" w:cs="方正仿宋_GBK"/>
          <w:b/>
          <w:color w:val="000000"/>
          <w:sz w:val="28"/>
        </w:rPr>
        <w:t>1、2022年财政改革业务费绩效目标表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1.顺利推行改革业务，保证完成各级下达的指标任务。</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改革业务的数量</w:t>
            </w:r>
          </w:p>
        </w:tc>
        <w:tc>
          <w:tcPr>
            <w:tcW w:w="2835" w:type="dxa"/>
            <w:vAlign w:val="center"/>
          </w:tcPr>
          <w:p>
            <w:pPr>
              <w:pStyle w:val="12"/>
            </w:pPr>
            <w:r>
              <w:t>财政部门通知的改革业务的数量</w:t>
            </w:r>
          </w:p>
        </w:tc>
        <w:tc>
          <w:tcPr>
            <w:tcW w:w="2551" w:type="dxa"/>
            <w:vAlign w:val="center"/>
          </w:tcPr>
          <w:p>
            <w:pPr>
              <w:pStyle w:val="12"/>
            </w:pPr>
            <w:r>
              <w:t>≥3项</w:t>
            </w:r>
          </w:p>
        </w:tc>
        <w:tc>
          <w:tcPr>
            <w:tcW w:w="2268"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业务改革达标情况</w:t>
            </w:r>
          </w:p>
        </w:tc>
        <w:tc>
          <w:tcPr>
            <w:tcW w:w="2835" w:type="dxa"/>
            <w:vAlign w:val="center"/>
          </w:tcPr>
          <w:p>
            <w:pPr>
              <w:pStyle w:val="12"/>
            </w:pPr>
            <w:r>
              <w:t>完成目标任务达到改革目标</w:t>
            </w:r>
          </w:p>
        </w:tc>
        <w:tc>
          <w:tcPr>
            <w:tcW w:w="2551" w:type="dxa"/>
            <w:vAlign w:val="center"/>
          </w:tcPr>
          <w:p>
            <w:pPr>
              <w:pStyle w:val="12"/>
            </w:pPr>
            <w:r>
              <w:t>达到改革要求</w:t>
            </w:r>
          </w:p>
        </w:tc>
        <w:tc>
          <w:tcPr>
            <w:tcW w:w="2268" w:type="dxa"/>
            <w:vAlign w:val="center"/>
          </w:tcPr>
          <w:p>
            <w:pPr>
              <w:pStyle w:val="12"/>
            </w:pPr>
            <w:r>
              <w:t>工作总结</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各项改革业务完成及时率</w:t>
            </w:r>
          </w:p>
        </w:tc>
        <w:tc>
          <w:tcPr>
            <w:tcW w:w="2835" w:type="dxa"/>
            <w:vAlign w:val="center"/>
          </w:tcPr>
          <w:p>
            <w:pPr>
              <w:pStyle w:val="12"/>
            </w:pPr>
            <w:r>
              <w:t>各项业务改革及时完成的比例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业务改革成本</w:t>
            </w:r>
          </w:p>
        </w:tc>
        <w:tc>
          <w:tcPr>
            <w:tcW w:w="2835" w:type="dxa"/>
            <w:vAlign w:val="center"/>
          </w:tcPr>
          <w:p>
            <w:pPr>
              <w:pStyle w:val="12"/>
            </w:pPr>
            <w:r>
              <w:t>完成目标工作需要的总成本</w:t>
            </w:r>
          </w:p>
        </w:tc>
        <w:tc>
          <w:tcPr>
            <w:tcW w:w="2551" w:type="dxa"/>
            <w:vAlign w:val="center"/>
          </w:tcPr>
          <w:p>
            <w:pPr>
              <w:pStyle w:val="12"/>
            </w:pPr>
            <w:r>
              <w:t>≤40万元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改革成果落实率</w:t>
            </w:r>
          </w:p>
        </w:tc>
        <w:tc>
          <w:tcPr>
            <w:tcW w:w="2835" w:type="dxa"/>
            <w:vAlign w:val="center"/>
          </w:tcPr>
          <w:p>
            <w:pPr>
              <w:pStyle w:val="12"/>
            </w:pPr>
            <w:r>
              <w:t>改革成果落实程度</w:t>
            </w:r>
          </w:p>
        </w:tc>
        <w:tc>
          <w:tcPr>
            <w:tcW w:w="2551" w:type="dxa"/>
            <w:vAlign w:val="center"/>
          </w:tcPr>
          <w:p>
            <w:pPr>
              <w:pStyle w:val="12"/>
            </w:pPr>
            <w:r>
              <w:t>100%</w:t>
            </w:r>
          </w:p>
        </w:tc>
        <w:tc>
          <w:tcPr>
            <w:tcW w:w="2268" w:type="dxa"/>
            <w:vAlign w:val="center"/>
          </w:tcPr>
          <w:p>
            <w:pPr>
              <w:pStyle w:val="12"/>
            </w:pPr>
            <w:r>
              <w:t>年初计划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使用人员满意情况</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2、2022年财政专网运行维护费绩效目标表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1.确保网络传输正常，实时监控网络运转，不断优化系统架构，提高工作效率。</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2835" w:type="dxa"/>
            <w:vAlign w:val="center"/>
          </w:tcPr>
          <w:p>
            <w:pPr>
              <w:pStyle w:val="12"/>
            </w:pPr>
            <w:r>
              <w:t>财政专网在单位的覆盖比例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财政专网正常使用的比例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网络运行维护时间及时率</w:t>
            </w:r>
          </w:p>
        </w:tc>
        <w:tc>
          <w:tcPr>
            <w:tcW w:w="2835" w:type="dxa"/>
            <w:vAlign w:val="center"/>
          </w:tcPr>
          <w:p>
            <w:pPr>
              <w:pStyle w:val="12"/>
            </w:pPr>
            <w:r>
              <w:t>财政专网运行维护需要的时间</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网络运行维护资金完成率</w:t>
            </w:r>
          </w:p>
        </w:tc>
        <w:tc>
          <w:tcPr>
            <w:tcW w:w="2835" w:type="dxa"/>
            <w:vAlign w:val="center"/>
          </w:tcPr>
          <w:p>
            <w:pPr>
              <w:pStyle w:val="12"/>
            </w:pPr>
            <w:r>
              <w:t>财政专网运行维护费用使用的比例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办公软件的使用比例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提高工作效率</w:t>
            </w:r>
          </w:p>
        </w:tc>
        <w:tc>
          <w:tcPr>
            <w:tcW w:w="2835" w:type="dxa"/>
            <w:vAlign w:val="center"/>
          </w:tcPr>
          <w:p>
            <w:pPr>
              <w:pStyle w:val="12"/>
            </w:pPr>
            <w:r>
              <w:t>财政专网的安全使用，提高工作效率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单位人员对使用网络的满意度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3、2022年会计人员培训费绩效目标表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1.组织开展会计人员培训活动，提高培训人员专业技能，加强人才队伍建设。</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培训次数</w:t>
            </w:r>
          </w:p>
        </w:tc>
        <w:tc>
          <w:tcPr>
            <w:tcW w:w="2835" w:type="dxa"/>
            <w:vAlign w:val="center"/>
          </w:tcPr>
          <w:p>
            <w:pPr>
              <w:pStyle w:val="12"/>
            </w:pPr>
            <w:r>
              <w:t>组织培训的次数</w:t>
            </w:r>
          </w:p>
        </w:tc>
        <w:tc>
          <w:tcPr>
            <w:tcW w:w="2551" w:type="dxa"/>
            <w:vAlign w:val="center"/>
          </w:tcPr>
          <w:p>
            <w:pPr>
              <w:pStyle w:val="12"/>
            </w:pPr>
            <w:r>
              <w:t>2次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培训合格率</w:t>
            </w:r>
          </w:p>
        </w:tc>
        <w:tc>
          <w:tcPr>
            <w:tcW w:w="2835" w:type="dxa"/>
            <w:vAlign w:val="center"/>
          </w:tcPr>
          <w:p>
            <w:pPr>
              <w:pStyle w:val="12"/>
            </w:pPr>
            <w:r>
              <w:t>培训合格的人员数量占培训总人员数量的比例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培训计划按期完成率（%）</w:t>
            </w:r>
          </w:p>
        </w:tc>
        <w:tc>
          <w:tcPr>
            <w:tcW w:w="2835" w:type="dxa"/>
            <w:vAlign w:val="center"/>
          </w:tcPr>
          <w:p>
            <w:pPr>
              <w:pStyle w:val="12"/>
            </w:pPr>
            <w:r>
              <w:t>培训按期完成的比例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培训成本</w:t>
            </w:r>
          </w:p>
        </w:tc>
        <w:tc>
          <w:tcPr>
            <w:tcW w:w="2835" w:type="dxa"/>
            <w:vAlign w:val="center"/>
          </w:tcPr>
          <w:p>
            <w:pPr>
              <w:pStyle w:val="12"/>
            </w:pPr>
            <w:r>
              <w:t>组织培训的花费</w:t>
            </w:r>
          </w:p>
        </w:tc>
        <w:tc>
          <w:tcPr>
            <w:tcW w:w="2551" w:type="dxa"/>
            <w:vAlign w:val="center"/>
          </w:tcPr>
          <w:p>
            <w:pPr>
              <w:pStyle w:val="12"/>
            </w:pPr>
            <w:r>
              <w:t>≤6万元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培训人员业务提升情况</w:t>
            </w:r>
          </w:p>
        </w:tc>
        <w:tc>
          <w:tcPr>
            <w:tcW w:w="2835" w:type="dxa"/>
            <w:vAlign w:val="center"/>
          </w:tcPr>
          <w:p>
            <w:pPr>
              <w:pStyle w:val="12"/>
            </w:pPr>
            <w:r>
              <w:t>培训内容对培训人员实际工作上的提升效果</w:t>
            </w:r>
          </w:p>
        </w:tc>
        <w:tc>
          <w:tcPr>
            <w:tcW w:w="2551" w:type="dxa"/>
            <w:vAlign w:val="center"/>
          </w:tcPr>
          <w:p>
            <w:pPr>
              <w:pStyle w:val="12"/>
            </w:pPr>
            <w:r>
              <w:t>有效提升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培训人员满意度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4、2022年机关服务专项经费绩效目标表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1.主要用于保安、保洁、门卫、维修、后勤服务等支出，保障办公楼正常运转。</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后勤保障工作完成率</w:t>
            </w:r>
          </w:p>
        </w:tc>
        <w:tc>
          <w:tcPr>
            <w:tcW w:w="2835" w:type="dxa"/>
            <w:vAlign w:val="center"/>
          </w:tcPr>
          <w:p>
            <w:pPr>
              <w:pStyle w:val="12"/>
            </w:pPr>
            <w:r>
              <w:t>后勤保障工作完成率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后勤服务保障率</w:t>
            </w:r>
          </w:p>
        </w:tc>
        <w:tc>
          <w:tcPr>
            <w:tcW w:w="2835" w:type="dxa"/>
            <w:vAlign w:val="center"/>
          </w:tcPr>
          <w:p>
            <w:pPr>
              <w:pStyle w:val="12"/>
            </w:pPr>
            <w:r>
              <w:t>后勤服务保障率</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服务及时率</w:t>
            </w:r>
          </w:p>
        </w:tc>
        <w:tc>
          <w:tcPr>
            <w:tcW w:w="2835" w:type="dxa"/>
            <w:vAlign w:val="center"/>
          </w:tcPr>
          <w:p>
            <w:pPr>
              <w:pStyle w:val="12"/>
            </w:pPr>
            <w:r>
              <w:t>按时服务的比例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服务成本</w:t>
            </w:r>
          </w:p>
        </w:tc>
        <w:tc>
          <w:tcPr>
            <w:tcW w:w="2835" w:type="dxa"/>
            <w:vAlign w:val="center"/>
          </w:tcPr>
          <w:p>
            <w:pPr>
              <w:pStyle w:val="12"/>
            </w:pPr>
            <w:r>
              <w:t>服务支出费用</w:t>
            </w:r>
          </w:p>
        </w:tc>
        <w:tc>
          <w:tcPr>
            <w:tcW w:w="2551" w:type="dxa"/>
            <w:vAlign w:val="center"/>
          </w:tcPr>
          <w:p>
            <w:pPr>
              <w:pStyle w:val="12"/>
            </w:pPr>
            <w:r>
              <w:t>≤25万元</w:t>
            </w:r>
          </w:p>
        </w:tc>
        <w:tc>
          <w:tcPr>
            <w:tcW w:w="2268" w:type="dxa"/>
            <w:vAlign w:val="center"/>
          </w:tcPr>
          <w:p>
            <w:pPr>
              <w:pStyle w:val="12"/>
            </w:pPr>
            <w:r>
              <w:t>合同约定标准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增强服务保障能力</w:t>
            </w:r>
          </w:p>
        </w:tc>
        <w:tc>
          <w:tcPr>
            <w:tcW w:w="2835" w:type="dxa"/>
            <w:vAlign w:val="center"/>
          </w:tcPr>
          <w:p>
            <w:pPr>
              <w:pStyle w:val="12"/>
            </w:pPr>
            <w:r>
              <w:t>增强服务保障能力</w:t>
            </w:r>
          </w:p>
        </w:tc>
        <w:tc>
          <w:tcPr>
            <w:tcW w:w="2551" w:type="dxa"/>
            <w:vAlign w:val="center"/>
          </w:tcPr>
          <w:p>
            <w:pPr>
              <w:pStyle w:val="12"/>
            </w:pPr>
            <w:r>
              <w:t>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办公人员满意度</w:t>
            </w:r>
          </w:p>
        </w:tc>
        <w:tc>
          <w:tcPr>
            <w:tcW w:w="2835" w:type="dxa"/>
            <w:vAlign w:val="center"/>
          </w:tcPr>
          <w:p>
            <w:pPr>
              <w:pStyle w:val="12"/>
            </w:pPr>
            <w:r>
              <w:t>办公人员对服务的满意程度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5、2022年涉农项目财政管理及农村综合改革业务费绩效目标表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1.主要用于耕地地力保护补贴印刷明白纸、通告，办公用品及微机耗材等，其他涉农项目及农村综合改革下乡租车费，办公设备购置，软件升级及维护费等，水源保护区补贴资金审计费等支出。</w:t>
            </w:r>
          </w:p>
          <w:p>
            <w:pPr>
              <w:pStyle w:val="12"/>
            </w:pPr>
            <w:r>
              <w:t>2.及时支付一事一议软件服务费</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制作宣传品数量</w:t>
            </w:r>
          </w:p>
        </w:tc>
        <w:tc>
          <w:tcPr>
            <w:tcW w:w="2835" w:type="dxa"/>
            <w:vAlign w:val="center"/>
          </w:tcPr>
          <w:p>
            <w:pPr>
              <w:pStyle w:val="12"/>
            </w:pPr>
            <w:r>
              <w:t>制作宣传品数量</w:t>
            </w:r>
          </w:p>
        </w:tc>
        <w:tc>
          <w:tcPr>
            <w:tcW w:w="2551" w:type="dxa"/>
            <w:vAlign w:val="center"/>
          </w:tcPr>
          <w:p>
            <w:pPr>
              <w:pStyle w:val="12"/>
            </w:pPr>
            <w:r>
              <w:t>100000份</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宣传资料发放率</w:t>
            </w:r>
          </w:p>
        </w:tc>
        <w:tc>
          <w:tcPr>
            <w:tcW w:w="2835" w:type="dxa"/>
            <w:vAlign w:val="center"/>
          </w:tcPr>
          <w:p>
            <w:pPr>
              <w:pStyle w:val="12"/>
            </w:pPr>
            <w:r>
              <w:t>发放耕地地力保护补贴完成率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租车费支付及时率</w:t>
            </w:r>
          </w:p>
        </w:tc>
        <w:tc>
          <w:tcPr>
            <w:tcW w:w="2835" w:type="dxa"/>
            <w:vAlign w:val="center"/>
          </w:tcPr>
          <w:p>
            <w:pPr>
              <w:pStyle w:val="12"/>
            </w:pPr>
            <w:r>
              <w:t>及时支付租车费</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软件服务费支付率</w:t>
            </w:r>
          </w:p>
        </w:tc>
        <w:tc>
          <w:tcPr>
            <w:tcW w:w="2835" w:type="dxa"/>
            <w:vAlign w:val="center"/>
          </w:tcPr>
          <w:p>
            <w:pPr>
              <w:pStyle w:val="12"/>
            </w:pPr>
            <w:r>
              <w:t>支付一事一议软件服务费的支付率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宣传资料知晓率</w:t>
            </w:r>
          </w:p>
        </w:tc>
        <w:tc>
          <w:tcPr>
            <w:tcW w:w="2835" w:type="dxa"/>
            <w:vAlign w:val="center"/>
          </w:tcPr>
          <w:p>
            <w:pPr>
              <w:pStyle w:val="12"/>
            </w:pPr>
            <w:r>
              <w:t>收益对象对补贴政策的知晓率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补贴受益对象</w:t>
            </w:r>
          </w:p>
        </w:tc>
        <w:tc>
          <w:tcPr>
            <w:tcW w:w="2835" w:type="dxa"/>
            <w:vAlign w:val="center"/>
          </w:tcPr>
          <w:p>
            <w:pPr>
              <w:pStyle w:val="12"/>
            </w:pPr>
            <w:r>
              <w:t>补贴受益对象</w:t>
            </w:r>
          </w:p>
        </w:tc>
        <w:tc>
          <w:tcPr>
            <w:tcW w:w="2551" w:type="dxa"/>
            <w:vAlign w:val="center"/>
          </w:tcPr>
          <w:p>
            <w:pPr>
              <w:pStyle w:val="12"/>
            </w:pPr>
            <w:r>
              <w:t>增加</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调查中满意和比较满意的人数占调查人数的比例</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6、]2022年网络运行维护、服务费绩效目标表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1.确保网络传输正常，实时监控内部网络运转，不断优化系统架构，提高部署效率。</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网络使用覆盖率</w:t>
            </w:r>
          </w:p>
        </w:tc>
        <w:tc>
          <w:tcPr>
            <w:tcW w:w="2835" w:type="dxa"/>
            <w:vAlign w:val="center"/>
          </w:tcPr>
          <w:p>
            <w:pPr>
              <w:pStyle w:val="12"/>
            </w:pPr>
            <w:r>
              <w:t>网络在单位的覆盖比例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正常使用率</w:t>
            </w:r>
          </w:p>
        </w:tc>
        <w:tc>
          <w:tcPr>
            <w:tcW w:w="2835" w:type="dxa"/>
            <w:vAlign w:val="center"/>
          </w:tcPr>
          <w:p>
            <w:pPr>
              <w:pStyle w:val="12"/>
            </w:pPr>
            <w:r>
              <w:t>网络正常使用比例</w:t>
            </w:r>
          </w:p>
        </w:tc>
        <w:tc>
          <w:tcPr>
            <w:tcW w:w="2551" w:type="dxa"/>
            <w:vAlign w:val="center"/>
          </w:tcPr>
          <w:p>
            <w:pPr>
              <w:pStyle w:val="12"/>
            </w:pPr>
            <w:r>
              <w:t>≥95%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网络运行维护及时率</w:t>
            </w:r>
          </w:p>
        </w:tc>
        <w:tc>
          <w:tcPr>
            <w:tcW w:w="2835" w:type="dxa"/>
            <w:vAlign w:val="center"/>
          </w:tcPr>
          <w:p>
            <w:pPr>
              <w:pStyle w:val="12"/>
            </w:pPr>
            <w:r>
              <w:t>网络运行维护需要的时间</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网络运行维护资金完成率</w:t>
            </w:r>
          </w:p>
        </w:tc>
        <w:tc>
          <w:tcPr>
            <w:tcW w:w="2835" w:type="dxa"/>
            <w:vAlign w:val="center"/>
          </w:tcPr>
          <w:p>
            <w:pPr>
              <w:pStyle w:val="12"/>
            </w:pPr>
            <w:r>
              <w:t>网络运行维护费用使用的比例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设备使用率</w:t>
            </w:r>
          </w:p>
        </w:tc>
        <w:tc>
          <w:tcPr>
            <w:tcW w:w="2835" w:type="dxa"/>
            <w:vAlign w:val="center"/>
          </w:tcPr>
          <w:p>
            <w:pPr>
              <w:pStyle w:val="12"/>
            </w:pPr>
            <w:r>
              <w:t>办公软件使用比例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单位人员对网络使用的满意度</w:t>
            </w:r>
          </w:p>
        </w:tc>
        <w:tc>
          <w:tcPr>
            <w:tcW w:w="2551" w:type="dxa"/>
            <w:vAlign w:val="center"/>
          </w:tcPr>
          <w:p>
            <w:pPr>
              <w:pStyle w:val="12"/>
            </w:pPr>
            <w:r>
              <w:t>≥95%</w:t>
            </w:r>
          </w:p>
        </w:tc>
        <w:tc>
          <w:tcPr>
            <w:tcW w:w="2268" w:type="dxa"/>
            <w:vAlign w:val="center"/>
          </w:tcPr>
          <w:p>
            <w:pPr>
              <w:pStyle w:val="12"/>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7、2021年市级农村综合改革转移支付资金绩效目标表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1.完成农村综改工作，顺利开展一事一议工作，做好政策宣传等。</w:t>
            </w:r>
            <w:r>
              <w:tab/>
            </w:r>
          </w:p>
          <w:p>
            <w:pPr>
              <w:pStyle w:val="12"/>
            </w:pPr>
          </w:p>
          <w:p>
            <w:pPr>
              <w:pStyle w:val="12"/>
            </w:pP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完成农村综合改革工作的数量</w:t>
            </w:r>
          </w:p>
        </w:tc>
        <w:tc>
          <w:tcPr>
            <w:tcW w:w="2835" w:type="dxa"/>
            <w:vAlign w:val="center"/>
          </w:tcPr>
          <w:p>
            <w:pPr>
              <w:pStyle w:val="12"/>
            </w:pPr>
            <w:r>
              <w:t>完成农村综合改革工作的数量</w:t>
            </w:r>
          </w:p>
        </w:tc>
        <w:tc>
          <w:tcPr>
            <w:tcW w:w="2551" w:type="dxa"/>
            <w:vAlign w:val="center"/>
          </w:tcPr>
          <w:p>
            <w:pPr>
              <w:pStyle w:val="12"/>
            </w:pPr>
            <w:r>
              <w:t>≥36个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农村综改工作按时完成率</w:t>
            </w:r>
          </w:p>
        </w:tc>
        <w:tc>
          <w:tcPr>
            <w:tcW w:w="2835" w:type="dxa"/>
            <w:vAlign w:val="center"/>
          </w:tcPr>
          <w:p>
            <w:pPr>
              <w:pStyle w:val="12"/>
            </w:pPr>
            <w:r>
              <w:t>实际按时完成农村综改工作占农村综合改革工作总任务的比例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≤20000元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p>
            <w:pPr>
              <w:pStyle w:val="12"/>
            </w:pPr>
          </w:p>
        </w:tc>
        <w:tc>
          <w:tcPr>
            <w:tcW w:w="2835" w:type="dxa"/>
            <w:vAlign w:val="center"/>
          </w:tcPr>
          <w:p>
            <w:pPr>
              <w:pStyle w:val="12"/>
            </w:pPr>
            <w:r>
              <w:t>调查中满意和比较满意的人数占调查人数的比例</w:t>
            </w:r>
          </w:p>
          <w:p>
            <w:pPr>
              <w:pStyle w:val="12"/>
            </w:pP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8、财政工资代发系统“一网通办”建设费绩效目标表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1.维护一网通软硬件设备，保障财政工资系统“一网通办”软件硬件正常运转，为业务开展提供支撑，提高工作效率</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维护次数</w:t>
            </w:r>
          </w:p>
        </w:tc>
        <w:tc>
          <w:tcPr>
            <w:tcW w:w="2835" w:type="dxa"/>
            <w:vAlign w:val="center"/>
          </w:tcPr>
          <w:p>
            <w:pPr>
              <w:pStyle w:val="12"/>
            </w:pPr>
            <w:r>
              <w:t>软件维护次数</w:t>
            </w:r>
          </w:p>
        </w:tc>
        <w:tc>
          <w:tcPr>
            <w:tcW w:w="2551" w:type="dxa"/>
            <w:vAlign w:val="center"/>
          </w:tcPr>
          <w:p>
            <w:pPr>
              <w:pStyle w:val="12"/>
            </w:pPr>
            <w:r>
              <w:t>≤10次</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系统故障率</w:t>
            </w:r>
          </w:p>
        </w:tc>
        <w:tc>
          <w:tcPr>
            <w:tcW w:w="2835" w:type="dxa"/>
            <w:vAlign w:val="center"/>
          </w:tcPr>
          <w:p>
            <w:pPr>
              <w:pStyle w:val="12"/>
            </w:pPr>
            <w:r>
              <w:t>系统出故障时间占总运行时间的比例</w:t>
            </w:r>
          </w:p>
        </w:tc>
        <w:tc>
          <w:tcPr>
            <w:tcW w:w="2551" w:type="dxa"/>
            <w:vAlign w:val="center"/>
          </w:tcPr>
          <w:p>
            <w:pPr>
              <w:pStyle w:val="12"/>
            </w:pPr>
            <w:r>
              <w:t>≤10%</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故障维护及时率</w:t>
            </w:r>
          </w:p>
        </w:tc>
        <w:tc>
          <w:tcPr>
            <w:tcW w:w="2835" w:type="dxa"/>
            <w:vAlign w:val="center"/>
          </w:tcPr>
          <w:p>
            <w:pPr>
              <w:pStyle w:val="12"/>
            </w:pPr>
            <w:r>
              <w:t>及时维护故障次数/总故障次数的比例</w:t>
            </w:r>
          </w:p>
          <w:p>
            <w:pPr>
              <w:pStyle w:val="12"/>
            </w:pP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软/硬件采购单位成本</w:t>
            </w:r>
          </w:p>
        </w:tc>
        <w:tc>
          <w:tcPr>
            <w:tcW w:w="2835" w:type="dxa"/>
            <w:vAlign w:val="center"/>
          </w:tcPr>
          <w:p>
            <w:pPr>
              <w:pStyle w:val="12"/>
            </w:pPr>
            <w:r>
              <w:t>软/硬件采购单位成本</w:t>
            </w:r>
          </w:p>
        </w:tc>
        <w:tc>
          <w:tcPr>
            <w:tcW w:w="2551" w:type="dxa"/>
            <w:vAlign w:val="center"/>
          </w:tcPr>
          <w:p>
            <w:pPr>
              <w:pStyle w:val="12"/>
            </w:pPr>
            <w:r>
              <w:t>≤4万元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软件（硬件）、系统正常使用年限</w:t>
            </w:r>
          </w:p>
        </w:tc>
        <w:tc>
          <w:tcPr>
            <w:tcW w:w="2835" w:type="dxa"/>
            <w:vAlign w:val="center"/>
          </w:tcPr>
          <w:p>
            <w:pPr>
              <w:pStyle w:val="12"/>
            </w:pPr>
            <w:r>
              <w:t>购买的软、硬件或系统可正常使用的期限</w:t>
            </w:r>
          </w:p>
        </w:tc>
        <w:tc>
          <w:tcPr>
            <w:tcW w:w="2551" w:type="dxa"/>
            <w:vAlign w:val="center"/>
          </w:tcPr>
          <w:p>
            <w:pPr>
              <w:pStyle w:val="12"/>
            </w:pPr>
            <w:r>
              <w:t>≥10年</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系统使用率</w:t>
            </w:r>
          </w:p>
        </w:tc>
        <w:tc>
          <w:tcPr>
            <w:tcW w:w="2835" w:type="dxa"/>
            <w:vAlign w:val="center"/>
          </w:tcPr>
          <w:p>
            <w:pPr>
              <w:pStyle w:val="12"/>
            </w:pPr>
            <w:r>
              <w:t>建设系统使用功能占系统总功能的比例</w:t>
            </w:r>
          </w:p>
        </w:tc>
        <w:tc>
          <w:tcPr>
            <w:tcW w:w="2551" w:type="dxa"/>
            <w:vAlign w:val="center"/>
          </w:tcPr>
          <w:p>
            <w:pPr>
              <w:pStyle w:val="12"/>
            </w:pPr>
            <w:r>
              <w:t>≥95%</w:t>
            </w:r>
          </w:p>
        </w:tc>
        <w:tc>
          <w:tcPr>
            <w:tcW w:w="2268" w:type="dxa"/>
            <w:vAlign w:val="center"/>
          </w:tcPr>
          <w:p>
            <w:pPr>
              <w:pStyle w:val="12"/>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系统运行满意度</w:t>
            </w:r>
          </w:p>
        </w:tc>
        <w:tc>
          <w:tcPr>
            <w:tcW w:w="2835" w:type="dxa"/>
            <w:vAlign w:val="center"/>
          </w:tcPr>
          <w:p>
            <w:pPr>
              <w:pStyle w:val="12"/>
            </w:pPr>
            <w:r>
              <w:t>办公人员对系统使用的满意度</w:t>
            </w:r>
          </w:p>
        </w:tc>
        <w:tc>
          <w:tcPr>
            <w:tcW w:w="2551" w:type="dxa"/>
            <w:vAlign w:val="center"/>
          </w:tcPr>
          <w:p>
            <w:pPr>
              <w:pStyle w:val="12"/>
            </w:pPr>
            <w:r>
              <w:t>≥95%</w:t>
            </w:r>
          </w:p>
        </w:tc>
        <w:tc>
          <w:tcPr>
            <w:tcW w:w="2268" w:type="dxa"/>
            <w:vAlign w:val="center"/>
          </w:tcPr>
          <w:p>
            <w:pPr>
              <w:pStyle w:val="12"/>
            </w:pPr>
            <w:r>
              <w:t>工作要求</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9、财政局后院维修改造项目绩效目标表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1.修整完善财政局后院路面及基础设施3项，方便职工出行便利，提升办公环境质量。</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维修改造数量</w:t>
            </w:r>
          </w:p>
        </w:tc>
        <w:tc>
          <w:tcPr>
            <w:tcW w:w="2835" w:type="dxa"/>
            <w:vAlign w:val="center"/>
          </w:tcPr>
          <w:p>
            <w:pPr>
              <w:pStyle w:val="12"/>
            </w:pPr>
            <w:r>
              <w:t>维修改造的项数</w:t>
            </w:r>
          </w:p>
        </w:tc>
        <w:tc>
          <w:tcPr>
            <w:tcW w:w="2551" w:type="dxa"/>
            <w:vAlign w:val="center"/>
          </w:tcPr>
          <w:p>
            <w:pPr>
              <w:pStyle w:val="12"/>
            </w:pPr>
            <w:r>
              <w:t>≤3项</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改造完成率</w:t>
            </w:r>
          </w:p>
        </w:tc>
        <w:tc>
          <w:tcPr>
            <w:tcW w:w="2835" w:type="dxa"/>
            <w:vAlign w:val="center"/>
          </w:tcPr>
          <w:p>
            <w:pPr>
              <w:pStyle w:val="12"/>
            </w:pPr>
            <w:r>
              <w:t>改造完成率</w:t>
            </w:r>
          </w:p>
        </w:tc>
        <w:tc>
          <w:tcPr>
            <w:tcW w:w="2551" w:type="dxa"/>
            <w:vAlign w:val="center"/>
          </w:tcPr>
          <w:p>
            <w:pPr>
              <w:pStyle w:val="12"/>
            </w:pPr>
            <w:r>
              <w:t>≥90%</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维修改造办公设施时限</w:t>
            </w:r>
          </w:p>
        </w:tc>
        <w:tc>
          <w:tcPr>
            <w:tcW w:w="2835" w:type="dxa"/>
            <w:vAlign w:val="center"/>
          </w:tcPr>
          <w:p>
            <w:pPr>
              <w:pStyle w:val="12"/>
            </w:pPr>
            <w:r>
              <w:t>维修改造办公设施时限</w:t>
            </w:r>
          </w:p>
        </w:tc>
        <w:tc>
          <w:tcPr>
            <w:tcW w:w="2551" w:type="dxa"/>
            <w:vAlign w:val="center"/>
          </w:tcPr>
          <w:p>
            <w:pPr>
              <w:pStyle w:val="12"/>
            </w:pPr>
            <w:r>
              <w:t>50天</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维修改造成本</w:t>
            </w:r>
          </w:p>
        </w:tc>
        <w:tc>
          <w:tcPr>
            <w:tcW w:w="2835" w:type="dxa"/>
            <w:vAlign w:val="center"/>
          </w:tcPr>
          <w:p>
            <w:pPr>
              <w:pStyle w:val="12"/>
            </w:pPr>
            <w:r>
              <w:t>维修改造成本</w:t>
            </w:r>
          </w:p>
        </w:tc>
        <w:tc>
          <w:tcPr>
            <w:tcW w:w="2551" w:type="dxa"/>
            <w:vAlign w:val="center"/>
          </w:tcPr>
          <w:p>
            <w:pPr>
              <w:pStyle w:val="12"/>
            </w:pPr>
            <w:r>
              <w:t>20万元</w:t>
            </w:r>
          </w:p>
        </w:tc>
        <w:tc>
          <w:tcPr>
            <w:tcW w:w="2268" w:type="dxa"/>
            <w:vAlign w:val="center"/>
          </w:tcPr>
          <w:p>
            <w:pPr>
              <w:pStyle w:val="12"/>
            </w:pPr>
            <w:r>
              <w:t>设计方案及工程预算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改造后影响时限</w:t>
            </w:r>
          </w:p>
        </w:tc>
        <w:tc>
          <w:tcPr>
            <w:tcW w:w="2835" w:type="dxa"/>
            <w:vAlign w:val="center"/>
          </w:tcPr>
          <w:p>
            <w:pPr>
              <w:pStyle w:val="12"/>
            </w:pPr>
            <w:r>
              <w:t>改造后影响时限</w:t>
            </w:r>
          </w:p>
        </w:tc>
        <w:tc>
          <w:tcPr>
            <w:tcW w:w="2551" w:type="dxa"/>
            <w:vAlign w:val="center"/>
          </w:tcPr>
          <w:p>
            <w:pPr>
              <w:pStyle w:val="12"/>
            </w:pPr>
            <w:r>
              <w:t>长期</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改造后办公生活质量提高</w:t>
            </w:r>
          </w:p>
        </w:tc>
        <w:tc>
          <w:tcPr>
            <w:tcW w:w="2835" w:type="dxa"/>
            <w:vAlign w:val="center"/>
          </w:tcPr>
          <w:p>
            <w:pPr>
              <w:pStyle w:val="12"/>
            </w:pPr>
            <w:r>
              <w:t>改造后办公生活质量提高</w:t>
            </w:r>
          </w:p>
        </w:tc>
        <w:tc>
          <w:tcPr>
            <w:tcW w:w="2551" w:type="dxa"/>
            <w:vAlign w:val="center"/>
          </w:tcPr>
          <w:p>
            <w:pPr>
              <w:pStyle w:val="12"/>
            </w:pPr>
            <w:r>
              <w:t>≥90%</w:t>
            </w:r>
          </w:p>
        </w:tc>
        <w:tc>
          <w:tcPr>
            <w:tcW w:w="2268" w:type="dxa"/>
            <w:vAlign w:val="center"/>
          </w:tcPr>
          <w:p>
            <w:pPr>
              <w:pStyle w:val="12"/>
            </w:pPr>
            <w:r>
              <w:t>工程设计方案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满意率</w:t>
            </w:r>
          </w:p>
        </w:tc>
        <w:tc>
          <w:tcPr>
            <w:tcW w:w="2835" w:type="dxa"/>
            <w:vAlign w:val="center"/>
          </w:tcPr>
          <w:p>
            <w:pPr>
              <w:pStyle w:val="12"/>
            </w:pPr>
            <w:r>
              <w:t>满意率</w:t>
            </w:r>
          </w:p>
        </w:tc>
        <w:tc>
          <w:tcPr>
            <w:tcW w:w="2551" w:type="dxa"/>
            <w:vAlign w:val="center"/>
          </w:tcPr>
          <w:p>
            <w:pPr>
              <w:pStyle w:val="12"/>
            </w:pPr>
            <w:r>
              <w:t>≥95%</w:t>
            </w:r>
          </w:p>
        </w:tc>
        <w:tc>
          <w:tcPr>
            <w:tcW w:w="2268" w:type="dxa"/>
            <w:vAlign w:val="center"/>
          </w:tcPr>
          <w:p>
            <w:pPr>
              <w:pStyle w:val="12"/>
            </w:pPr>
            <w:r>
              <w:t>工程设计方案</w:t>
            </w:r>
          </w:p>
          <w:p>
            <w:pPr>
              <w:pStyle w:val="12"/>
            </w:pP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10、档案信息安全建设管理费绩效目标表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1.拟建档案室，实现档案工作达到规范化管理水平，将档案资源发挥最大效益</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设备购置数量</w:t>
            </w:r>
          </w:p>
        </w:tc>
        <w:tc>
          <w:tcPr>
            <w:tcW w:w="2835" w:type="dxa"/>
            <w:vAlign w:val="center"/>
          </w:tcPr>
          <w:p>
            <w:pPr>
              <w:pStyle w:val="12"/>
            </w:pPr>
            <w:r>
              <w:t>购置档案柜、架、保密设备数量</w:t>
            </w:r>
          </w:p>
        </w:tc>
        <w:tc>
          <w:tcPr>
            <w:tcW w:w="2551" w:type="dxa"/>
            <w:vAlign w:val="center"/>
          </w:tcPr>
          <w:p>
            <w:pPr>
              <w:pStyle w:val="12"/>
            </w:pPr>
            <w:r>
              <w:t>≤100个</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购置质量合格率</w:t>
            </w:r>
          </w:p>
        </w:tc>
        <w:tc>
          <w:tcPr>
            <w:tcW w:w="2835" w:type="dxa"/>
            <w:vAlign w:val="center"/>
          </w:tcPr>
          <w:p>
            <w:pPr>
              <w:pStyle w:val="12"/>
            </w:pPr>
            <w:r>
              <w:t>购置设备质量合格率</w:t>
            </w:r>
          </w:p>
        </w:tc>
        <w:tc>
          <w:tcPr>
            <w:tcW w:w="2551" w:type="dxa"/>
            <w:vAlign w:val="center"/>
          </w:tcPr>
          <w:p>
            <w:pPr>
              <w:pStyle w:val="12"/>
            </w:pPr>
            <w:r>
              <w:t>100%</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购置计划执行率</w:t>
            </w:r>
          </w:p>
        </w:tc>
        <w:tc>
          <w:tcPr>
            <w:tcW w:w="2835" w:type="dxa"/>
            <w:vAlign w:val="center"/>
          </w:tcPr>
          <w:p>
            <w:pPr>
              <w:pStyle w:val="12"/>
            </w:pPr>
            <w:r>
              <w:t>设备购置计划执行率</w:t>
            </w:r>
          </w:p>
        </w:tc>
        <w:tc>
          <w:tcPr>
            <w:tcW w:w="2551" w:type="dxa"/>
            <w:vAlign w:val="center"/>
          </w:tcPr>
          <w:p>
            <w:pPr>
              <w:pStyle w:val="12"/>
            </w:pPr>
            <w:r>
              <w:t>≥95%</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设备购置成本</w:t>
            </w:r>
          </w:p>
        </w:tc>
        <w:tc>
          <w:tcPr>
            <w:tcW w:w="2835" w:type="dxa"/>
            <w:vAlign w:val="center"/>
          </w:tcPr>
          <w:p>
            <w:pPr>
              <w:pStyle w:val="12"/>
            </w:pPr>
            <w:r>
              <w:t>设备购置成本</w:t>
            </w:r>
          </w:p>
        </w:tc>
        <w:tc>
          <w:tcPr>
            <w:tcW w:w="2551" w:type="dxa"/>
            <w:vAlign w:val="center"/>
          </w:tcPr>
          <w:p>
            <w:pPr>
              <w:pStyle w:val="12"/>
            </w:pPr>
            <w:r>
              <w:t>10万元</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设备购置持续使用时间</w:t>
            </w:r>
          </w:p>
        </w:tc>
        <w:tc>
          <w:tcPr>
            <w:tcW w:w="2835" w:type="dxa"/>
            <w:vAlign w:val="center"/>
          </w:tcPr>
          <w:p>
            <w:pPr>
              <w:pStyle w:val="12"/>
            </w:pPr>
            <w:r>
              <w:t>设备购置类项目持续使用时间</w:t>
            </w:r>
          </w:p>
        </w:tc>
        <w:tc>
          <w:tcPr>
            <w:tcW w:w="2551" w:type="dxa"/>
            <w:vAlign w:val="center"/>
          </w:tcPr>
          <w:p>
            <w:pPr>
              <w:pStyle w:val="12"/>
            </w:pPr>
            <w:r>
              <w:t>≥15年</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设备使用率</w:t>
            </w:r>
          </w:p>
        </w:tc>
        <w:tc>
          <w:tcPr>
            <w:tcW w:w="2835" w:type="dxa"/>
            <w:vAlign w:val="center"/>
          </w:tcPr>
          <w:p>
            <w:pPr>
              <w:pStyle w:val="12"/>
            </w:pPr>
            <w:r>
              <w:t>档案柜、架、保密设备使用率</w:t>
            </w:r>
          </w:p>
        </w:tc>
        <w:tc>
          <w:tcPr>
            <w:tcW w:w="2551" w:type="dxa"/>
            <w:vAlign w:val="center"/>
          </w:tcPr>
          <w:p>
            <w:pPr>
              <w:pStyle w:val="12"/>
            </w:pPr>
            <w:r>
              <w:t>100%</w:t>
            </w:r>
          </w:p>
        </w:tc>
        <w:tc>
          <w:tcPr>
            <w:tcW w:w="2268" w:type="dxa"/>
            <w:vAlign w:val="center"/>
          </w:tcPr>
          <w:p>
            <w:pPr>
              <w:pStyle w:val="12"/>
            </w:pPr>
            <w:r>
              <w:t>机关档案管理规定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设备使用的满意率</w:t>
            </w:r>
          </w:p>
        </w:tc>
        <w:tc>
          <w:tcPr>
            <w:tcW w:w="2835" w:type="dxa"/>
            <w:vAlign w:val="center"/>
          </w:tcPr>
          <w:p>
            <w:pPr>
              <w:pStyle w:val="12"/>
            </w:pPr>
            <w:r>
              <w:t>档案柜、架、保密设备使用满意率</w:t>
            </w:r>
          </w:p>
        </w:tc>
        <w:tc>
          <w:tcPr>
            <w:tcW w:w="2551" w:type="dxa"/>
            <w:vAlign w:val="center"/>
          </w:tcPr>
          <w:p>
            <w:pPr>
              <w:pStyle w:val="12"/>
            </w:pPr>
            <w:r>
              <w:t>≥95%</w:t>
            </w:r>
          </w:p>
        </w:tc>
        <w:tc>
          <w:tcPr>
            <w:tcW w:w="2268" w:type="dxa"/>
            <w:vAlign w:val="center"/>
          </w:tcPr>
          <w:p>
            <w:pPr>
              <w:pStyle w:val="12"/>
            </w:pPr>
            <w:r>
              <w:t>机关档案管理规定</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11、法律咨询、律师代理服务费绩效目标表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1.聘请法律顾问，提高职工法律知识，提供法律咨询，维护单位合法权益</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提供法律咨询数量</w:t>
            </w:r>
          </w:p>
        </w:tc>
        <w:tc>
          <w:tcPr>
            <w:tcW w:w="2835" w:type="dxa"/>
            <w:vAlign w:val="center"/>
          </w:tcPr>
          <w:p>
            <w:pPr>
              <w:pStyle w:val="12"/>
            </w:pPr>
            <w:r>
              <w:t>提供法律咨询数量</w:t>
            </w:r>
          </w:p>
        </w:tc>
        <w:tc>
          <w:tcPr>
            <w:tcW w:w="2551" w:type="dxa"/>
            <w:vAlign w:val="center"/>
          </w:tcPr>
          <w:p>
            <w:pPr>
              <w:pStyle w:val="12"/>
            </w:pPr>
            <w:r>
              <w:t>≥4次</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法律服务质量</w:t>
            </w:r>
          </w:p>
        </w:tc>
        <w:tc>
          <w:tcPr>
            <w:tcW w:w="2835" w:type="dxa"/>
            <w:vAlign w:val="center"/>
          </w:tcPr>
          <w:p>
            <w:pPr>
              <w:pStyle w:val="12"/>
            </w:pPr>
            <w:r>
              <w:t>法律服务质量</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服务及时率</w:t>
            </w:r>
          </w:p>
        </w:tc>
        <w:tc>
          <w:tcPr>
            <w:tcW w:w="2835" w:type="dxa"/>
            <w:vAlign w:val="center"/>
          </w:tcPr>
          <w:p>
            <w:pPr>
              <w:pStyle w:val="12"/>
            </w:pPr>
            <w:r>
              <w:t>提供服务及时率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咨询服务费</w:t>
            </w:r>
          </w:p>
        </w:tc>
        <w:tc>
          <w:tcPr>
            <w:tcW w:w="2835" w:type="dxa"/>
            <w:vAlign w:val="center"/>
          </w:tcPr>
          <w:p>
            <w:pPr>
              <w:pStyle w:val="12"/>
            </w:pPr>
            <w:r>
              <w:t>法律咨询、律师代理服务费用</w:t>
            </w:r>
          </w:p>
        </w:tc>
        <w:tc>
          <w:tcPr>
            <w:tcW w:w="2551" w:type="dxa"/>
            <w:vAlign w:val="center"/>
          </w:tcPr>
          <w:p>
            <w:pPr>
              <w:pStyle w:val="12"/>
            </w:pPr>
            <w:r>
              <w:t>4万元</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保障服务能力</w:t>
            </w:r>
          </w:p>
        </w:tc>
        <w:tc>
          <w:tcPr>
            <w:tcW w:w="2835" w:type="dxa"/>
            <w:vAlign w:val="center"/>
          </w:tcPr>
          <w:p>
            <w:pPr>
              <w:pStyle w:val="12"/>
            </w:pPr>
            <w:r>
              <w:t>保障服务能力</w:t>
            </w:r>
          </w:p>
        </w:tc>
        <w:tc>
          <w:tcPr>
            <w:tcW w:w="2551" w:type="dxa"/>
            <w:vAlign w:val="center"/>
          </w:tcPr>
          <w:p>
            <w:pPr>
              <w:pStyle w:val="12"/>
            </w:pPr>
            <w:r>
              <w:t>≥90%</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法律服务专线接通率</w:t>
            </w:r>
          </w:p>
        </w:tc>
        <w:tc>
          <w:tcPr>
            <w:tcW w:w="2835" w:type="dxa"/>
            <w:vAlign w:val="center"/>
          </w:tcPr>
          <w:p>
            <w:pPr>
              <w:pStyle w:val="12"/>
            </w:pPr>
            <w:r>
              <w:t>法律服务专线接通率</w:t>
            </w:r>
          </w:p>
        </w:tc>
        <w:tc>
          <w:tcPr>
            <w:tcW w:w="2551" w:type="dxa"/>
            <w:vAlign w:val="center"/>
          </w:tcPr>
          <w:p>
            <w:pPr>
              <w:pStyle w:val="12"/>
            </w:pPr>
            <w:r>
              <w:t>≥95%</w:t>
            </w:r>
          </w:p>
        </w:tc>
        <w:tc>
          <w:tcPr>
            <w:tcW w:w="2268" w:type="dxa"/>
            <w:vAlign w:val="center"/>
          </w:tcPr>
          <w:p>
            <w:pPr>
              <w:pStyle w:val="12"/>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单位对提供的法律咨询、律师代理服务的满意度</w:t>
            </w:r>
          </w:p>
        </w:tc>
        <w:tc>
          <w:tcPr>
            <w:tcW w:w="2551" w:type="dxa"/>
            <w:vAlign w:val="center"/>
          </w:tcPr>
          <w:p>
            <w:pPr>
              <w:pStyle w:val="12"/>
            </w:pPr>
            <w:r>
              <w:t>≥95%</w:t>
            </w:r>
          </w:p>
        </w:tc>
        <w:tc>
          <w:tcPr>
            <w:tcW w:w="2268" w:type="dxa"/>
            <w:vAlign w:val="center"/>
          </w:tcPr>
          <w:p>
            <w:pPr>
              <w:pStyle w:val="12"/>
            </w:pPr>
            <w:r>
              <w:t>行业标准</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12、国有资产评估，拍卖委托业务费绩效目标表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1.计划委托第三主机构对国有资产进行评估、拍卖18项，保证公平、公开、防止国有资产流失 。</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时效指标</w:t>
            </w:r>
          </w:p>
        </w:tc>
        <w:tc>
          <w:tcPr>
            <w:tcW w:w="2835" w:type="dxa"/>
            <w:vAlign w:val="center"/>
          </w:tcPr>
          <w:p>
            <w:pPr>
              <w:pStyle w:val="12"/>
            </w:pPr>
            <w:r>
              <w:t>对国有资产进行评估拍卖按时完成率</w:t>
            </w:r>
          </w:p>
        </w:tc>
        <w:tc>
          <w:tcPr>
            <w:tcW w:w="2835" w:type="dxa"/>
            <w:vAlign w:val="center"/>
          </w:tcPr>
          <w:p>
            <w:pPr>
              <w:pStyle w:val="12"/>
            </w:pPr>
            <w:r>
              <w:t>对国有资产进行评估拍卖按时完成率</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评估拍卖的数量</w:t>
            </w:r>
          </w:p>
        </w:tc>
        <w:tc>
          <w:tcPr>
            <w:tcW w:w="2835" w:type="dxa"/>
            <w:vAlign w:val="center"/>
          </w:tcPr>
          <w:p>
            <w:pPr>
              <w:pStyle w:val="12"/>
            </w:pPr>
            <w:r>
              <w:t>对国有资产进行拍卖的项数</w:t>
            </w:r>
          </w:p>
        </w:tc>
        <w:tc>
          <w:tcPr>
            <w:tcW w:w="2551" w:type="dxa"/>
            <w:vAlign w:val="center"/>
          </w:tcPr>
          <w:p>
            <w:pPr>
              <w:pStyle w:val="12"/>
            </w:pPr>
            <w:r>
              <w:t>≤18项</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评估完成率</w:t>
            </w:r>
          </w:p>
        </w:tc>
        <w:tc>
          <w:tcPr>
            <w:tcW w:w="2835" w:type="dxa"/>
            <w:vAlign w:val="center"/>
          </w:tcPr>
          <w:p>
            <w:pPr>
              <w:pStyle w:val="12"/>
            </w:pPr>
            <w:r>
              <w:t>评估完成的项数占计划完成的比例</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委托第三方所需的安全评估成本</w:t>
            </w:r>
          </w:p>
        </w:tc>
        <w:tc>
          <w:tcPr>
            <w:tcW w:w="2835" w:type="dxa"/>
            <w:vAlign w:val="center"/>
          </w:tcPr>
          <w:p>
            <w:pPr>
              <w:pStyle w:val="12"/>
            </w:pPr>
            <w:r>
              <w:t>委托第三方所需的安全评估成本</w:t>
            </w:r>
          </w:p>
        </w:tc>
        <w:tc>
          <w:tcPr>
            <w:tcW w:w="2551" w:type="dxa"/>
            <w:vAlign w:val="center"/>
          </w:tcPr>
          <w:p>
            <w:pPr>
              <w:pStyle w:val="12"/>
            </w:pPr>
            <w:r>
              <w:t>16万元</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国有资产收益最大化</w:t>
            </w:r>
          </w:p>
        </w:tc>
        <w:tc>
          <w:tcPr>
            <w:tcW w:w="2835" w:type="dxa"/>
            <w:vAlign w:val="center"/>
          </w:tcPr>
          <w:p>
            <w:pPr>
              <w:pStyle w:val="12"/>
            </w:pPr>
            <w:r>
              <w:t>防止国有资产流失</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国有资产收益最大化</w:t>
            </w:r>
          </w:p>
        </w:tc>
        <w:tc>
          <w:tcPr>
            <w:tcW w:w="2835" w:type="dxa"/>
            <w:vAlign w:val="center"/>
          </w:tcPr>
          <w:p>
            <w:pPr>
              <w:pStyle w:val="12"/>
            </w:pPr>
            <w:r>
              <w:t>防止国有资产流失</w:t>
            </w:r>
          </w:p>
        </w:tc>
        <w:tc>
          <w:tcPr>
            <w:tcW w:w="2551" w:type="dxa"/>
            <w:vAlign w:val="center"/>
          </w:tcPr>
          <w:p>
            <w:pPr>
              <w:pStyle w:val="12"/>
            </w:pPr>
            <w:r>
              <w:t>100%</w:t>
            </w:r>
          </w:p>
        </w:tc>
        <w:tc>
          <w:tcPr>
            <w:tcW w:w="2268" w:type="dxa"/>
            <w:vAlign w:val="center"/>
          </w:tcPr>
          <w:p>
            <w:pPr>
              <w:pStyle w:val="12"/>
            </w:pPr>
            <w:r>
              <w:t>石财[2020]3号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调查中服务对象满意度或较满意的占所有服务对象的比例</w:t>
            </w:r>
          </w:p>
        </w:tc>
        <w:tc>
          <w:tcPr>
            <w:tcW w:w="2551" w:type="dxa"/>
            <w:vAlign w:val="center"/>
          </w:tcPr>
          <w:p>
            <w:pPr>
              <w:pStyle w:val="12"/>
            </w:pPr>
            <w:r>
              <w:t>100%</w:t>
            </w:r>
          </w:p>
        </w:tc>
        <w:tc>
          <w:tcPr>
            <w:tcW w:w="2268" w:type="dxa"/>
            <w:vAlign w:val="center"/>
          </w:tcPr>
          <w:p>
            <w:pPr>
              <w:pStyle w:val="12"/>
            </w:pPr>
            <w:r>
              <w:t>石财[2020]3号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13、票据工本费绩效目标表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1.购买票据300箱，满足用票据需求。</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票据购买数量</w:t>
            </w:r>
          </w:p>
        </w:tc>
        <w:tc>
          <w:tcPr>
            <w:tcW w:w="2835" w:type="dxa"/>
            <w:vAlign w:val="center"/>
          </w:tcPr>
          <w:p>
            <w:pPr>
              <w:pStyle w:val="12"/>
            </w:pPr>
            <w:r>
              <w:t>票据购买的数量</w:t>
            </w:r>
          </w:p>
        </w:tc>
        <w:tc>
          <w:tcPr>
            <w:tcW w:w="2551" w:type="dxa"/>
            <w:vAlign w:val="center"/>
          </w:tcPr>
          <w:p>
            <w:pPr>
              <w:pStyle w:val="12"/>
            </w:pPr>
            <w:r>
              <w:t>≥300箱</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票据购买成本</w:t>
            </w:r>
          </w:p>
        </w:tc>
        <w:tc>
          <w:tcPr>
            <w:tcW w:w="2835" w:type="dxa"/>
            <w:vAlign w:val="center"/>
          </w:tcPr>
          <w:p>
            <w:pPr>
              <w:pStyle w:val="12"/>
            </w:pPr>
            <w:r>
              <w:t>工本费</w:t>
            </w:r>
          </w:p>
        </w:tc>
        <w:tc>
          <w:tcPr>
            <w:tcW w:w="2551" w:type="dxa"/>
            <w:vAlign w:val="center"/>
          </w:tcPr>
          <w:p>
            <w:pPr>
              <w:pStyle w:val="12"/>
            </w:pPr>
            <w:r>
              <w:t>12万元</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票据购买合格率</w:t>
            </w:r>
          </w:p>
        </w:tc>
        <w:tc>
          <w:tcPr>
            <w:tcW w:w="2835" w:type="dxa"/>
            <w:vAlign w:val="center"/>
          </w:tcPr>
          <w:p>
            <w:pPr>
              <w:pStyle w:val="12"/>
            </w:pPr>
            <w:r>
              <w:t>购买的票据合格程度</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票据购买按时完成率</w:t>
            </w:r>
          </w:p>
        </w:tc>
        <w:tc>
          <w:tcPr>
            <w:tcW w:w="2835" w:type="dxa"/>
            <w:vAlign w:val="center"/>
          </w:tcPr>
          <w:p>
            <w:pPr>
              <w:pStyle w:val="12"/>
            </w:pPr>
            <w:r>
              <w:t>票据购买按时完成的程度</w:t>
            </w:r>
          </w:p>
        </w:tc>
        <w:tc>
          <w:tcPr>
            <w:tcW w:w="2551" w:type="dxa"/>
            <w:vAlign w:val="center"/>
          </w:tcPr>
          <w:p>
            <w:pPr>
              <w:pStyle w:val="12"/>
            </w:pPr>
            <w:r>
              <w:t>100%</w:t>
            </w:r>
          </w:p>
        </w:tc>
        <w:tc>
          <w:tcPr>
            <w:tcW w:w="2268" w:type="dxa"/>
            <w:vAlign w:val="center"/>
          </w:tcPr>
          <w:p>
            <w:pPr>
              <w:pStyle w:val="12"/>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转变政府职能，减轻企业和民众负担</w:t>
            </w:r>
          </w:p>
        </w:tc>
        <w:tc>
          <w:tcPr>
            <w:tcW w:w="2835" w:type="dxa"/>
            <w:vAlign w:val="center"/>
          </w:tcPr>
          <w:p>
            <w:pPr>
              <w:pStyle w:val="12"/>
            </w:pPr>
            <w:r>
              <w:t>转变政府职能，减轻企业和民众负担</w:t>
            </w:r>
          </w:p>
        </w:tc>
        <w:tc>
          <w:tcPr>
            <w:tcW w:w="2551" w:type="dxa"/>
            <w:vAlign w:val="center"/>
          </w:tcPr>
          <w:p>
            <w:pPr>
              <w:pStyle w:val="12"/>
            </w:pPr>
            <w:r>
              <w:t>减费降负</w:t>
            </w:r>
          </w:p>
        </w:tc>
        <w:tc>
          <w:tcPr>
            <w:tcW w:w="2268" w:type="dxa"/>
            <w:vAlign w:val="center"/>
          </w:tcPr>
          <w:p>
            <w:pPr>
              <w:pStyle w:val="12"/>
            </w:pPr>
            <w:r>
              <w:t>石财综【2018】14号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转变政府职能，减轻企业和民众负担</w:t>
            </w:r>
          </w:p>
        </w:tc>
        <w:tc>
          <w:tcPr>
            <w:tcW w:w="2835" w:type="dxa"/>
            <w:vAlign w:val="center"/>
          </w:tcPr>
          <w:p>
            <w:pPr>
              <w:pStyle w:val="12"/>
            </w:pPr>
            <w:r>
              <w:t>转变政府职能，减轻企业和民众负担</w:t>
            </w:r>
          </w:p>
        </w:tc>
        <w:tc>
          <w:tcPr>
            <w:tcW w:w="2551" w:type="dxa"/>
            <w:vAlign w:val="center"/>
          </w:tcPr>
          <w:p>
            <w:pPr>
              <w:pStyle w:val="12"/>
            </w:pPr>
            <w:r>
              <w:t>减费降负</w:t>
            </w:r>
          </w:p>
        </w:tc>
        <w:tc>
          <w:tcPr>
            <w:tcW w:w="2268" w:type="dxa"/>
            <w:vAlign w:val="center"/>
          </w:tcPr>
          <w:p>
            <w:pPr>
              <w:pStyle w:val="12"/>
            </w:pPr>
            <w:r>
              <w:t>石财综【2018】14号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接受使用财政票据单位对提供服务的满意程度</w:t>
            </w:r>
          </w:p>
        </w:tc>
        <w:tc>
          <w:tcPr>
            <w:tcW w:w="2551" w:type="dxa"/>
            <w:vAlign w:val="center"/>
          </w:tcPr>
          <w:p>
            <w:pPr>
              <w:pStyle w:val="12"/>
            </w:pPr>
            <w:r>
              <w:t>100%</w:t>
            </w:r>
          </w:p>
        </w:tc>
        <w:tc>
          <w:tcPr>
            <w:tcW w:w="2268" w:type="dxa"/>
            <w:vAlign w:val="center"/>
          </w:tcPr>
          <w:p>
            <w:pPr>
              <w:pStyle w:val="12"/>
            </w:pPr>
            <w:r>
              <w:t>石财综【2018】14号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14、税收专项检查服务绩效目标表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1.拟评估清算存在纳税疑点企业10家，查补税款1000万元。</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检查清算的数量</w:t>
            </w:r>
          </w:p>
        </w:tc>
        <w:tc>
          <w:tcPr>
            <w:tcW w:w="2835" w:type="dxa"/>
            <w:vAlign w:val="center"/>
          </w:tcPr>
          <w:p>
            <w:pPr>
              <w:pStyle w:val="12"/>
            </w:pPr>
            <w:r>
              <w:t>组织开展检查清算的企业数量</w:t>
            </w:r>
          </w:p>
        </w:tc>
        <w:tc>
          <w:tcPr>
            <w:tcW w:w="2551" w:type="dxa"/>
            <w:vAlign w:val="center"/>
          </w:tcPr>
          <w:p>
            <w:pPr>
              <w:pStyle w:val="12"/>
            </w:pPr>
            <w:r>
              <w:t>≥10个</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评估清算单位成本</w:t>
            </w:r>
          </w:p>
        </w:tc>
        <w:tc>
          <w:tcPr>
            <w:tcW w:w="2835" w:type="dxa"/>
            <w:vAlign w:val="center"/>
          </w:tcPr>
          <w:p>
            <w:pPr>
              <w:pStyle w:val="12"/>
            </w:pPr>
            <w:r>
              <w:t>评估清算企业的单位成本</w:t>
            </w:r>
          </w:p>
        </w:tc>
        <w:tc>
          <w:tcPr>
            <w:tcW w:w="2551" w:type="dxa"/>
            <w:vAlign w:val="center"/>
          </w:tcPr>
          <w:p>
            <w:pPr>
              <w:pStyle w:val="12"/>
            </w:pPr>
            <w:r>
              <w:t>≤5万元</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纳税评估工作完成率</w:t>
            </w:r>
          </w:p>
        </w:tc>
        <w:tc>
          <w:tcPr>
            <w:tcW w:w="2835" w:type="dxa"/>
            <w:vAlign w:val="center"/>
          </w:tcPr>
          <w:p>
            <w:pPr>
              <w:pStyle w:val="12"/>
            </w:pPr>
            <w:r>
              <w:t>已完成工作占计划完成工作比例</w:t>
            </w:r>
          </w:p>
        </w:tc>
        <w:tc>
          <w:tcPr>
            <w:tcW w:w="2551" w:type="dxa"/>
            <w:vAlign w:val="center"/>
          </w:tcPr>
          <w:p>
            <w:pPr>
              <w:pStyle w:val="12"/>
            </w:pPr>
            <w:r>
              <w:t>≥95%</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评估项目按时完成率</w:t>
            </w:r>
          </w:p>
        </w:tc>
        <w:tc>
          <w:tcPr>
            <w:tcW w:w="2835" w:type="dxa"/>
            <w:vAlign w:val="center"/>
          </w:tcPr>
          <w:p>
            <w:pPr>
              <w:pStyle w:val="12"/>
            </w:pPr>
            <w:r>
              <w:t>按时完成评估项目数量占计划的比例</w:t>
            </w:r>
          </w:p>
        </w:tc>
        <w:tc>
          <w:tcPr>
            <w:tcW w:w="2551" w:type="dxa"/>
            <w:vAlign w:val="center"/>
          </w:tcPr>
          <w:p>
            <w:pPr>
              <w:pStyle w:val="12"/>
            </w:pPr>
            <w:r>
              <w:t>≥95%</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挽回经济损失数量</w:t>
            </w:r>
          </w:p>
        </w:tc>
        <w:tc>
          <w:tcPr>
            <w:tcW w:w="2835" w:type="dxa"/>
            <w:vAlign w:val="center"/>
          </w:tcPr>
          <w:p>
            <w:pPr>
              <w:pStyle w:val="12"/>
            </w:pPr>
            <w:r>
              <w:t>通过问题查处挽回经济损失金额</w:t>
            </w:r>
          </w:p>
        </w:tc>
        <w:tc>
          <w:tcPr>
            <w:tcW w:w="2551" w:type="dxa"/>
            <w:vAlign w:val="center"/>
          </w:tcPr>
          <w:p>
            <w:pPr>
              <w:pStyle w:val="12"/>
            </w:pPr>
            <w:r>
              <w:t>1000万元</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评估决定落实率</w:t>
            </w:r>
          </w:p>
        </w:tc>
        <w:tc>
          <w:tcPr>
            <w:tcW w:w="2835" w:type="dxa"/>
            <w:vAlign w:val="center"/>
          </w:tcPr>
          <w:p>
            <w:pPr>
              <w:pStyle w:val="12"/>
            </w:pPr>
            <w:r>
              <w:t>评估决定落实率</w:t>
            </w:r>
          </w:p>
        </w:tc>
        <w:tc>
          <w:tcPr>
            <w:tcW w:w="2551" w:type="dxa"/>
            <w:vAlign w:val="center"/>
          </w:tcPr>
          <w:p>
            <w:pPr>
              <w:pStyle w:val="12"/>
            </w:pPr>
            <w:r>
              <w:t>≥90%</w:t>
            </w:r>
          </w:p>
        </w:tc>
        <w:tc>
          <w:tcPr>
            <w:tcW w:w="2268" w:type="dxa"/>
            <w:vAlign w:val="center"/>
          </w:tcPr>
          <w:p>
            <w:pPr>
              <w:pStyle w:val="12"/>
            </w:pPr>
            <w:r>
              <w:t>石综税办[2019]1号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按合同文件依据拨付中介机构服务费</w:t>
            </w:r>
          </w:p>
        </w:tc>
        <w:tc>
          <w:tcPr>
            <w:tcW w:w="2551" w:type="dxa"/>
            <w:vAlign w:val="center"/>
          </w:tcPr>
          <w:p>
            <w:pPr>
              <w:pStyle w:val="12"/>
            </w:pPr>
            <w:r>
              <w:t>50万元</w:t>
            </w:r>
          </w:p>
        </w:tc>
        <w:tc>
          <w:tcPr>
            <w:tcW w:w="2268" w:type="dxa"/>
            <w:vAlign w:val="center"/>
          </w:tcPr>
          <w:p>
            <w:pPr>
              <w:pStyle w:val="12"/>
            </w:pPr>
            <w:r>
              <w:t>石综税办[2019]1号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15、提前下达2021年省级农村财会人员培训一般转移支付指标的通知绩效目标表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1.做好农村财会人员财政支农政策培训工作</w:t>
            </w:r>
          </w:p>
          <w:p>
            <w:pPr>
              <w:pStyle w:val="12"/>
            </w:pP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农村财会人员培训人数</w:t>
            </w:r>
          </w:p>
        </w:tc>
        <w:tc>
          <w:tcPr>
            <w:tcW w:w="2835" w:type="dxa"/>
            <w:vAlign w:val="center"/>
          </w:tcPr>
          <w:p>
            <w:pPr>
              <w:pStyle w:val="12"/>
            </w:pPr>
            <w:r>
              <w:t>参加农村财会人员培训的人数</w:t>
            </w:r>
          </w:p>
        </w:tc>
        <w:tc>
          <w:tcPr>
            <w:tcW w:w="2551" w:type="dxa"/>
            <w:vAlign w:val="center"/>
          </w:tcPr>
          <w:p>
            <w:pPr>
              <w:pStyle w:val="12"/>
            </w:pPr>
            <w:r>
              <w:t>≥300人</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参加农村财会人员培训合格的人数占总财会人员的比率</w:t>
            </w:r>
          </w:p>
        </w:tc>
        <w:tc>
          <w:tcPr>
            <w:tcW w:w="2835" w:type="dxa"/>
            <w:vAlign w:val="center"/>
          </w:tcPr>
          <w:p>
            <w:pPr>
              <w:pStyle w:val="12"/>
            </w:pPr>
            <w:r>
              <w:t>参加农村财会人员培训合格的人数占总财会人员的比率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培训任务完成率</w:t>
            </w:r>
          </w:p>
        </w:tc>
        <w:tc>
          <w:tcPr>
            <w:tcW w:w="2835" w:type="dxa"/>
            <w:vAlign w:val="center"/>
          </w:tcPr>
          <w:p>
            <w:pPr>
              <w:pStyle w:val="12"/>
            </w:pPr>
            <w:r>
              <w:t>培训任务完成率</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人均培训成本</w:t>
            </w:r>
          </w:p>
        </w:tc>
        <w:tc>
          <w:tcPr>
            <w:tcW w:w="2835" w:type="dxa"/>
            <w:vAlign w:val="center"/>
          </w:tcPr>
          <w:p>
            <w:pPr>
              <w:pStyle w:val="12"/>
            </w:pPr>
            <w:r>
              <w:t>人均培训成本</w:t>
            </w:r>
          </w:p>
        </w:tc>
        <w:tc>
          <w:tcPr>
            <w:tcW w:w="2551" w:type="dxa"/>
            <w:vAlign w:val="center"/>
          </w:tcPr>
          <w:p>
            <w:pPr>
              <w:pStyle w:val="12"/>
            </w:pPr>
            <w:r>
              <w:t>≤60元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可持续影响指标</w:t>
            </w:r>
          </w:p>
        </w:tc>
        <w:tc>
          <w:tcPr>
            <w:tcW w:w="2835" w:type="dxa"/>
            <w:vAlign w:val="center"/>
          </w:tcPr>
          <w:p>
            <w:pPr>
              <w:pStyle w:val="12"/>
            </w:pPr>
            <w:r>
              <w:t>提高农村财会人员政策水平</w:t>
            </w:r>
          </w:p>
        </w:tc>
        <w:tc>
          <w:tcPr>
            <w:tcW w:w="2835" w:type="dxa"/>
            <w:vAlign w:val="center"/>
          </w:tcPr>
          <w:p>
            <w:pPr>
              <w:pStyle w:val="12"/>
            </w:pPr>
            <w:r>
              <w:t>提高农村财会人员政策水平</w:t>
            </w:r>
          </w:p>
        </w:tc>
        <w:tc>
          <w:tcPr>
            <w:tcW w:w="2551" w:type="dxa"/>
            <w:vAlign w:val="center"/>
          </w:tcPr>
          <w:p>
            <w:pPr>
              <w:pStyle w:val="12"/>
            </w:pPr>
            <w:r>
              <w:t>明显提高</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社会效益指标</w:t>
            </w:r>
          </w:p>
        </w:tc>
        <w:tc>
          <w:tcPr>
            <w:tcW w:w="2835" w:type="dxa"/>
            <w:vAlign w:val="center"/>
          </w:tcPr>
          <w:p>
            <w:pPr>
              <w:pStyle w:val="12"/>
            </w:pPr>
            <w:r>
              <w:t>农村财会人员培训率</w:t>
            </w:r>
          </w:p>
        </w:tc>
        <w:tc>
          <w:tcPr>
            <w:tcW w:w="2835" w:type="dxa"/>
            <w:vAlign w:val="center"/>
          </w:tcPr>
          <w:p>
            <w:pPr>
              <w:pStyle w:val="12"/>
            </w:pPr>
            <w:r>
              <w:t>参加农村财会人员培训的人数占总财会人员的比率</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财会人员满意度</w:t>
            </w:r>
          </w:p>
        </w:tc>
        <w:tc>
          <w:tcPr>
            <w:tcW w:w="2835" w:type="dxa"/>
            <w:vAlign w:val="center"/>
          </w:tcPr>
          <w:p>
            <w:pPr>
              <w:pStyle w:val="12"/>
            </w:pPr>
            <w:r>
              <w:t>参加农村财会人员培训的满意度</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16、提前下达2021年省级农村综合改革转移支付预算绩效目标表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1.顺利开展一事一议的工作，做好补贴政策宣传工作；改善农村人居环境，完成一事一议项目所需经费。</w:t>
            </w:r>
          </w:p>
          <w:p>
            <w:pPr>
              <w:pStyle w:val="12"/>
            </w:pPr>
          </w:p>
          <w:p>
            <w:pPr>
              <w:pStyle w:val="12"/>
            </w:pP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完成农村综合改革工作的数量</w:t>
            </w:r>
          </w:p>
        </w:tc>
        <w:tc>
          <w:tcPr>
            <w:tcW w:w="2835" w:type="dxa"/>
            <w:vAlign w:val="center"/>
          </w:tcPr>
          <w:p>
            <w:pPr>
              <w:pStyle w:val="12"/>
            </w:pPr>
            <w:r>
              <w:t>完成农村综合改革工作的数量</w:t>
            </w:r>
          </w:p>
        </w:tc>
        <w:tc>
          <w:tcPr>
            <w:tcW w:w="2551" w:type="dxa"/>
            <w:vAlign w:val="center"/>
          </w:tcPr>
          <w:p>
            <w:pPr>
              <w:pStyle w:val="12"/>
            </w:pPr>
            <w:r>
              <w:t>≥36个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按上级要求时间完成一事一议工作</w:t>
            </w:r>
          </w:p>
        </w:tc>
        <w:tc>
          <w:tcPr>
            <w:tcW w:w="2835" w:type="dxa"/>
            <w:vAlign w:val="center"/>
          </w:tcPr>
          <w:p>
            <w:pPr>
              <w:pStyle w:val="12"/>
            </w:pPr>
            <w:r>
              <w:t>按实际要求完成一事一议工作</w:t>
            </w:r>
          </w:p>
        </w:tc>
        <w:tc>
          <w:tcPr>
            <w:tcW w:w="2551" w:type="dxa"/>
            <w:vAlign w:val="center"/>
          </w:tcPr>
          <w:p>
            <w:pPr>
              <w:pStyle w:val="12"/>
            </w:pPr>
            <w:r>
              <w:t>13个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≤75800元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调查中满意和比较满意的人数占调查人数的比例</w:t>
            </w:r>
          </w:p>
        </w:tc>
        <w:tc>
          <w:tcPr>
            <w:tcW w:w="2551" w:type="dxa"/>
            <w:vAlign w:val="center"/>
          </w:tcPr>
          <w:p>
            <w:pPr>
              <w:pStyle w:val="12"/>
            </w:pPr>
            <w:r>
              <w:t>100%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17、提前下达2022年省级农村综合改革转移支付预算-一事一议工作经费绩效目标表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1.完成农村综改工作。</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农村一事一议工作完成率</w:t>
            </w:r>
          </w:p>
        </w:tc>
        <w:tc>
          <w:tcPr>
            <w:tcW w:w="2835" w:type="dxa"/>
            <w:vAlign w:val="center"/>
          </w:tcPr>
          <w:p>
            <w:pPr>
              <w:pStyle w:val="12"/>
            </w:pPr>
            <w:r>
              <w:t>按相关要求是否保质保量完成一事一议工作</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系统软件运维数量（个）</w:t>
            </w:r>
          </w:p>
        </w:tc>
        <w:tc>
          <w:tcPr>
            <w:tcW w:w="2835" w:type="dxa"/>
            <w:vAlign w:val="center"/>
          </w:tcPr>
          <w:p>
            <w:pPr>
              <w:pStyle w:val="12"/>
            </w:pPr>
            <w:r>
              <w:t>系统软件运维数量（个）</w:t>
            </w:r>
          </w:p>
        </w:tc>
        <w:tc>
          <w:tcPr>
            <w:tcW w:w="2551" w:type="dxa"/>
            <w:vAlign w:val="center"/>
          </w:tcPr>
          <w:p>
            <w:pPr>
              <w:pStyle w:val="12"/>
            </w:pPr>
            <w:r>
              <w:t>1个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农村综改工作按时完成率</w:t>
            </w:r>
          </w:p>
        </w:tc>
        <w:tc>
          <w:tcPr>
            <w:tcW w:w="2835" w:type="dxa"/>
            <w:vAlign w:val="center"/>
          </w:tcPr>
          <w:p>
            <w:pPr>
              <w:pStyle w:val="12"/>
            </w:pPr>
            <w:r>
              <w:t>实际按时完成农村综改工作占农村综合改革工作总任务的比例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农村综改工作成本</w:t>
            </w:r>
          </w:p>
        </w:tc>
        <w:tc>
          <w:tcPr>
            <w:tcW w:w="2835" w:type="dxa"/>
            <w:vAlign w:val="center"/>
          </w:tcPr>
          <w:p>
            <w:pPr>
              <w:pStyle w:val="12"/>
            </w:pPr>
            <w:r>
              <w:t>农村综改工作成本</w:t>
            </w:r>
          </w:p>
        </w:tc>
        <w:tc>
          <w:tcPr>
            <w:tcW w:w="2551" w:type="dxa"/>
            <w:vAlign w:val="center"/>
          </w:tcPr>
          <w:p>
            <w:pPr>
              <w:pStyle w:val="12"/>
            </w:pPr>
            <w:r>
              <w:t>≤80000元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确保国家惠民政策落实，促进社会公平正义，改善民生</w:t>
            </w:r>
          </w:p>
        </w:tc>
        <w:tc>
          <w:tcPr>
            <w:tcW w:w="2835" w:type="dxa"/>
            <w:vAlign w:val="center"/>
          </w:tcPr>
          <w:p>
            <w:pPr>
              <w:pStyle w:val="12"/>
            </w:pPr>
            <w:r>
              <w:t>确保国家惠民政策落实，促进社会公平正义，改善民生</w:t>
            </w:r>
          </w:p>
        </w:tc>
        <w:tc>
          <w:tcPr>
            <w:tcW w:w="2551" w:type="dxa"/>
            <w:vAlign w:val="center"/>
          </w:tcPr>
          <w:p>
            <w:pPr>
              <w:pStyle w:val="12"/>
            </w:pPr>
            <w:r>
              <w:t>确保国家惠农政策落实到位</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项目建成效果</w:t>
            </w:r>
          </w:p>
        </w:tc>
        <w:tc>
          <w:tcPr>
            <w:tcW w:w="2835" w:type="dxa"/>
            <w:vAlign w:val="center"/>
          </w:tcPr>
          <w:p>
            <w:pPr>
              <w:pStyle w:val="12"/>
            </w:pPr>
            <w:r>
              <w:t>项目建成效果</w:t>
            </w:r>
          </w:p>
        </w:tc>
        <w:tc>
          <w:tcPr>
            <w:tcW w:w="2551" w:type="dxa"/>
            <w:vAlign w:val="center"/>
          </w:tcPr>
          <w:p>
            <w:pPr>
              <w:pStyle w:val="12"/>
            </w:pPr>
            <w:r>
              <w:t>项目建成后，明显改善农村人居环境</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受益群众满意度</w:t>
            </w:r>
          </w:p>
        </w:tc>
        <w:tc>
          <w:tcPr>
            <w:tcW w:w="2835" w:type="dxa"/>
            <w:vAlign w:val="center"/>
          </w:tcPr>
          <w:p>
            <w:pPr>
              <w:pStyle w:val="12"/>
            </w:pPr>
            <w:r>
              <w:t>调查中满意和比较满意的人数占调查人数的比例</w:t>
            </w:r>
          </w:p>
        </w:tc>
        <w:tc>
          <w:tcPr>
            <w:tcW w:w="2551" w:type="dxa"/>
            <w:vAlign w:val="center"/>
          </w:tcPr>
          <w:p>
            <w:pPr>
              <w:pStyle w:val="12"/>
            </w:pPr>
            <w:r>
              <w:t>≥90%</w:t>
            </w:r>
          </w:p>
        </w:tc>
        <w:tc>
          <w:tcPr>
            <w:tcW w:w="2268" w:type="dxa"/>
            <w:vAlign w:val="center"/>
          </w:tcPr>
          <w:p>
            <w:pPr>
              <w:pStyle w:val="12"/>
            </w:pPr>
            <w:r>
              <w:t>历史经验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18、信息化建设绩效目标表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1.构建县级网络监控中心，实现财政专网用户接入的精准化管理，构建安全监管中心，监控网络传播中可疑活动，定位恶意程序及未知风险</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监控财政网络用户数量</w:t>
            </w:r>
          </w:p>
        </w:tc>
        <w:tc>
          <w:tcPr>
            <w:tcW w:w="2835" w:type="dxa"/>
            <w:vAlign w:val="center"/>
          </w:tcPr>
          <w:p>
            <w:pPr>
              <w:pStyle w:val="12"/>
            </w:pPr>
            <w:r>
              <w:t>监控财政网络用户数量</w:t>
            </w:r>
          </w:p>
        </w:tc>
        <w:tc>
          <w:tcPr>
            <w:tcW w:w="2551" w:type="dxa"/>
            <w:vAlign w:val="center"/>
          </w:tcPr>
          <w:p>
            <w:pPr>
              <w:pStyle w:val="12"/>
            </w:pPr>
            <w:r>
              <w:t>≥200户</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购置监控平台的数量</w:t>
            </w:r>
          </w:p>
        </w:tc>
        <w:tc>
          <w:tcPr>
            <w:tcW w:w="2835" w:type="dxa"/>
            <w:vAlign w:val="center"/>
          </w:tcPr>
          <w:p>
            <w:pPr>
              <w:pStyle w:val="12"/>
            </w:pPr>
            <w:r>
              <w:t>购置监控平台的数量</w:t>
            </w:r>
          </w:p>
        </w:tc>
        <w:tc>
          <w:tcPr>
            <w:tcW w:w="2551" w:type="dxa"/>
            <w:vAlign w:val="center"/>
          </w:tcPr>
          <w:p>
            <w:pPr>
              <w:pStyle w:val="12"/>
            </w:pPr>
            <w:r>
              <w:t>2套</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及时发现未知风险率</w:t>
            </w:r>
          </w:p>
        </w:tc>
        <w:tc>
          <w:tcPr>
            <w:tcW w:w="2835" w:type="dxa"/>
            <w:vAlign w:val="center"/>
          </w:tcPr>
          <w:p>
            <w:pPr>
              <w:pStyle w:val="12"/>
            </w:pPr>
            <w:r>
              <w:t>及时发现未知风险的数量占总发现未知风险数量的比例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购置平台的成本</w:t>
            </w:r>
          </w:p>
        </w:tc>
        <w:tc>
          <w:tcPr>
            <w:tcW w:w="2835" w:type="dxa"/>
            <w:vAlign w:val="center"/>
          </w:tcPr>
          <w:p>
            <w:pPr>
              <w:pStyle w:val="12"/>
            </w:pPr>
            <w:r>
              <w:t>购置安全防护平台成本</w:t>
            </w:r>
          </w:p>
        </w:tc>
        <w:tc>
          <w:tcPr>
            <w:tcW w:w="2551" w:type="dxa"/>
            <w:vAlign w:val="center"/>
          </w:tcPr>
          <w:p>
            <w:pPr>
              <w:pStyle w:val="12"/>
            </w:pPr>
            <w:r>
              <w:t>≤50万元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财政网络用户监控率</w:t>
            </w:r>
          </w:p>
        </w:tc>
        <w:tc>
          <w:tcPr>
            <w:tcW w:w="2835" w:type="dxa"/>
            <w:vAlign w:val="center"/>
          </w:tcPr>
          <w:p>
            <w:pPr>
              <w:pStyle w:val="12"/>
            </w:pPr>
            <w:r>
              <w:t>实际监控的数量占应监控数量的比例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提升信息化建设质量</w:t>
            </w:r>
          </w:p>
        </w:tc>
        <w:tc>
          <w:tcPr>
            <w:tcW w:w="2835" w:type="dxa"/>
            <w:vAlign w:val="center"/>
          </w:tcPr>
          <w:p>
            <w:pPr>
              <w:pStyle w:val="12"/>
            </w:pPr>
            <w:r>
              <w:t>提升网络运行的监控，实现精准确定网络故障点</w:t>
            </w:r>
          </w:p>
        </w:tc>
        <w:tc>
          <w:tcPr>
            <w:tcW w:w="2551" w:type="dxa"/>
            <w:vAlign w:val="center"/>
          </w:tcPr>
          <w:p>
            <w:pPr>
              <w:pStyle w:val="12"/>
            </w:pPr>
            <w:r>
              <w:t>较以前提升</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网络安全稳定运行情况</w:t>
            </w:r>
          </w:p>
        </w:tc>
        <w:tc>
          <w:tcPr>
            <w:tcW w:w="2835" w:type="dxa"/>
            <w:vAlign w:val="center"/>
          </w:tcPr>
          <w:p>
            <w:pPr>
              <w:pStyle w:val="12"/>
            </w:pPr>
            <w:r>
              <w:t>保障网络安全稳定运行</w:t>
            </w:r>
          </w:p>
        </w:tc>
        <w:tc>
          <w:tcPr>
            <w:tcW w:w="2551" w:type="dxa"/>
            <w:vAlign w:val="center"/>
          </w:tcPr>
          <w:p>
            <w:pPr>
              <w:pStyle w:val="12"/>
            </w:pPr>
            <w:r>
              <w:t>长期安全</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服务对象满意占总调查数量的比例</w:t>
            </w:r>
          </w:p>
        </w:tc>
        <w:tc>
          <w:tcPr>
            <w:tcW w:w="2551" w:type="dxa"/>
            <w:vAlign w:val="center"/>
          </w:tcPr>
          <w:p>
            <w:pPr>
              <w:pStyle w:val="12"/>
            </w:pPr>
            <w:r>
              <w:t>≥95%</w:t>
            </w:r>
          </w:p>
        </w:tc>
        <w:tc>
          <w:tcPr>
            <w:tcW w:w="2268" w:type="dxa"/>
            <w:vAlign w:val="center"/>
          </w:tcPr>
          <w:p>
            <w:pPr>
              <w:pStyle w:val="12"/>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19、预算绩效管理业务费绩效目标表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1.事前绩效评估2个项目，事后绩效评价5个项目，组织业务部门培训1次，确定对标对象外出进行沟通学习1次，提高财政资金使用效率，提升预算绩效管理水平</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组织项目事前绩效评估的数量</w:t>
            </w:r>
          </w:p>
        </w:tc>
        <w:tc>
          <w:tcPr>
            <w:tcW w:w="2835" w:type="dxa"/>
            <w:vAlign w:val="center"/>
          </w:tcPr>
          <w:p>
            <w:pPr>
              <w:pStyle w:val="12"/>
            </w:pPr>
            <w:r>
              <w:t>按计划组织对使用区级资金项目做事前绩效评估</w:t>
            </w:r>
          </w:p>
        </w:tc>
        <w:tc>
          <w:tcPr>
            <w:tcW w:w="2551" w:type="dxa"/>
            <w:vAlign w:val="center"/>
          </w:tcPr>
          <w:p>
            <w:pPr>
              <w:pStyle w:val="12"/>
            </w:pPr>
            <w:r>
              <w:t>2个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组织项目事后评价的数量</w:t>
            </w:r>
          </w:p>
        </w:tc>
        <w:tc>
          <w:tcPr>
            <w:tcW w:w="2835" w:type="dxa"/>
            <w:vAlign w:val="center"/>
          </w:tcPr>
          <w:p>
            <w:pPr>
              <w:pStyle w:val="12"/>
            </w:pPr>
            <w:r>
              <w:t>按计划组织对使用区级资金项目做事后绩效评价</w:t>
            </w:r>
          </w:p>
        </w:tc>
        <w:tc>
          <w:tcPr>
            <w:tcW w:w="2551" w:type="dxa"/>
            <w:vAlign w:val="center"/>
          </w:tcPr>
          <w:p>
            <w:pPr>
              <w:pStyle w:val="12"/>
            </w:pPr>
            <w:r>
              <w:t>5个</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组织业务部门培训次数</w:t>
            </w:r>
          </w:p>
        </w:tc>
        <w:tc>
          <w:tcPr>
            <w:tcW w:w="2835" w:type="dxa"/>
            <w:vAlign w:val="center"/>
          </w:tcPr>
          <w:p>
            <w:pPr>
              <w:pStyle w:val="12"/>
            </w:pPr>
            <w:r>
              <w:t>组织业务部门培训次数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对标沟通学习次数</w:t>
            </w:r>
          </w:p>
        </w:tc>
        <w:tc>
          <w:tcPr>
            <w:tcW w:w="2835" w:type="dxa"/>
            <w:vAlign w:val="center"/>
          </w:tcPr>
          <w:p>
            <w:pPr>
              <w:pStyle w:val="12"/>
            </w:pPr>
            <w:r>
              <w:t>对标沟通学习次数</w:t>
            </w:r>
          </w:p>
        </w:tc>
        <w:tc>
          <w:tcPr>
            <w:tcW w:w="2551" w:type="dxa"/>
            <w:vAlign w:val="center"/>
          </w:tcPr>
          <w:p>
            <w:pPr>
              <w:pStyle w:val="12"/>
            </w:pPr>
            <w:r>
              <w:t>1次</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问题整改率</w:t>
            </w:r>
          </w:p>
        </w:tc>
        <w:tc>
          <w:tcPr>
            <w:tcW w:w="2835" w:type="dxa"/>
            <w:vAlign w:val="center"/>
          </w:tcPr>
          <w:p>
            <w:pPr>
              <w:pStyle w:val="12"/>
            </w:pPr>
            <w:r>
              <w:t>已整改问题的数量占发现问题数量的比例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各项工作完成率</w:t>
            </w:r>
          </w:p>
        </w:tc>
        <w:tc>
          <w:tcPr>
            <w:tcW w:w="2835" w:type="dxa"/>
            <w:vAlign w:val="center"/>
          </w:tcPr>
          <w:p>
            <w:pPr>
              <w:pStyle w:val="12"/>
            </w:pPr>
            <w:r>
              <w:t>实际完成的工作占计划工作的比例</w:t>
            </w:r>
          </w:p>
        </w:tc>
        <w:tc>
          <w:tcPr>
            <w:tcW w:w="2551" w:type="dxa"/>
            <w:vAlign w:val="center"/>
          </w:tcPr>
          <w:p>
            <w:pPr>
              <w:pStyle w:val="12"/>
            </w:pPr>
            <w:r>
              <w:t>≥90%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各项工作按时完成率</w:t>
            </w:r>
          </w:p>
        </w:tc>
        <w:tc>
          <w:tcPr>
            <w:tcW w:w="2835" w:type="dxa"/>
            <w:vAlign w:val="center"/>
          </w:tcPr>
          <w:p>
            <w:pPr>
              <w:pStyle w:val="12"/>
            </w:pPr>
            <w:r>
              <w:t>实际按时完成的工作数量占计划工作的比例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预算绩效管理成本</w:t>
            </w:r>
          </w:p>
        </w:tc>
        <w:tc>
          <w:tcPr>
            <w:tcW w:w="2835" w:type="dxa"/>
            <w:vAlign w:val="center"/>
          </w:tcPr>
          <w:p>
            <w:pPr>
              <w:pStyle w:val="12"/>
            </w:pPr>
            <w:r>
              <w:t>财政投入水平</w:t>
            </w:r>
          </w:p>
        </w:tc>
        <w:tc>
          <w:tcPr>
            <w:tcW w:w="2551" w:type="dxa"/>
            <w:vAlign w:val="center"/>
          </w:tcPr>
          <w:p>
            <w:pPr>
              <w:pStyle w:val="12"/>
            </w:pPr>
            <w:r>
              <w:t>15万元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问题整改落实率</w:t>
            </w:r>
          </w:p>
        </w:tc>
        <w:tc>
          <w:tcPr>
            <w:tcW w:w="2835" w:type="dxa"/>
            <w:vAlign w:val="center"/>
          </w:tcPr>
          <w:p>
            <w:pPr>
              <w:pStyle w:val="12"/>
            </w:pPr>
            <w:r>
              <w:t>反映发现问题后整改落实情况</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预算绩效管理水平水平</w:t>
            </w:r>
          </w:p>
        </w:tc>
        <w:tc>
          <w:tcPr>
            <w:tcW w:w="2835" w:type="dxa"/>
            <w:vAlign w:val="center"/>
          </w:tcPr>
          <w:p>
            <w:pPr>
              <w:pStyle w:val="12"/>
            </w:pPr>
            <w:r>
              <w:t>反映预算绩效管理水平提高的程度</w:t>
            </w:r>
          </w:p>
        </w:tc>
        <w:tc>
          <w:tcPr>
            <w:tcW w:w="2551" w:type="dxa"/>
            <w:vAlign w:val="center"/>
          </w:tcPr>
          <w:p>
            <w:pPr>
              <w:pStyle w:val="12"/>
            </w:pPr>
            <w:r>
              <w:t>较以前年度显著提高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办理单位满意度</w:t>
            </w:r>
          </w:p>
        </w:tc>
        <w:tc>
          <w:tcPr>
            <w:tcW w:w="2835" w:type="dxa"/>
            <w:vAlign w:val="center"/>
          </w:tcPr>
          <w:p>
            <w:pPr>
              <w:pStyle w:val="12"/>
            </w:pPr>
            <w:r>
              <w:t>办理单位满意度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20、政府财务报告及内控制度编制委托业务费绩效目标表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1.提高我区个预算部门及政府财务报告编制的准确性、完整性和规范性，合理保证政府财务报告的可靠性，保证单位经济活动的合法合规。</w:t>
            </w:r>
          </w:p>
          <w:p>
            <w:pPr>
              <w:pStyle w:val="12"/>
            </w:pP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政府报告及内控制度数量完成率</w:t>
            </w:r>
          </w:p>
        </w:tc>
        <w:tc>
          <w:tcPr>
            <w:tcW w:w="2835" w:type="dxa"/>
            <w:vAlign w:val="center"/>
          </w:tcPr>
          <w:p>
            <w:pPr>
              <w:pStyle w:val="12"/>
            </w:pPr>
            <w:r>
              <w:t>按预定数量完成的比例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质量指标</w:t>
            </w:r>
          </w:p>
        </w:tc>
        <w:tc>
          <w:tcPr>
            <w:tcW w:w="2835" w:type="dxa"/>
            <w:vAlign w:val="center"/>
          </w:tcPr>
          <w:p>
            <w:pPr>
              <w:pStyle w:val="12"/>
            </w:pPr>
            <w:r>
              <w:t>政府报告优良率</w:t>
            </w:r>
          </w:p>
        </w:tc>
        <w:tc>
          <w:tcPr>
            <w:tcW w:w="2835" w:type="dxa"/>
            <w:vAlign w:val="center"/>
          </w:tcPr>
          <w:p>
            <w:pPr>
              <w:pStyle w:val="12"/>
            </w:pPr>
            <w:r>
              <w:t>省厅鉴定财务报告审核通过数量占总数量的比例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政府报告及内控制度完成及时率</w:t>
            </w:r>
          </w:p>
        </w:tc>
        <w:tc>
          <w:tcPr>
            <w:tcW w:w="2835" w:type="dxa"/>
            <w:vAlign w:val="center"/>
          </w:tcPr>
          <w:p>
            <w:pPr>
              <w:pStyle w:val="12"/>
            </w:pPr>
            <w:r>
              <w:t>按预定进度完成的比例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编制成本</w:t>
            </w:r>
          </w:p>
        </w:tc>
        <w:tc>
          <w:tcPr>
            <w:tcW w:w="2835" w:type="dxa"/>
            <w:vAlign w:val="center"/>
          </w:tcPr>
          <w:p>
            <w:pPr>
              <w:pStyle w:val="12"/>
            </w:pPr>
            <w:r>
              <w:t>财务报告及内控制度编制所需成本</w:t>
            </w:r>
          </w:p>
        </w:tc>
        <w:tc>
          <w:tcPr>
            <w:tcW w:w="2551" w:type="dxa"/>
            <w:vAlign w:val="center"/>
          </w:tcPr>
          <w:p>
            <w:pPr>
              <w:pStyle w:val="12"/>
            </w:pPr>
            <w:r>
              <w:t>5万元</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社会效益指标</w:t>
            </w:r>
          </w:p>
        </w:tc>
        <w:tc>
          <w:tcPr>
            <w:tcW w:w="2835" w:type="dxa"/>
            <w:vAlign w:val="center"/>
          </w:tcPr>
          <w:p>
            <w:pPr>
              <w:pStyle w:val="12"/>
            </w:pPr>
            <w:r>
              <w:t>政府财务报告完成率</w:t>
            </w:r>
          </w:p>
        </w:tc>
        <w:tc>
          <w:tcPr>
            <w:tcW w:w="2835" w:type="dxa"/>
            <w:vAlign w:val="center"/>
          </w:tcPr>
          <w:p>
            <w:pPr>
              <w:pStyle w:val="12"/>
            </w:pPr>
            <w:r>
              <w:t>财务报告完成数量占总数量的比例</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政府财务报告及内控制度落实率</w:t>
            </w:r>
          </w:p>
        </w:tc>
        <w:tc>
          <w:tcPr>
            <w:tcW w:w="2835" w:type="dxa"/>
            <w:vAlign w:val="center"/>
          </w:tcPr>
          <w:p>
            <w:pPr>
              <w:pStyle w:val="12"/>
            </w:pPr>
            <w:r>
              <w:t>政府财务报告及内控制度落实的情况，实施对本单位带来的可持续影响</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经济效益指标</w:t>
            </w:r>
          </w:p>
        </w:tc>
        <w:tc>
          <w:tcPr>
            <w:tcW w:w="2835" w:type="dxa"/>
            <w:vAlign w:val="center"/>
          </w:tcPr>
          <w:p>
            <w:pPr>
              <w:pStyle w:val="12"/>
            </w:pPr>
            <w:r>
              <w:t>提高资金使用的有效率</w:t>
            </w:r>
          </w:p>
        </w:tc>
        <w:tc>
          <w:tcPr>
            <w:tcW w:w="2835" w:type="dxa"/>
            <w:vAlign w:val="center"/>
          </w:tcPr>
          <w:p>
            <w:pPr>
              <w:pStyle w:val="12"/>
            </w:pPr>
            <w:r>
              <w:t>成本节约</w:t>
            </w:r>
          </w:p>
        </w:tc>
        <w:tc>
          <w:tcPr>
            <w:tcW w:w="2551" w:type="dxa"/>
            <w:vAlign w:val="center"/>
          </w:tcPr>
          <w:p>
            <w:pPr>
              <w:pStyle w:val="12"/>
            </w:pPr>
            <w:r>
              <w:t>100%</w:t>
            </w:r>
          </w:p>
        </w:tc>
        <w:tc>
          <w:tcPr>
            <w:tcW w:w="2268" w:type="dxa"/>
            <w:vAlign w:val="center"/>
          </w:tcPr>
          <w:p>
            <w:pPr>
              <w:pStyle w:val="12"/>
            </w:pPr>
            <w:r>
              <w:t>冀财库【2019】24号文《政府财务报告编制试点工作实施方案》，河北省财政厅《关于全面推进行政事业单位内部控制建设的指导意见》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对编制的财务报告质量方面的满意度</w:t>
            </w:r>
          </w:p>
        </w:tc>
        <w:tc>
          <w:tcPr>
            <w:tcW w:w="2551" w:type="dxa"/>
            <w:vAlign w:val="center"/>
          </w:tcPr>
          <w:p>
            <w:pPr>
              <w:pStyle w:val="12"/>
            </w:pPr>
            <w:r>
              <w:t>≥90%</w:t>
            </w:r>
          </w:p>
        </w:tc>
        <w:tc>
          <w:tcPr>
            <w:tcW w:w="2268" w:type="dxa"/>
            <w:vAlign w:val="center"/>
          </w:tcPr>
          <w:p>
            <w:pPr>
              <w:pStyle w:val="12"/>
            </w:pPr>
            <w:r>
              <w:t>冀财库【2019】24号文《政府财务报告编制试点工作实施方案》，河北省财政厅《关于全面推进行政事业单位内部控制建设的指导意见》</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21、政府购买投资评审服务项目绩效目标表</w:t>
      </w:r>
    </w:p>
    <w:tbl>
      <w:tblPr>
        <w:tblStyle w:val="5"/>
        <w:tblW w:w="14173" w:type="dxa"/>
        <w:jc w:val="center"/>
        <w:tblInd w:w="0" w:type="dxa"/>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PrEx>
        <w:trPr>
          <w:trHeight w:val="397" w:hRule="atLeast"/>
          <w:jc w:val="center"/>
        </w:trPr>
        <w:tc>
          <w:tcPr>
            <w:tcW w:w="1417" w:type="dxa"/>
            <w:tcBorders>
              <w:bottom w:val="single" w:color="FFFFFF" w:sz="6" w:space="0"/>
            </w:tcBorders>
            <w:vAlign w:val="center"/>
          </w:tcPr>
          <w:p>
            <w:pPr>
              <w:pStyle w:val="10"/>
            </w:pPr>
            <w:r>
              <w:t>绩效目标</w:t>
            </w:r>
          </w:p>
        </w:tc>
        <w:tc>
          <w:tcPr>
            <w:tcW w:w="12756" w:type="dxa"/>
            <w:tcBorders>
              <w:bottom w:val="single" w:color="FFFFFF" w:sz="6" w:space="0"/>
            </w:tcBorders>
            <w:vAlign w:val="center"/>
          </w:tcPr>
          <w:p>
            <w:pPr>
              <w:pStyle w:val="12"/>
            </w:pPr>
            <w:r>
              <w:t>1.按送审项目数量，及时完成评审任务，节约财政资金，避免经济损失</w:t>
            </w:r>
          </w:p>
        </w:tc>
      </w:tr>
    </w:tbl>
    <w:p>
      <w:pPr>
        <w:spacing w:line="2" w:lineRule="exact"/>
        <w:jc w:val="center"/>
      </w:pPr>
    </w:p>
    <w:tbl>
      <w:tblPr>
        <w:tblStyle w:val="5"/>
        <w:tblW w:w="1417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417"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2835" w:type="dxa"/>
            <w:vAlign w:val="center"/>
          </w:tcPr>
          <w:p>
            <w:pPr>
              <w:pStyle w:val="10"/>
            </w:pPr>
            <w:r>
              <w:t>绩效指标描述</w:t>
            </w:r>
          </w:p>
        </w:tc>
        <w:tc>
          <w:tcPr>
            <w:tcW w:w="2551" w:type="dxa"/>
            <w:vAlign w:val="center"/>
          </w:tcPr>
          <w:p>
            <w:pPr>
              <w:pStyle w:val="10"/>
            </w:pPr>
            <w:r>
              <w:t>指标值</w:t>
            </w:r>
          </w:p>
        </w:tc>
        <w:tc>
          <w:tcPr>
            <w:tcW w:w="2268"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产出指标</w:t>
            </w:r>
          </w:p>
        </w:tc>
        <w:tc>
          <w:tcPr>
            <w:tcW w:w="2268" w:type="dxa"/>
            <w:vAlign w:val="center"/>
          </w:tcPr>
          <w:p>
            <w:pPr>
              <w:pStyle w:val="12"/>
            </w:pPr>
            <w:r>
              <w:t>质量指标</w:t>
            </w:r>
          </w:p>
        </w:tc>
        <w:tc>
          <w:tcPr>
            <w:tcW w:w="2835" w:type="dxa"/>
            <w:vAlign w:val="center"/>
          </w:tcPr>
          <w:p>
            <w:pPr>
              <w:pStyle w:val="12"/>
            </w:pPr>
            <w:r>
              <w:t>送审项目完成率</w:t>
            </w:r>
          </w:p>
        </w:tc>
        <w:tc>
          <w:tcPr>
            <w:tcW w:w="2835" w:type="dxa"/>
            <w:vAlign w:val="center"/>
          </w:tcPr>
          <w:p>
            <w:pPr>
              <w:pStyle w:val="12"/>
            </w:pPr>
            <w:r>
              <w:t>出具报告占报送比例</w:t>
            </w:r>
          </w:p>
        </w:tc>
        <w:tc>
          <w:tcPr>
            <w:tcW w:w="2551" w:type="dxa"/>
            <w:vAlign w:val="center"/>
          </w:tcPr>
          <w:p>
            <w:pPr>
              <w:pStyle w:val="12"/>
            </w:pPr>
            <w:r>
              <w:t>≥95%</w:t>
            </w:r>
          </w:p>
        </w:tc>
        <w:tc>
          <w:tcPr>
            <w:tcW w:w="2268" w:type="dxa"/>
            <w:vAlign w:val="center"/>
          </w:tcPr>
          <w:p>
            <w:pPr>
              <w:pStyle w:val="12"/>
            </w:pPr>
            <w:r>
              <w:t>往年统计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数量指标</w:t>
            </w:r>
          </w:p>
        </w:tc>
        <w:tc>
          <w:tcPr>
            <w:tcW w:w="2835" w:type="dxa"/>
            <w:vAlign w:val="center"/>
          </w:tcPr>
          <w:p>
            <w:pPr>
              <w:pStyle w:val="12"/>
            </w:pPr>
            <w:r>
              <w:t>评审项目数量</w:t>
            </w:r>
          </w:p>
        </w:tc>
        <w:tc>
          <w:tcPr>
            <w:tcW w:w="2835" w:type="dxa"/>
            <w:vAlign w:val="center"/>
          </w:tcPr>
          <w:p>
            <w:pPr>
              <w:pStyle w:val="12"/>
            </w:pPr>
            <w:r>
              <w:t>计划评审项目数量</w:t>
            </w:r>
          </w:p>
        </w:tc>
        <w:tc>
          <w:tcPr>
            <w:tcW w:w="2551" w:type="dxa"/>
            <w:vAlign w:val="center"/>
          </w:tcPr>
          <w:p>
            <w:pPr>
              <w:pStyle w:val="12"/>
            </w:pPr>
            <w:r>
              <w:t>≥100%</w:t>
            </w:r>
          </w:p>
        </w:tc>
        <w:tc>
          <w:tcPr>
            <w:tcW w:w="2268" w:type="dxa"/>
            <w:vAlign w:val="center"/>
          </w:tcPr>
          <w:p>
            <w:pPr>
              <w:pStyle w:val="12"/>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时效指标</w:t>
            </w:r>
          </w:p>
        </w:tc>
        <w:tc>
          <w:tcPr>
            <w:tcW w:w="2835" w:type="dxa"/>
            <w:vAlign w:val="center"/>
          </w:tcPr>
          <w:p>
            <w:pPr>
              <w:pStyle w:val="12"/>
            </w:pPr>
            <w:r>
              <w:t>各项工作按时完成率</w:t>
            </w:r>
          </w:p>
        </w:tc>
        <w:tc>
          <w:tcPr>
            <w:tcW w:w="2835" w:type="dxa"/>
            <w:vAlign w:val="center"/>
          </w:tcPr>
          <w:p>
            <w:pPr>
              <w:pStyle w:val="12"/>
            </w:pPr>
            <w:r>
              <w:t>实际按时完成的工作数量占计划工作的比例</w:t>
            </w:r>
          </w:p>
        </w:tc>
        <w:tc>
          <w:tcPr>
            <w:tcW w:w="2551" w:type="dxa"/>
            <w:vAlign w:val="center"/>
          </w:tcPr>
          <w:p>
            <w:pPr>
              <w:pStyle w:val="12"/>
            </w:pPr>
            <w:r>
              <w:t>100%</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成本指标</w:t>
            </w:r>
          </w:p>
        </w:tc>
        <w:tc>
          <w:tcPr>
            <w:tcW w:w="2835" w:type="dxa"/>
            <w:vAlign w:val="center"/>
          </w:tcPr>
          <w:p>
            <w:pPr>
              <w:pStyle w:val="12"/>
            </w:pPr>
            <w:r>
              <w:t>委托评审费用</w:t>
            </w:r>
          </w:p>
        </w:tc>
        <w:tc>
          <w:tcPr>
            <w:tcW w:w="2835" w:type="dxa"/>
            <w:vAlign w:val="center"/>
          </w:tcPr>
          <w:p>
            <w:pPr>
              <w:pStyle w:val="12"/>
            </w:pPr>
            <w:r>
              <w:t>聘请第三方机构评审费</w:t>
            </w:r>
          </w:p>
        </w:tc>
        <w:tc>
          <w:tcPr>
            <w:tcW w:w="2551" w:type="dxa"/>
            <w:vAlign w:val="center"/>
          </w:tcPr>
          <w:p>
            <w:pPr>
              <w:pStyle w:val="12"/>
            </w:pPr>
            <w:r>
              <w:t>200万元</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restart"/>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节约金额比例</w:t>
            </w:r>
          </w:p>
        </w:tc>
        <w:tc>
          <w:tcPr>
            <w:tcW w:w="2835" w:type="dxa"/>
            <w:vAlign w:val="center"/>
          </w:tcPr>
          <w:p>
            <w:pPr>
              <w:pStyle w:val="12"/>
            </w:pPr>
            <w:r>
              <w:t>节约金额占送审金额比例</w:t>
            </w:r>
          </w:p>
        </w:tc>
        <w:tc>
          <w:tcPr>
            <w:tcW w:w="2551" w:type="dxa"/>
            <w:vAlign w:val="center"/>
          </w:tcPr>
          <w:p>
            <w:pPr>
              <w:pStyle w:val="12"/>
            </w:pPr>
            <w:r>
              <w:t>≥15%</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Merge w:val="continue"/>
            <w:vAlign w:val="center"/>
          </w:tcPr>
          <w:p>
            <w:pPr/>
          </w:p>
        </w:tc>
        <w:tc>
          <w:tcPr>
            <w:tcW w:w="2268" w:type="dxa"/>
            <w:vAlign w:val="center"/>
          </w:tcPr>
          <w:p>
            <w:pPr>
              <w:pStyle w:val="12"/>
            </w:pPr>
            <w:r>
              <w:t>可持续影响指标</w:t>
            </w:r>
          </w:p>
        </w:tc>
        <w:tc>
          <w:tcPr>
            <w:tcW w:w="2835" w:type="dxa"/>
            <w:vAlign w:val="center"/>
          </w:tcPr>
          <w:p>
            <w:pPr>
              <w:pStyle w:val="12"/>
            </w:pPr>
            <w:r>
              <w:t>财政评审管理水平</w:t>
            </w:r>
          </w:p>
        </w:tc>
        <w:tc>
          <w:tcPr>
            <w:tcW w:w="2835" w:type="dxa"/>
            <w:vAlign w:val="center"/>
          </w:tcPr>
          <w:p>
            <w:pPr>
              <w:pStyle w:val="12"/>
            </w:pPr>
            <w:r>
              <w:t>反映财政评审管理水平提高的程度</w:t>
            </w:r>
          </w:p>
        </w:tc>
        <w:tc>
          <w:tcPr>
            <w:tcW w:w="2551" w:type="dxa"/>
            <w:vAlign w:val="center"/>
          </w:tcPr>
          <w:p>
            <w:pPr>
              <w:pStyle w:val="12"/>
            </w:pPr>
            <w:r>
              <w:t>较以前年度显著提高</w:t>
            </w:r>
          </w:p>
        </w:tc>
        <w:tc>
          <w:tcPr>
            <w:tcW w:w="2268"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417"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服务对象满意度</w:t>
            </w:r>
          </w:p>
        </w:tc>
        <w:tc>
          <w:tcPr>
            <w:tcW w:w="2835" w:type="dxa"/>
            <w:vAlign w:val="center"/>
          </w:tcPr>
          <w:p>
            <w:pPr>
              <w:pStyle w:val="12"/>
            </w:pPr>
            <w:r>
              <w:t>服务对象满意度</w:t>
            </w:r>
          </w:p>
        </w:tc>
        <w:tc>
          <w:tcPr>
            <w:tcW w:w="2551" w:type="dxa"/>
            <w:vAlign w:val="center"/>
          </w:tcPr>
          <w:p>
            <w:pPr>
              <w:pStyle w:val="12"/>
            </w:pPr>
            <w:r>
              <w:t>≥90%</w:t>
            </w:r>
          </w:p>
        </w:tc>
        <w:tc>
          <w:tcPr>
            <w:tcW w:w="2268" w:type="dxa"/>
            <w:vAlign w:val="center"/>
          </w:tcPr>
          <w:p>
            <w:pPr>
              <w:pStyle w:val="12"/>
            </w:pPr>
            <w:r>
              <w:t>工作计划</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pPr>
      <w:r>
        <w:rPr>
          <w:rFonts w:eastAsia="方正仿宋_GBK"/>
          <w:color w:val="000000"/>
          <w:sz w:val="28"/>
        </w:rPr>
        <w:t>2023年，石家庄市鹿泉区财政局本级安排政府采购预算150.00万元。具体内容见下表。</w:t>
      </w:r>
    </w:p>
    <w:p>
      <w:pPr>
        <w:jc w:val="center"/>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8676" w:type="dxa"/>
            <w:gridSpan w:val="9"/>
            <w:tcBorders>
              <w:top w:val="single" w:color="FFFFFF" w:sz="6" w:space="0"/>
              <w:left w:val="single" w:color="FFFFFF" w:sz="6" w:space="0"/>
              <w:right w:val="single" w:color="FFFFFF" w:sz="6" w:space="0"/>
            </w:tcBorders>
            <w:vAlign w:val="center"/>
          </w:tcPr>
          <w:p>
            <w:pPr>
              <w:pStyle w:val="24"/>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2023年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vAlign w:val="top"/>
          </w:tcPr>
          <w:p>
            <w:pPr/>
          </w:p>
        </w:tc>
        <w:tc>
          <w:tcPr>
            <w:tcW w:w="1134" w:type="dxa"/>
            <w:vMerge w:val="continue"/>
            <w:vAlign w:val="top"/>
          </w:tcPr>
          <w:p>
            <w:pPr/>
          </w:p>
        </w:tc>
        <w:tc>
          <w:tcPr>
            <w:tcW w:w="709" w:type="dxa"/>
            <w:vMerge w:val="continue"/>
            <w:vAlign w:val="top"/>
          </w:tcPr>
          <w:p>
            <w:pPr/>
          </w:p>
        </w:tc>
        <w:tc>
          <w:tcPr>
            <w:tcW w:w="850" w:type="dxa"/>
            <w:vMerge w:val="continue"/>
            <w:vAlign w:val="top"/>
          </w:tcPr>
          <w:p>
            <w:pPr/>
          </w:p>
        </w:tc>
        <w:tc>
          <w:tcPr>
            <w:tcW w:w="850" w:type="dxa"/>
            <w:vMerge w:val="continue"/>
            <w:vAlign w:val="top"/>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    款结转</w:t>
            </w:r>
          </w:p>
        </w:tc>
        <w:tc>
          <w:tcPr>
            <w:tcW w:w="964" w:type="dxa"/>
            <w:vAlign w:val="center"/>
          </w:tcPr>
          <w:p>
            <w:pPr>
              <w:pStyle w:val="10"/>
            </w:pPr>
            <w:r>
              <w:t>非财政    拨款结    转结余</w:t>
            </w:r>
          </w:p>
        </w:tc>
        <w:tc>
          <w:tcPr>
            <w:tcW w:w="964" w:type="dxa"/>
            <w:vMerge w:val="continue"/>
            <w:vAlign w:val="top"/>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合  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4"/>
            </w:pPr>
            <w:r>
              <w:t>石家庄市鹿泉区财政局本级小计</w:t>
            </w:r>
          </w:p>
        </w:tc>
        <w:tc>
          <w:tcPr>
            <w:tcW w:w="964" w:type="dxa"/>
            <w:vAlign w:val="center"/>
          </w:tcPr>
          <w:p>
            <w:pPr>
              <w:pStyle w:val="15"/>
            </w:pPr>
          </w:p>
        </w:tc>
        <w:tc>
          <w:tcPr>
            <w:tcW w:w="1134" w:type="dxa"/>
            <w:vAlign w:val="center"/>
          </w:tcPr>
          <w:p>
            <w:pPr>
              <w:pStyle w:val="16"/>
            </w:pPr>
          </w:p>
        </w:tc>
        <w:tc>
          <w:tcPr>
            <w:tcW w:w="1134" w:type="dxa"/>
            <w:vAlign w:val="center"/>
          </w:tcPr>
          <w:p>
            <w:pPr>
              <w:pStyle w:val="16"/>
            </w:pPr>
          </w:p>
        </w:tc>
        <w:tc>
          <w:tcPr>
            <w:tcW w:w="709" w:type="dxa"/>
            <w:vAlign w:val="center"/>
          </w:tcPr>
          <w:p>
            <w:pPr>
              <w:pStyle w:val="14"/>
            </w:pPr>
          </w:p>
        </w:tc>
        <w:tc>
          <w:tcPr>
            <w:tcW w:w="850" w:type="dxa"/>
            <w:vAlign w:val="center"/>
          </w:tcPr>
          <w:p>
            <w:pPr>
              <w:pStyle w:val="15"/>
            </w:pPr>
          </w:p>
        </w:tc>
        <w:tc>
          <w:tcPr>
            <w:tcW w:w="850" w:type="dxa"/>
            <w:vAlign w:val="center"/>
          </w:tcPr>
          <w:p>
            <w:pPr>
              <w:pStyle w:val="15"/>
            </w:pPr>
          </w:p>
        </w:tc>
        <w:tc>
          <w:tcPr>
            <w:tcW w:w="964" w:type="dxa"/>
            <w:vAlign w:val="center"/>
          </w:tcPr>
          <w:p>
            <w:pPr>
              <w:pStyle w:val="15"/>
            </w:pPr>
            <w:r>
              <w:t>150.00</w:t>
            </w:r>
          </w:p>
        </w:tc>
        <w:tc>
          <w:tcPr>
            <w:tcW w:w="964" w:type="dxa"/>
            <w:vAlign w:val="center"/>
          </w:tcPr>
          <w:p>
            <w:pPr>
              <w:pStyle w:val="15"/>
            </w:pPr>
            <w:r>
              <w:t>150.00</w:t>
            </w: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c>
          <w:tcPr>
            <w:tcW w:w="96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台式计算机</w:t>
            </w:r>
          </w:p>
        </w:tc>
        <w:tc>
          <w:tcPr>
            <w:tcW w:w="1134" w:type="dxa"/>
            <w:vAlign w:val="center"/>
          </w:tcPr>
          <w:p>
            <w:pPr>
              <w:pStyle w:val="12"/>
            </w:pPr>
            <w:r>
              <w:t>A02010105</w:t>
            </w:r>
          </w:p>
        </w:tc>
        <w:tc>
          <w:tcPr>
            <w:tcW w:w="709" w:type="dxa"/>
            <w:vAlign w:val="center"/>
          </w:tcPr>
          <w:p>
            <w:pPr>
              <w:pStyle w:val="13"/>
            </w:pPr>
            <w:r>
              <w:t>台</w:t>
            </w:r>
          </w:p>
        </w:tc>
        <w:tc>
          <w:tcPr>
            <w:tcW w:w="850" w:type="dxa"/>
            <w:vAlign w:val="center"/>
          </w:tcPr>
          <w:p>
            <w:pPr>
              <w:pStyle w:val="11"/>
            </w:pPr>
            <w:r>
              <w:t>10</w:t>
            </w:r>
          </w:p>
        </w:tc>
        <w:tc>
          <w:tcPr>
            <w:tcW w:w="850" w:type="dxa"/>
            <w:vAlign w:val="center"/>
          </w:tcPr>
          <w:p>
            <w:pPr>
              <w:pStyle w:val="11"/>
            </w:pPr>
            <w:r>
              <w:t>0.50</w:t>
            </w:r>
          </w:p>
        </w:tc>
        <w:tc>
          <w:tcPr>
            <w:tcW w:w="964" w:type="dxa"/>
            <w:vAlign w:val="center"/>
          </w:tcPr>
          <w:p>
            <w:pPr>
              <w:pStyle w:val="11"/>
            </w:pPr>
            <w:r>
              <w:t>5.00</w:t>
            </w:r>
          </w:p>
        </w:tc>
        <w:tc>
          <w:tcPr>
            <w:tcW w:w="964" w:type="dxa"/>
            <w:vAlign w:val="center"/>
          </w:tcPr>
          <w:p>
            <w:pPr>
              <w:pStyle w:val="11"/>
            </w:pPr>
            <w:r>
              <w:t>5.00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便携式计算机</w:t>
            </w:r>
          </w:p>
        </w:tc>
        <w:tc>
          <w:tcPr>
            <w:tcW w:w="1134" w:type="dxa"/>
            <w:vAlign w:val="center"/>
          </w:tcPr>
          <w:p>
            <w:pPr>
              <w:pStyle w:val="12"/>
            </w:pPr>
            <w:r>
              <w:t>A02010108</w:t>
            </w:r>
          </w:p>
        </w:tc>
        <w:tc>
          <w:tcPr>
            <w:tcW w:w="709" w:type="dxa"/>
            <w:vAlign w:val="center"/>
          </w:tcPr>
          <w:p>
            <w:pPr>
              <w:pStyle w:val="13"/>
            </w:pPr>
            <w:r>
              <w:t>台</w:t>
            </w:r>
          </w:p>
        </w:tc>
        <w:tc>
          <w:tcPr>
            <w:tcW w:w="850" w:type="dxa"/>
            <w:vAlign w:val="center"/>
          </w:tcPr>
          <w:p>
            <w:pPr>
              <w:pStyle w:val="11"/>
            </w:pPr>
            <w:r>
              <w:t>5</w:t>
            </w:r>
          </w:p>
        </w:tc>
        <w:tc>
          <w:tcPr>
            <w:tcW w:w="850" w:type="dxa"/>
            <w:vAlign w:val="center"/>
          </w:tcPr>
          <w:p>
            <w:pPr>
              <w:pStyle w:val="11"/>
            </w:pPr>
            <w:r>
              <w:t>0.60</w:t>
            </w:r>
          </w:p>
        </w:tc>
        <w:tc>
          <w:tcPr>
            <w:tcW w:w="964" w:type="dxa"/>
            <w:vAlign w:val="center"/>
          </w:tcPr>
          <w:p>
            <w:pPr>
              <w:pStyle w:val="11"/>
            </w:pPr>
            <w:r>
              <w:t>3.00</w:t>
            </w:r>
          </w:p>
        </w:tc>
        <w:tc>
          <w:tcPr>
            <w:tcW w:w="964" w:type="dxa"/>
            <w:vAlign w:val="center"/>
          </w:tcPr>
          <w:p>
            <w:pPr>
              <w:pStyle w:val="11"/>
            </w:pPr>
            <w:r>
              <w:t>3.00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软件运维服务</w:t>
            </w:r>
          </w:p>
        </w:tc>
        <w:tc>
          <w:tcPr>
            <w:tcW w:w="1134" w:type="dxa"/>
            <w:vAlign w:val="center"/>
          </w:tcPr>
          <w:p>
            <w:pPr>
              <w:pStyle w:val="12"/>
            </w:pPr>
            <w:r>
              <w:t>C16070300</w:t>
            </w:r>
          </w:p>
        </w:tc>
        <w:tc>
          <w:tcPr>
            <w:tcW w:w="709" w:type="dxa"/>
            <w:vAlign w:val="center"/>
          </w:tcPr>
          <w:p>
            <w:pPr>
              <w:pStyle w:val="13"/>
            </w:pPr>
            <w:r>
              <w:t>项</w:t>
            </w:r>
          </w:p>
        </w:tc>
        <w:tc>
          <w:tcPr>
            <w:tcW w:w="850" w:type="dxa"/>
            <w:vAlign w:val="center"/>
          </w:tcPr>
          <w:p>
            <w:pPr>
              <w:pStyle w:val="11"/>
            </w:pPr>
            <w:r>
              <w:t>1</w:t>
            </w:r>
          </w:p>
        </w:tc>
        <w:tc>
          <w:tcPr>
            <w:tcW w:w="850" w:type="dxa"/>
            <w:vAlign w:val="center"/>
          </w:tcPr>
          <w:p>
            <w:pPr>
              <w:pStyle w:val="11"/>
            </w:pPr>
            <w:r>
              <w:t>2.00</w:t>
            </w:r>
          </w:p>
        </w:tc>
        <w:tc>
          <w:tcPr>
            <w:tcW w:w="964" w:type="dxa"/>
            <w:vAlign w:val="center"/>
          </w:tcPr>
          <w:p>
            <w:pPr>
              <w:pStyle w:val="11"/>
            </w:pPr>
            <w:r>
              <w:t>2.00</w:t>
            </w:r>
          </w:p>
        </w:tc>
        <w:tc>
          <w:tcPr>
            <w:tcW w:w="964" w:type="dxa"/>
            <w:vAlign w:val="center"/>
          </w:tcPr>
          <w:p>
            <w:pPr>
              <w:pStyle w:val="11"/>
            </w:pPr>
            <w:r>
              <w:t>2.00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jc w:val="center"/>
        </w:trPr>
        <w:tc>
          <w:tcPr>
            <w:tcW w:w="1701" w:type="dxa"/>
            <w:vAlign w:val="center"/>
          </w:tcPr>
          <w:p>
            <w:pPr>
              <w:pStyle w:val="12"/>
            </w:pPr>
            <w:r>
              <w:t>政府购买投资评审服务项目</w:t>
            </w:r>
          </w:p>
        </w:tc>
        <w:tc>
          <w:tcPr>
            <w:tcW w:w="964" w:type="dxa"/>
            <w:vAlign w:val="center"/>
          </w:tcPr>
          <w:p>
            <w:pPr>
              <w:pStyle w:val="11"/>
            </w:pPr>
            <w:r>
              <w:t>150.00</w:t>
            </w:r>
          </w:p>
        </w:tc>
        <w:tc>
          <w:tcPr>
            <w:tcW w:w="1134" w:type="dxa"/>
            <w:vAlign w:val="center"/>
          </w:tcPr>
          <w:p>
            <w:pPr>
              <w:pStyle w:val="12"/>
            </w:pPr>
            <w:r>
              <w:t>评审咨询服务</w:t>
            </w:r>
          </w:p>
        </w:tc>
        <w:tc>
          <w:tcPr>
            <w:tcW w:w="1134" w:type="dxa"/>
            <w:vAlign w:val="center"/>
          </w:tcPr>
          <w:p>
            <w:pPr>
              <w:pStyle w:val="12"/>
            </w:pPr>
            <w:r>
              <w:t>C20030900</w:t>
            </w:r>
          </w:p>
        </w:tc>
        <w:tc>
          <w:tcPr>
            <w:tcW w:w="709" w:type="dxa"/>
            <w:vAlign w:val="center"/>
          </w:tcPr>
          <w:p>
            <w:pPr>
              <w:pStyle w:val="13"/>
            </w:pPr>
            <w:r>
              <w:t>万元</w:t>
            </w:r>
          </w:p>
        </w:tc>
        <w:tc>
          <w:tcPr>
            <w:tcW w:w="850" w:type="dxa"/>
            <w:vAlign w:val="center"/>
          </w:tcPr>
          <w:p>
            <w:pPr>
              <w:pStyle w:val="11"/>
            </w:pPr>
            <w:r>
              <w:t>1</w:t>
            </w:r>
          </w:p>
        </w:tc>
        <w:tc>
          <w:tcPr>
            <w:tcW w:w="850" w:type="dxa"/>
            <w:vAlign w:val="center"/>
          </w:tcPr>
          <w:p>
            <w:pPr>
              <w:pStyle w:val="11"/>
            </w:pPr>
            <w:r>
              <w:t>140.00</w:t>
            </w:r>
          </w:p>
        </w:tc>
        <w:tc>
          <w:tcPr>
            <w:tcW w:w="964" w:type="dxa"/>
            <w:vAlign w:val="center"/>
          </w:tcPr>
          <w:p>
            <w:pPr>
              <w:pStyle w:val="11"/>
            </w:pPr>
            <w:r>
              <w:t>140.00</w:t>
            </w:r>
          </w:p>
        </w:tc>
        <w:tc>
          <w:tcPr>
            <w:tcW w:w="964" w:type="dxa"/>
            <w:vAlign w:val="center"/>
          </w:tcPr>
          <w:p>
            <w:pPr>
              <w:pStyle w:val="11"/>
            </w:pPr>
            <w:r>
              <w:t>140.00</w:t>
            </w: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rPr>
          <w:rFonts w:eastAsia="方正仿宋_GBK"/>
          <w:color w:val="000000"/>
          <w:sz w:val="28"/>
        </w:rPr>
      </w:pPr>
      <w:r>
        <w:rPr>
          <w:rFonts w:eastAsia="方正仿宋_GBK"/>
          <w:color w:val="000000"/>
          <w:sz w:val="28"/>
        </w:rPr>
        <w:t>石家庄市鹿泉区财政局本级上年末固定资产金额为2704.45万元（详见下表）。本年度拟购置固定资产总额为</w:t>
      </w:r>
      <w:r>
        <w:rPr>
          <w:rFonts w:hint="eastAsia" w:eastAsia="方正仿宋_GBK"/>
          <w:color w:val="000000"/>
          <w:sz w:val="28"/>
          <w:lang w:val="en-US" w:eastAsia="zh-CN"/>
        </w:rPr>
        <w:t>8</w:t>
      </w:r>
      <w:r>
        <w:rPr>
          <w:rFonts w:eastAsia="方正仿宋_GBK"/>
          <w:color w:val="000000"/>
          <w:sz w:val="28"/>
        </w:rPr>
        <w:t>万元，已按要求列入政府采购预算，详见政府采购预算表。</w:t>
      </w:r>
    </w:p>
    <w:p>
      <w:pPr>
        <w:spacing w:line="500" w:lineRule="exact"/>
        <w:ind w:firstLine="560"/>
        <w:rPr>
          <w:rFonts w:eastAsia="方正仿宋_GBK"/>
          <w:color w:val="000000"/>
          <w:sz w:val="28"/>
        </w:rPr>
      </w:pPr>
    </w:p>
    <w:p>
      <w:pPr>
        <w:spacing w:line="500" w:lineRule="exact"/>
        <w:ind w:firstLine="560"/>
        <w:rPr>
          <w:rFonts w:eastAsia="方正仿宋_GBK"/>
          <w:color w:val="000000"/>
          <w:sz w:val="28"/>
        </w:rPr>
      </w:pPr>
    </w:p>
    <w:p>
      <w:pPr>
        <w:jc w:val="center"/>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318001石家庄市鹿泉区财政局本级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截止时间：2022-12-31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t>2704.45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7068.49</w:t>
            </w:r>
          </w:p>
        </w:tc>
        <w:tc>
          <w:tcPr>
            <w:tcW w:w="2835" w:type="dxa"/>
            <w:vAlign w:val="center"/>
          </w:tcPr>
          <w:p>
            <w:pPr>
              <w:pStyle w:val="11"/>
            </w:pPr>
            <w:r>
              <w:t>2262.03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r>
              <w:t>3</w:t>
            </w:r>
          </w:p>
        </w:tc>
        <w:tc>
          <w:tcPr>
            <w:tcW w:w="2835" w:type="dxa"/>
            <w:vAlign w:val="center"/>
          </w:tcPr>
          <w:p>
            <w:pPr>
              <w:pStyle w:val="11"/>
            </w:pPr>
            <w:r>
              <w:t>41.99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r>
              <w:t>400.43</w:t>
            </w:r>
          </w:p>
        </w:tc>
      </w:tr>
    </w:tbl>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八、名词解释</w:t>
      </w:r>
    </w:p>
    <w:p>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w:t>
      </w:r>
      <w:r>
        <w:rPr>
          <w:rFonts w:hint="eastAsia" w:eastAsia="方正仿宋_GBK"/>
          <w:color w:val="000000"/>
          <w:sz w:val="28"/>
          <w:lang w:eastAsia="zh-CN"/>
        </w:rPr>
        <w:t>区</w:t>
      </w:r>
      <w:r>
        <w:rPr>
          <w:rFonts w:eastAsia="方正仿宋_GBK"/>
          <w:color w:val="000000"/>
          <w:sz w:val="28"/>
        </w:rPr>
        <w:t>级财政当年拨付的资金。</w:t>
      </w:r>
    </w:p>
    <w:p>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w:t>
      </w:r>
      <w:r>
        <w:rPr>
          <w:rFonts w:hint="eastAsia" w:eastAsia="方正仿宋_GBK"/>
          <w:color w:val="000000"/>
          <w:sz w:val="28"/>
          <w:lang w:eastAsia="zh-CN"/>
        </w:rPr>
        <w:t>区</w:t>
      </w:r>
      <w:r>
        <w:rPr>
          <w:rFonts w:eastAsia="方正仿宋_GBK"/>
          <w:color w:val="000000"/>
          <w:sz w:val="28"/>
        </w:rPr>
        <w:t>级财政预算管理的“三公”经费，是指预算</w:t>
      </w:r>
      <w:bookmarkStart w:id="1" w:name="_GoBack"/>
      <w:bookmarkEnd w:id="1"/>
      <w:r>
        <w:rPr>
          <w:rFonts w:eastAsia="方正仿宋_GBK"/>
          <w:color w:val="000000"/>
          <w:sz w:val="28"/>
        </w:rPr>
        <w:t>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before="10" w:after="10"/>
        <w:ind w:firstLine="640"/>
        <w:outlineLvl w:val="5"/>
        <w:rPr>
          <w:rFonts w:ascii="黑体" w:hAnsi="黑体" w:eastAsia="黑体" w:cs="黑体"/>
          <w:color w:val="000000"/>
          <w:sz w:val="32"/>
        </w:rPr>
      </w:pPr>
      <w:r>
        <w:rPr>
          <w:rFonts w:ascii="黑体" w:hAnsi="黑体" w:eastAsia="黑体" w:cs="黑体"/>
          <w:color w:val="000000"/>
          <w:sz w:val="32"/>
        </w:rPr>
        <w:t>九、其他需要说明的事项</w:t>
      </w:r>
    </w:p>
    <w:p>
      <w:pPr>
        <w:spacing w:before="10" w:after="10"/>
        <w:ind w:firstLine="640"/>
        <w:outlineLvl w:val="5"/>
        <w:rPr>
          <w:rFonts w:hint="eastAsia" w:ascii="黑体" w:hAnsi="黑体" w:eastAsia="黑体" w:cs="黑体"/>
          <w:color w:val="000000"/>
          <w:sz w:val="28"/>
          <w:szCs w:val="28"/>
          <w:lang w:eastAsia="zh-CN"/>
        </w:rPr>
      </w:pPr>
      <w:r>
        <w:rPr>
          <w:rFonts w:hint="eastAsia" w:eastAsia="方正仿宋_GBK"/>
          <w:color w:val="000000"/>
          <w:sz w:val="28"/>
          <w:lang w:eastAsia="zh-CN"/>
        </w:rPr>
        <w:t>我单位无其他需要说明的事项。</w:t>
      </w:r>
    </w:p>
    <w:p>
      <w:pPr>
        <w:spacing w:line="500" w:lineRule="exact"/>
        <w:ind w:left="0" w:leftChars="0" w:firstLine="560" w:firstLineChars="0"/>
        <w:rPr>
          <w:sz w:val="28"/>
          <w:szCs w:val="28"/>
        </w:rPr>
      </w:pP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roman"/>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roman"/>
    <w:pitch w:val="default"/>
    <w:sig w:usb0="00000000" w:usb1="00000000" w:usb2="00000000" w:usb3="00000000" w:csb0="00000000" w:csb1="00000000"/>
  </w:font>
  <w:font w:name="方正书宋_GBK">
    <w:altName w:val="宋体"/>
    <w:panose1 w:val="00000000000000000000"/>
    <w:charset w:val="86"/>
    <w:family w:val="roman"/>
    <w:pitch w:val="default"/>
    <w:sig w:usb0="00000000" w:usb1="00000000" w:usb2="00000000" w:usb3="00000000" w:csb0="00000000" w:csb1="00000000"/>
  </w:font>
  <w:font w:name="方正仿宋_GBK">
    <w:altName w:val="宋体"/>
    <w:panose1 w:val="00000000000000000000"/>
    <w:charset w:val="86"/>
    <w:family w:val="roman"/>
    <w:pitch w:val="default"/>
    <w:sig w:usb0="00000000" w:usb1="00000000" w:usb2="00000000" w:usb3="00000000" w:csb0="00000000" w:csb1="00000000"/>
  </w:font>
  <w:font w:name="方正楷体_GBK">
    <w:altName w:val="宋体"/>
    <w:panose1 w:val="00000000000000000000"/>
    <w:charset w:val="86"/>
    <w:family w:val="roman"/>
    <w:pitch w:val="default"/>
    <w:sig w:usb0="00000000" w:usb1="00000000" w:usb2="00000000" w:usb3="00000000" w:csb0="00000000" w:csb1="00000000"/>
  </w:font>
  <w:font w:name="仿宋">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67</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r>
      <w:fldChar w:fldCharType="begin"/>
    </w:r>
    <w:r>
      <w:instrText xml:space="preserve">PAGE "page number"</w:instrText>
    </w:r>
    <w:r>
      <w:fldChar w:fldCharType="separate"/>
    </w:r>
    <w:r>
      <w:t>66</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690162046">
    <w:nsid w:val="64BDD37E"/>
    <w:multiLevelType w:val="singleLevel"/>
    <w:tmpl w:val="64BDD37E"/>
    <w:lvl w:ilvl="0" w:tentative="1">
      <w:start w:val="5"/>
      <w:numFmt w:val="chineseCounting"/>
      <w:suff w:val="nothing"/>
      <w:lvlText w:val="%1、"/>
      <w:lvlJc w:val="left"/>
    </w:lvl>
  </w:abstractNum>
  <w:num w:numId="1">
    <w:abstractNumId w:val="169016204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C37FD5"/>
    <w:rsid w:val="003C6F37"/>
    <w:rsid w:val="00C37FD5"/>
    <w:rsid w:val="00CF65E5"/>
    <w:rsid w:val="00D870EF"/>
    <w:rsid w:val="01C34763"/>
    <w:rsid w:val="024638BA"/>
    <w:rsid w:val="090C4902"/>
    <w:rsid w:val="0A9607CB"/>
    <w:rsid w:val="0D7B0F46"/>
    <w:rsid w:val="17D5210C"/>
    <w:rsid w:val="1DDF4146"/>
    <w:rsid w:val="25EE7C18"/>
    <w:rsid w:val="27CE0030"/>
    <w:rsid w:val="28D23D37"/>
    <w:rsid w:val="2CDD1538"/>
    <w:rsid w:val="2F1C71BA"/>
    <w:rsid w:val="3268205C"/>
    <w:rsid w:val="34A30208"/>
    <w:rsid w:val="35816433"/>
    <w:rsid w:val="3A2200E6"/>
    <w:rsid w:val="3F3438F9"/>
    <w:rsid w:val="420F010D"/>
    <w:rsid w:val="4A866957"/>
    <w:rsid w:val="54A866D3"/>
    <w:rsid w:val="55522C85"/>
    <w:rsid w:val="5A000E9B"/>
    <w:rsid w:val="5AB82216"/>
    <w:rsid w:val="5F2A428F"/>
    <w:rsid w:val="61037862"/>
    <w:rsid w:val="63310BC7"/>
    <w:rsid w:val="63B0552E"/>
    <w:rsid w:val="680968A7"/>
    <w:rsid w:val="73760E58"/>
  </w:rsid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Theme="minorEastAsia"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footer"/>
    <w:basedOn w:val="1"/>
    <w:link w:val="34"/>
    <w:unhideWhenUsed/>
    <w:qFormat/>
    <w:uiPriority w:val="99"/>
    <w:pPr>
      <w:tabs>
        <w:tab w:val="center" w:pos="4153"/>
        <w:tab w:val="right" w:pos="8306"/>
      </w:tabs>
      <w:snapToGrid w:val="0"/>
    </w:pPr>
    <w:rPr>
      <w:sz w:val="18"/>
      <w:szCs w:val="18"/>
    </w:rPr>
  </w:style>
  <w:style w:type="paragraph" w:styleId="3">
    <w:name w:val="header"/>
    <w:basedOn w:val="1"/>
    <w:link w:val="33"/>
    <w:unhideWhenUsed/>
    <w:qFormat/>
    <w:uiPriority w:val="99"/>
    <w:pPr>
      <w:pBdr>
        <w:bottom w:val="single" w:color="auto" w:sz="6" w:space="1"/>
      </w:pBdr>
      <w:tabs>
        <w:tab w:val="center" w:pos="4153"/>
        <w:tab w:val="right" w:pos="8306"/>
      </w:tabs>
      <w:snapToGrid w:val="0"/>
      <w:jc w:val="center"/>
    </w:pPr>
    <w:rPr>
      <w:sz w:val="18"/>
      <w:szCs w:val="18"/>
    </w:rPr>
  </w:style>
  <w:style w:type="table" w:styleId="6">
    <w:name w:val="Table Grid"/>
    <w:basedOn w:val="5"/>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style>
  <w:style w:type="paragraph" w:customStyle="1" w:styleId="7">
    <w:name w:val="单元格样式22"/>
    <w:basedOn w:val="1"/>
    <w:qFormat/>
    <w:uiPriority w:val="0"/>
    <w:pPr>
      <w:jc w:val="right"/>
    </w:pPr>
    <w:rPr>
      <w:rFonts w:ascii="方正小标宋_GBK" w:hAnsi="方正小标宋_GBK" w:eastAsia="方正小标宋_GBK" w:cs="方正小标宋_GBK"/>
    </w:rPr>
  </w:style>
  <w:style w:type="paragraph" w:customStyle="1" w:styleId="8">
    <w:name w:val="单元格样式21"/>
    <w:basedOn w:val="1"/>
    <w:qFormat/>
    <w:uiPriority w:val="0"/>
    <w:pPr>
      <w:jc w:val="center"/>
    </w:pPr>
    <w:rPr>
      <w:rFonts w:ascii="方正小标宋_GBK" w:hAnsi="方正小标宋_GBK" w:eastAsia="方正小标宋_GBK" w:cs="方正小标宋_GBK"/>
    </w:rPr>
  </w:style>
  <w:style w:type="paragraph" w:customStyle="1" w:styleId="9">
    <w:name w:val="单元格样式20"/>
    <w:basedOn w:val="1"/>
    <w:qFormat/>
    <w:uiPriority w:val="0"/>
    <w:rPr>
      <w:rFonts w:ascii="方正小标宋_GBK" w:hAnsi="方正小标宋_GBK" w:eastAsia="方正小标宋_GBK" w:cs="方正小标宋_GBK"/>
    </w:rPr>
  </w:style>
  <w:style w:type="paragraph" w:customStyle="1" w:styleId="10">
    <w:name w:val="单元格样式1"/>
    <w:basedOn w:val="1"/>
    <w:qFormat/>
    <w:uiPriority w:val="0"/>
    <w:pPr>
      <w:jc w:val="center"/>
    </w:pPr>
    <w:rPr>
      <w:rFonts w:ascii="方正书宋_GBK" w:hAnsi="方正书宋_GBK" w:eastAsia="方正书宋_GBK" w:cs="方正书宋_GBK"/>
      <w:b/>
      <w:sz w:val="21"/>
    </w:rPr>
  </w:style>
  <w:style w:type="paragraph" w:customStyle="1" w:styleId="11">
    <w:name w:val="单元格样式4"/>
    <w:basedOn w:val="1"/>
    <w:qFormat/>
    <w:uiPriority w:val="0"/>
    <w:pPr>
      <w:jc w:val="right"/>
    </w:pPr>
    <w:rPr>
      <w:rFonts w:ascii="方正书宋_GBK" w:hAnsi="方正书宋_GBK" w:eastAsia="方正书宋_GBK" w:cs="方正书宋_GBK"/>
      <w:sz w:val="21"/>
    </w:rPr>
  </w:style>
  <w:style w:type="paragraph" w:customStyle="1" w:styleId="12">
    <w:name w:val="单元格样式2"/>
    <w:basedOn w:val="1"/>
    <w:qFormat/>
    <w:uiPriority w:val="0"/>
    <w:rPr>
      <w:rFonts w:ascii="方正书宋_GBK" w:hAnsi="方正书宋_GBK" w:eastAsia="方正书宋_GBK" w:cs="方正书宋_GBK"/>
      <w:sz w:val="21"/>
    </w:rPr>
  </w:style>
  <w:style w:type="paragraph" w:customStyle="1" w:styleId="13">
    <w:name w:val="单元格样式3"/>
    <w:basedOn w:val="1"/>
    <w:qFormat/>
    <w:uiPriority w:val="0"/>
    <w:pPr>
      <w:jc w:val="center"/>
    </w:pPr>
    <w:rPr>
      <w:rFonts w:ascii="方正书宋_GBK" w:hAnsi="方正书宋_GBK" w:eastAsia="方正书宋_GBK" w:cs="方正书宋_GBK"/>
      <w:sz w:val="21"/>
    </w:rPr>
  </w:style>
  <w:style w:type="paragraph" w:customStyle="1" w:styleId="14">
    <w:name w:val="单元格样式6"/>
    <w:basedOn w:val="1"/>
    <w:qFormat/>
    <w:uiPriority w:val="0"/>
    <w:pPr>
      <w:jc w:val="center"/>
    </w:pPr>
    <w:rPr>
      <w:rFonts w:ascii="方正书宋_GBK" w:hAnsi="方正书宋_GBK" w:eastAsia="方正书宋_GBK" w:cs="方正书宋_GBK"/>
      <w:b/>
      <w:sz w:val="21"/>
    </w:rPr>
  </w:style>
  <w:style w:type="paragraph" w:customStyle="1" w:styleId="15">
    <w:name w:val="单元格样式7"/>
    <w:basedOn w:val="1"/>
    <w:qFormat/>
    <w:uiPriority w:val="0"/>
    <w:pPr>
      <w:jc w:val="right"/>
    </w:pPr>
    <w:rPr>
      <w:rFonts w:ascii="方正书宋_GBK" w:hAnsi="方正书宋_GBK" w:eastAsia="方正书宋_GBK" w:cs="方正书宋_GBK"/>
      <w:b/>
      <w:sz w:val="21"/>
    </w:rPr>
  </w:style>
  <w:style w:type="paragraph" w:customStyle="1" w:styleId="16">
    <w:name w:val="单元格样式5"/>
    <w:basedOn w:val="1"/>
    <w:qFormat/>
    <w:uiPriority w:val="0"/>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line="500" w:lineRule="exact"/>
      <w:ind w:firstLine="560"/>
    </w:pPr>
    <w:rPr>
      <w:rFonts w:eastAsia="方正仿宋_GBK"/>
      <w:sz w:val="28"/>
    </w:rPr>
  </w:style>
  <w:style w:type="paragraph" w:customStyle="1" w:styleId="18">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9">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0">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1">
    <w:name w:val="插入文本样式-插入总体目标文件"/>
    <w:basedOn w:val="1"/>
    <w:qFormat/>
    <w:uiPriority w:val="0"/>
    <w:pPr>
      <w:spacing w:line="500" w:lineRule="exact"/>
      <w:ind w:firstLine="560"/>
    </w:pPr>
    <w:rPr>
      <w:rFonts w:eastAsia="方正仿宋_GBK"/>
      <w:sz w:val="28"/>
    </w:rPr>
  </w:style>
  <w:style w:type="paragraph" w:customStyle="1" w:styleId="22">
    <w:name w:val="插入文本样式-插入职责分类绩效目标文件"/>
    <w:basedOn w:val="1"/>
    <w:qFormat/>
    <w:uiPriority w:val="0"/>
    <w:pPr>
      <w:spacing w:line="500" w:lineRule="exact"/>
      <w:ind w:firstLine="560"/>
    </w:pPr>
    <w:rPr>
      <w:rFonts w:eastAsia="方正仿宋_GBK"/>
      <w:sz w:val="28"/>
    </w:rPr>
  </w:style>
  <w:style w:type="paragraph" w:customStyle="1" w:styleId="23">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4">
    <w:name w:val="单元格样式23"/>
    <w:basedOn w:val="1"/>
    <w:qFormat/>
    <w:uiPriority w:val="0"/>
    <w:pPr>
      <w:jc w:val="right"/>
    </w:pPr>
    <w:rPr>
      <w:rFonts w:ascii="方正书宋_GBK" w:hAnsi="方正书宋_GBK" w:eastAsia="方正书宋_GBK" w:cs="方正书宋_GBK"/>
    </w:rPr>
  </w:style>
  <w:style w:type="paragraph" w:customStyle="1" w:styleId="25">
    <w:name w:val="插入文本样式-插入单位职责文件"/>
    <w:basedOn w:val="1"/>
    <w:qFormat/>
    <w:uiPriority w:val="0"/>
    <w:pPr>
      <w:spacing w:line="500" w:lineRule="exact"/>
      <w:ind w:firstLine="560"/>
    </w:pPr>
    <w:rPr>
      <w:rFonts w:eastAsia="方正仿宋_GBK"/>
      <w:sz w:val="28"/>
    </w:rPr>
  </w:style>
  <w:style w:type="paragraph" w:customStyle="1" w:styleId="26">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7">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8">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9">
    <w:name w:val="TOC 2"/>
    <w:basedOn w:val="1"/>
    <w:qFormat/>
    <w:uiPriority w:val="0"/>
    <w:pPr>
      <w:ind w:left="240"/>
    </w:pPr>
  </w:style>
  <w:style w:type="paragraph" w:customStyle="1" w:styleId="30">
    <w:name w:val="TOC 3"/>
    <w:basedOn w:val="1"/>
    <w:qFormat/>
    <w:uiPriority w:val="0"/>
    <w:pPr>
      <w:ind w:left="480"/>
    </w:pPr>
  </w:style>
  <w:style w:type="paragraph" w:customStyle="1" w:styleId="31">
    <w:name w:val="TOC 4"/>
    <w:basedOn w:val="1"/>
    <w:qFormat/>
    <w:uiPriority w:val="0"/>
    <w:pPr>
      <w:ind w:left="720"/>
    </w:pPr>
  </w:style>
  <w:style w:type="paragraph" w:customStyle="1" w:styleId="32">
    <w:name w:val="TOC 1"/>
    <w:basedOn w:val="1"/>
    <w:qFormat/>
    <w:uiPriority w:val="0"/>
    <w:pPr>
      <w:spacing w:before="120"/>
      <w:ind w:firstLine="560"/>
    </w:pPr>
    <w:rPr>
      <w:rFonts w:eastAsia="方正仿宋_GBK"/>
      <w:color w:val="000000"/>
      <w:sz w:val="28"/>
    </w:rPr>
  </w:style>
  <w:style w:type="character" w:customStyle="1" w:styleId="33">
    <w:name w:val="页眉 Char"/>
    <w:basedOn w:val="4"/>
    <w:link w:val="3"/>
    <w:semiHidden/>
    <w:qFormat/>
    <w:uiPriority w:val="99"/>
    <w:rPr>
      <w:rFonts w:eastAsia="Times New Roman"/>
      <w:sz w:val="18"/>
      <w:szCs w:val="18"/>
      <w:lang w:eastAsia="uk-UA"/>
    </w:rPr>
  </w:style>
  <w:style w:type="character" w:customStyle="1" w:styleId="34">
    <w:name w:val="页脚 Char"/>
    <w:basedOn w:val="4"/>
    <w:link w:val="2"/>
    <w:semiHidden/>
    <w:qFormat/>
    <w:uiPriority w:val="99"/>
    <w:rPr>
      <w:rFonts w:eastAsia="Times New Roman"/>
      <w:sz w:val="18"/>
      <w:szCs w:val="18"/>
      <w:lang w:eastAsia="uk-UA"/>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2" Type="http://schemas.openxmlformats.org/officeDocument/2006/relationships/fontTable" Target="fontTable.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1.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2022-06-27T10:01:16Z</dcterms:created>
  <dcterms:modified xsi:type="dcterms:W3CDTF">2022-06-27T02:01:16Z</dcterms:modified>
</cp:coreProperties>
</file>

<file path=customXml/item18.xml><?xml version="1.0" encoding="utf-8"?>
<Properties xmlns:vt="http://schemas.openxmlformats.org/officeDocument/2006/docPropsVTypes" xmlns="http://schemas.openxmlformats.org/officeDocument/2006/extended-properties">
  <Application>Spire.Doc</Application>
  <AppVersion>12.0000</AppVersion>
</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21.xml><?xml version="1.0" encoding="utf-8"?>
<Properties xmlns:vt="http://schemas.openxmlformats.org/officeDocument/2006/docPropsVTypes" xmlns="http://schemas.openxmlformats.org/officeDocument/2006/extended-properties">
  <Application>Spire.Doc</Application>
  <AppVersion>12.0000</AppVersion>
</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23.xml><?xml version="1.0" encoding="utf-8"?>
<Properties xmlns:vt="http://schemas.openxmlformats.org/officeDocument/2006/docPropsVTypes" xmlns="http://schemas.openxmlformats.org/officeDocument/2006/extended-properties">
  <Application>Spire.Doc</Application>
  <AppVersion>12.0000</AppVersion>
</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2022-06-27T10:01:02Z</dcterms:created>
  <dcterms:modified xsi:type="dcterms:W3CDTF">2022-06-27T02:01:02Z</dcterms:modified>
</cp:core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29.xml><?xml version="1.0" encoding="utf-8"?>
<Properties xmlns:vt="http://schemas.openxmlformats.org/officeDocument/2006/docPropsVTypes" xmlns="http://schemas.openxmlformats.org/officeDocument/2006/extended-properties">
  <Application>Spire.Doc</Application>
  <AppVersion>12.0000</AppVersion>
</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3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32.xml><?xml version="1.0" encoding="utf-8"?>
<Properties xmlns:vt="http://schemas.openxmlformats.org/officeDocument/2006/docPropsVTypes" xmlns="http://schemas.openxmlformats.org/officeDocument/2006/extended-properties">
  <Application>Spire.Doc</Application>
  <AppVersion>12.0000</AppVersion>
</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Properties xmlns:vt="http://schemas.openxmlformats.org/officeDocument/2006/docPropsVTypes" xmlns="http://schemas.openxmlformats.org/officeDocument/2006/extended-properties">
  <Application>Spire.Doc</Application>
  <AppVersion>12.0000</AppVersion>
</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2022-06-27T10:01:07Z</dcterms:created>
  <dcterms:modified xsi:type="dcterms:W3CDTF">2022-06-27T02:01:07Z</dcterms:modified>
</cp:coreProperties>
</file>

<file path=customXml/item4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2022-06-27T10:01:25Z</dcterms:created>
  <dcterms:modified xsi:type="dcterms:W3CDTF">2022-06-27T02:01:25Z</dcterms:modified>
</cp:core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2022-06-27T10:01:12Z</dcterms:created>
  <dcterms:modified xsi:type="dcterms:W3CDTF">2022-06-27T02:01:12Z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5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Properties xmlns:vt="http://schemas.openxmlformats.org/officeDocument/2006/docPropsVTypes" xmlns="http://schemas.openxmlformats.org/officeDocument/2006/extended-properties">
  <Application>Spire.Doc</Application>
  <AppVersion>12.0000</AppVersion>
</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6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62.xml><?xml version="1.0" encoding="utf-8"?>
<Properties xmlns:vt="http://schemas.openxmlformats.org/officeDocument/2006/docPropsVTypes" xmlns="http://schemas.openxmlformats.org/officeDocument/2006/extended-properties">
  <Application>Spire.Doc</Application>
  <AppVersion>12.0000</AppVersion>
</Properties>
</file>

<file path=customXml/item63.xml><?xml version="1.0" encoding="utf-8"?>
<Properties xmlns:vt="http://schemas.openxmlformats.org/officeDocument/2006/docPropsVTypes" xmlns="http://schemas.openxmlformats.org/officeDocument/2006/extended-properties">
  <Application>Spire.Doc</Application>
  <AppVersion>12.0000</AppVersion>
</Properties>
</file>

<file path=customXml/item6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Properties xmlns:vt="http://schemas.openxmlformats.org/officeDocument/2006/docPropsVTypes" xmlns="http://schemas.openxmlformats.org/officeDocument/2006/extended-properties">
  <Application>Spire.Doc</Application>
  <AppVersion>12.0000</AppVersion>
</Properties>
</file>

<file path=customXml/item6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69.xml><?xml version="1.0" encoding="utf-8"?>
<Properties xmlns:vt="http://schemas.openxmlformats.org/officeDocument/2006/docPropsVTypes" xmlns="http://schemas.openxmlformats.org/officeDocument/2006/extended-properties">
  <Application>Spire.Doc</Application>
  <AppVersion>12.0000</AppVersion>
</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2022-06-27T10:01:22Z</dcterms:created>
  <dcterms:modified xsi:type="dcterms:W3CDTF">2022-06-27T02:01:22Z</dcterms:modified>
</cp:coreProperties>
</file>

<file path=customXml/item7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7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Properties xmlns:vt="http://schemas.openxmlformats.org/officeDocument/2006/docPropsVTypes" xmlns="http://schemas.openxmlformats.org/officeDocument/2006/extended-properties">
  <Application>Spire.Doc</Application>
  <AppVersion>12.0000</AppVersion>
</Properties>
</file>

<file path=customXml/item7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2022-06-27T10:01:23Z</dcterms:created>
  <dcterms:modified xsi:type="dcterms:W3CDTF">2022-06-27T02:01:23Z</dcterms:modified>
</cp:core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2022-06-27T10:01:24Z</dcterms:created>
  <dcterms:modified xsi:type="dcterms:W3CDTF">2022-06-27T02:01:24Z</dcterms:modified>
</cp:core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Properties xmlns:vt="http://schemas.openxmlformats.org/officeDocument/2006/docPropsVTypes" xmlns="http://schemas.openxmlformats.org/officeDocument/2006/extended-properties">
  <Application>Spire.Doc</Application>
  <AppVersion>12.0000</AppVersion>
</Properties>
</file>

<file path=customXml/item8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2022-06-27T10:01:21Z</dcterms:created>
  <dcterms:modified xsi:type="dcterms:W3CDTF">2022-06-27T02:01:21Z</dcterms:modified>
</cp:core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2022-06-27T10:01:11Z</dcterms:created>
  <dcterms:modified xsi:type="dcterms:W3CDTF">2022-06-27T02:01:11Z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Properties xmlns:vt="http://schemas.openxmlformats.org/officeDocument/2006/docPropsVTypes" xmlns="http://schemas.openxmlformats.org/officeDocument/2006/extended-properties">
  <Application>Spire.Doc</Application>
  <AppVersion>12.0000</AppVersion>
</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87.xml><?xml version="1.0" encoding="utf-8"?>
<Properties xmlns:vt="http://schemas.openxmlformats.org/officeDocument/2006/docPropsVTypes" xmlns="http://schemas.openxmlformats.org/officeDocument/2006/extended-properties">
  <Application>Spire.Doc</Application>
  <AppVersion>12.0000</AppVersion>
</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2022-06-27T10:01:09Z</dcterms:created>
  <dcterms:modified xsi:type="dcterms:W3CDTF">2022-06-27T02:01:09Z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9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2022-06-27T10:01:08Z</dcterms:created>
  <dcterms:modified xsi:type="dcterms:W3CDTF">2022-06-27T02:01:08Z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2022-06-27T10:01:10Z</dcterms:created>
  <dcterms:modified xsi:type="dcterms:W3CDTF">2022-06-27T02:01:10Z</dcterms:modified>
</cp:core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93F78D7B-5FE6-44E9-8931-97B6BE707003}">
  <ds:schemaRefs/>
</ds:datastoreItem>
</file>

<file path=customXml/itemProps11.xml><?xml version="1.0" encoding="utf-8"?>
<ds:datastoreItem xmlns:ds="http://schemas.openxmlformats.org/officeDocument/2006/customXml" ds:itemID="{4C6618B9-A92B-49D6-8B5A-55E310767B13}">
  <ds:schemaRefs/>
</ds:datastoreItem>
</file>

<file path=customXml/itemProps12.xml><?xml version="1.0" encoding="utf-8"?>
<ds:datastoreItem xmlns:ds="http://schemas.openxmlformats.org/officeDocument/2006/customXml" ds:itemID="{A9629696-D73A-4AC0-9C90-476ECCEE9BC6}">
  <ds:schemaRefs/>
</ds:datastoreItem>
</file>

<file path=customXml/itemProps13.xml><?xml version="1.0" encoding="utf-8"?>
<ds:datastoreItem xmlns:ds="http://schemas.openxmlformats.org/officeDocument/2006/customXml" ds:itemID="{DF8D8970-8BF3-4A82-8933-0EF901839364}">
  <ds:schemaRefs/>
</ds:datastoreItem>
</file>

<file path=customXml/itemProps14.xml><?xml version="1.0" encoding="utf-8"?>
<ds:datastoreItem xmlns:ds="http://schemas.openxmlformats.org/officeDocument/2006/customXml" ds:itemID="{4D364090-8E75-46AA-894E-6326306D1A81}">
  <ds:schemaRefs/>
</ds:datastoreItem>
</file>

<file path=customXml/itemProps15.xml><?xml version="1.0" encoding="utf-8"?>
<ds:datastoreItem xmlns:ds="http://schemas.openxmlformats.org/officeDocument/2006/customXml" ds:itemID="{49B7325D-3E32-401A-877B-C4E01249189E}">
  <ds:schemaRefs/>
</ds:datastoreItem>
</file>

<file path=customXml/itemProps16.xml><?xml version="1.0" encoding="utf-8"?>
<ds:datastoreItem xmlns:ds="http://schemas.openxmlformats.org/officeDocument/2006/customXml" ds:itemID="{6CEF0E06-0D19-4390-AD37-FDB38ADBE2E7}">
  <ds:schemaRefs/>
</ds:datastoreItem>
</file>

<file path=customXml/itemProps17.xml><?xml version="1.0" encoding="utf-8"?>
<ds:datastoreItem xmlns:ds="http://schemas.openxmlformats.org/officeDocument/2006/customXml" ds:itemID="{11022A89-42F8-4F08-B45D-66FDDA41E4CD}">
  <ds:schemaRefs/>
</ds:datastoreItem>
</file>

<file path=customXml/itemProps18.xml><?xml version="1.0" encoding="utf-8"?>
<ds:datastoreItem xmlns:ds="http://schemas.openxmlformats.org/officeDocument/2006/customXml" ds:itemID="{CEDF1E8B-5171-408A-BA56-4D468F3983AF}">
  <ds:schemaRefs/>
</ds:datastoreItem>
</file>

<file path=customXml/itemProps19.xml><?xml version="1.0" encoding="utf-8"?>
<ds:datastoreItem xmlns:ds="http://schemas.openxmlformats.org/officeDocument/2006/customXml" ds:itemID="{E0581B00-CC29-4B25-9263-93571AD1E3FF}">
  <ds:schemaRefs/>
</ds:datastoreItem>
</file>

<file path=customXml/itemProps2.xml><?xml version="1.0" encoding="utf-8"?>
<ds:datastoreItem xmlns:ds="http://schemas.openxmlformats.org/officeDocument/2006/customXml" ds:itemID="{15A9F567-781D-4E69-AA16-470BDA0A1F1E}">
  <ds:schemaRefs/>
</ds:datastoreItem>
</file>

<file path=customXml/itemProps20.xml><?xml version="1.0" encoding="utf-8"?>
<ds:datastoreItem xmlns:ds="http://schemas.openxmlformats.org/officeDocument/2006/customXml" ds:itemID="{B3BB3ABD-BD7D-45CE-9435-03B4D5094BBC}">
  <ds:schemaRefs/>
</ds:datastoreItem>
</file>

<file path=customXml/itemProps21.xml><?xml version="1.0" encoding="utf-8"?>
<ds:datastoreItem xmlns:ds="http://schemas.openxmlformats.org/officeDocument/2006/customXml" ds:itemID="{BD3D1D40-7442-45B0-A581-042B3478B174}">
  <ds:schemaRefs/>
</ds:datastoreItem>
</file>

<file path=customXml/itemProps22.xml><?xml version="1.0" encoding="utf-8"?>
<ds:datastoreItem xmlns:ds="http://schemas.openxmlformats.org/officeDocument/2006/customXml" ds:itemID="{C04D1A0B-4AE1-4D6E-9365-3BA1D53B7155}">
  <ds:schemaRefs/>
</ds:datastoreItem>
</file>

<file path=customXml/itemProps23.xml><?xml version="1.0" encoding="utf-8"?>
<ds:datastoreItem xmlns:ds="http://schemas.openxmlformats.org/officeDocument/2006/customXml" ds:itemID="{05FCA8C1-4419-425A-BC6E-DD5628D8941C}">
  <ds:schemaRefs/>
</ds:datastoreItem>
</file>

<file path=customXml/itemProps24.xml><?xml version="1.0" encoding="utf-8"?>
<ds:datastoreItem xmlns:ds="http://schemas.openxmlformats.org/officeDocument/2006/customXml" ds:itemID="{DC8F3D4B-DDED-474C-8DF8-97C84B55214C}">
  <ds:schemaRefs/>
</ds:datastoreItem>
</file>

<file path=customXml/itemProps25.xml><?xml version="1.0" encoding="utf-8"?>
<ds:datastoreItem xmlns:ds="http://schemas.openxmlformats.org/officeDocument/2006/customXml" ds:itemID="{0C24AD21-CE29-4A1E-8E3C-FEB62021F08F}">
  <ds:schemaRefs/>
</ds:datastoreItem>
</file>

<file path=customXml/itemProps26.xml><?xml version="1.0" encoding="utf-8"?>
<ds:datastoreItem xmlns:ds="http://schemas.openxmlformats.org/officeDocument/2006/customXml" ds:itemID="{77821829-32FA-45C4-87D2-3F1354508A59}">
  <ds:schemaRefs/>
</ds:datastoreItem>
</file>

<file path=customXml/itemProps27.xml><?xml version="1.0" encoding="utf-8"?>
<ds:datastoreItem xmlns:ds="http://schemas.openxmlformats.org/officeDocument/2006/customXml" ds:itemID="{A72508CC-52DF-4BD8-A1A8-FA5AF447AD97}">
  <ds:schemaRefs/>
</ds:datastoreItem>
</file>

<file path=customXml/itemProps28.xml><?xml version="1.0" encoding="utf-8"?>
<ds:datastoreItem xmlns:ds="http://schemas.openxmlformats.org/officeDocument/2006/customXml" ds:itemID="{CC32A0AA-ED0C-474F-882C-70353B6D72F4}">
  <ds:schemaRefs/>
</ds:datastoreItem>
</file>

<file path=customXml/itemProps29.xml><?xml version="1.0" encoding="utf-8"?>
<ds:datastoreItem xmlns:ds="http://schemas.openxmlformats.org/officeDocument/2006/customXml" ds:itemID="{CD0369A9-0973-424B-B138-8CAAF6BC9B0D}">
  <ds:schemaRefs/>
</ds:datastoreItem>
</file>

<file path=customXml/itemProps3.xml><?xml version="1.0" encoding="utf-8"?>
<ds:datastoreItem xmlns:ds="http://schemas.openxmlformats.org/officeDocument/2006/customXml" ds:itemID="{5925682D-ECD0-4AF9-9B77-C9F28D3170AB}">
  <ds:schemaRefs/>
</ds:datastoreItem>
</file>

<file path=customXml/itemProps30.xml><?xml version="1.0" encoding="utf-8"?>
<ds:datastoreItem xmlns:ds="http://schemas.openxmlformats.org/officeDocument/2006/customXml" ds:itemID="{D717D68A-D338-4B3E-831E-2B59F23299FA}">
  <ds:schemaRefs/>
</ds:datastoreItem>
</file>

<file path=customXml/itemProps31.xml><?xml version="1.0" encoding="utf-8"?>
<ds:datastoreItem xmlns:ds="http://schemas.openxmlformats.org/officeDocument/2006/customXml" ds:itemID="{FD0CCE67-04BC-4040-87AB-A54AA2B7CD57}">
  <ds:schemaRefs/>
</ds:datastoreItem>
</file>

<file path=customXml/itemProps32.xml><?xml version="1.0" encoding="utf-8"?>
<ds:datastoreItem xmlns:ds="http://schemas.openxmlformats.org/officeDocument/2006/customXml" ds:itemID="{4CC5DD26-7031-4303-B3E0-ADACE4AB77AD}">
  <ds:schemaRefs/>
</ds:datastoreItem>
</file>

<file path=customXml/itemProps33.xml><?xml version="1.0" encoding="utf-8"?>
<ds:datastoreItem xmlns:ds="http://schemas.openxmlformats.org/officeDocument/2006/customXml" ds:itemID="{C41ABAC0-FE8F-4B23-9FBD-07C3406002A9}">
  <ds:schemaRefs/>
</ds:datastoreItem>
</file>

<file path=customXml/itemProps34.xml><?xml version="1.0" encoding="utf-8"?>
<ds:datastoreItem xmlns:ds="http://schemas.openxmlformats.org/officeDocument/2006/customXml" ds:itemID="{A75AAA18-53E8-4F21-ABD0-576728FAA014}">
  <ds:schemaRefs/>
</ds:datastoreItem>
</file>

<file path=customXml/itemProps35.xml><?xml version="1.0" encoding="utf-8"?>
<ds:datastoreItem xmlns:ds="http://schemas.openxmlformats.org/officeDocument/2006/customXml" ds:itemID="{08626635-B0C6-4791-9233-79C3D1F5D214}">
  <ds:schemaRefs/>
</ds:datastoreItem>
</file>

<file path=customXml/itemProps36.xml><?xml version="1.0" encoding="utf-8"?>
<ds:datastoreItem xmlns:ds="http://schemas.openxmlformats.org/officeDocument/2006/customXml" ds:itemID="{FA956EC1-9E74-45E9-ACD4-251C0711423E}">
  <ds:schemaRefs/>
</ds:datastoreItem>
</file>

<file path=customXml/itemProps37.xml><?xml version="1.0" encoding="utf-8"?>
<ds:datastoreItem xmlns:ds="http://schemas.openxmlformats.org/officeDocument/2006/customXml" ds:itemID="{A33270FC-AB5C-4ED5-9629-46EE2408867C}">
  <ds:schemaRefs/>
</ds:datastoreItem>
</file>

<file path=customXml/itemProps38.xml><?xml version="1.0" encoding="utf-8"?>
<ds:datastoreItem xmlns:ds="http://schemas.openxmlformats.org/officeDocument/2006/customXml" ds:itemID="{24803759-21F0-452F-99E0-A1D960168206}">
  <ds:schemaRefs/>
</ds:datastoreItem>
</file>

<file path=customXml/itemProps39.xml><?xml version="1.0" encoding="utf-8"?>
<ds:datastoreItem xmlns:ds="http://schemas.openxmlformats.org/officeDocument/2006/customXml" ds:itemID="{FC178016-FB3A-4B0B-8E5C-78935489D5AE}">
  <ds:schemaRefs/>
</ds:datastoreItem>
</file>

<file path=customXml/itemProps4.xml><?xml version="1.0" encoding="utf-8"?>
<ds:datastoreItem xmlns:ds="http://schemas.openxmlformats.org/officeDocument/2006/customXml" ds:itemID="{6ACBB7A8-43E7-4605-8DCE-CFD4052DA845}">
  <ds:schemaRefs/>
</ds:datastoreItem>
</file>

<file path=customXml/itemProps40.xml><?xml version="1.0" encoding="utf-8"?>
<ds:datastoreItem xmlns:ds="http://schemas.openxmlformats.org/officeDocument/2006/customXml" ds:itemID="{6F055459-41FC-452F-8DA4-04FE41E0A620}">
  <ds:schemaRefs/>
</ds:datastoreItem>
</file>

<file path=customXml/itemProps41.xml><?xml version="1.0" encoding="utf-8"?>
<ds:datastoreItem xmlns:ds="http://schemas.openxmlformats.org/officeDocument/2006/customXml" ds:itemID="{F7830D97-8108-4171-86C8-DB96266BBF7A}">
  <ds:schemaRefs/>
</ds:datastoreItem>
</file>

<file path=customXml/itemProps42.xml><?xml version="1.0" encoding="utf-8"?>
<ds:datastoreItem xmlns:ds="http://schemas.openxmlformats.org/officeDocument/2006/customXml" ds:itemID="{3862D681-6FD2-40DC-8667-7E3D04CC1915}">
  <ds:schemaRefs/>
</ds:datastoreItem>
</file>

<file path=customXml/itemProps43.xml><?xml version="1.0" encoding="utf-8"?>
<ds:datastoreItem xmlns:ds="http://schemas.openxmlformats.org/officeDocument/2006/customXml" ds:itemID="{28608600-3D3A-41F7-83CA-6C241ADA725E}">
  <ds:schemaRefs/>
</ds:datastoreItem>
</file>

<file path=customXml/itemProps44.xml><?xml version="1.0" encoding="utf-8"?>
<ds:datastoreItem xmlns:ds="http://schemas.openxmlformats.org/officeDocument/2006/customXml" ds:itemID="{3FA71430-5EF9-4E08-BCED-3250AC53EEEA}">
  <ds:schemaRefs/>
</ds:datastoreItem>
</file>

<file path=customXml/itemProps45.xml><?xml version="1.0" encoding="utf-8"?>
<ds:datastoreItem xmlns:ds="http://schemas.openxmlformats.org/officeDocument/2006/customXml" ds:itemID="{6F302D75-B98D-4AE1-8054-75DD65BB88F6}">
  <ds:schemaRefs/>
</ds:datastoreItem>
</file>

<file path=customXml/itemProps46.xml><?xml version="1.0" encoding="utf-8"?>
<ds:datastoreItem xmlns:ds="http://schemas.openxmlformats.org/officeDocument/2006/customXml" ds:itemID="{65D31BBA-F545-4749-AA83-FE709E68C2BF}">
  <ds:schemaRefs/>
</ds:datastoreItem>
</file>

<file path=customXml/itemProps47.xml><?xml version="1.0" encoding="utf-8"?>
<ds:datastoreItem xmlns:ds="http://schemas.openxmlformats.org/officeDocument/2006/customXml" ds:itemID="{3DAD48BE-29E3-4A8E-8B90-CFE0BC4711B7}">
  <ds:schemaRefs/>
</ds:datastoreItem>
</file>

<file path=customXml/itemProps48.xml><?xml version="1.0" encoding="utf-8"?>
<ds:datastoreItem xmlns:ds="http://schemas.openxmlformats.org/officeDocument/2006/customXml" ds:itemID="{6E986F70-B2D4-46B8-A882-3DD860EF7586}">
  <ds:schemaRefs/>
</ds:datastoreItem>
</file>

<file path=customXml/itemProps49.xml><?xml version="1.0" encoding="utf-8"?>
<ds:datastoreItem xmlns:ds="http://schemas.openxmlformats.org/officeDocument/2006/customXml" ds:itemID="{ECA7F8EE-063E-47D7-A367-BADF8A20F880}">
  <ds:schemaRefs/>
</ds:datastoreItem>
</file>

<file path=customXml/itemProps5.xml><?xml version="1.0" encoding="utf-8"?>
<ds:datastoreItem xmlns:ds="http://schemas.openxmlformats.org/officeDocument/2006/customXml" ds:itemID="{627B82D8-F152-4C89-AEB2-3730C39926FA}">
  <ds:schemaRefs/>
</ds:datastoreItem>
</file>

<file path=customXml/itemProps50.xml><?xml version="1.0" encoding="utf-8"?>
<ds:datastoreItem xmlns:ds="http://schemas.openxmlformats.org/officeDocument/2006/customXml" ds:itemID="{0237BBE6-1D60-4A28-BE4E-5A4ABCD715DD}">
  <ds:schemaRefs/>
</ds:datastoreItem>
</file>

<file path=customXml/itemProps51.xml><?xml version="1.0" encoding="utf-8"?>
<ds:datastoreItem xmlns:ds="http://schemas.openxmlformats.org/officeDocument/2006/customXml" ds:itemID="{40A7FB57-BC85-4DB3-8A60-70F3A1783524}">
  <ds:schemaRefs/>
</ds:datastoreItem>
</file>

<file path=customXml/itemProps52.xml><?xml version="1.0" encoding="utf-8"?>
<ds:datastoreItem xmlns:ds="http://schemas.openxmlformats.org/officeDocument/2006/customXml" ds:itemID="{AB2488C8-851F-4014-B269-04CE0BDD8C21}">
  <ds:schemaRefs/>
</ds:datastoreItem>
</file>

<file path=customXml/itemProps53.xml><?xml version="1.0" encoding="utf-8"?>
<ds:datastoreItem xmlns:ds="http://schemas.openxmlformats.org/officeDocument/2006/customXml" ds:itemID="{6E1088DE-E4BA-459F-8FFC-8A500747073C}">
  <ds:schemaRefs/>
</ds:datastoreItem>
</file>

<file path=customXml/itemProps54.xml><?xml version="1.0" encoding="utf-8"?>
<ds:datastoreItem xmlns:ds="http://schemas.openxmlformats.org/officeDocument/2006/customXml" ds:itemID="{8F6757E3-D4F2-463A-99D6-D23307D14AE0}">
  <ds:schemaRefs/>
</ds:datastoreItem>
</file>

<file path=customXml/itemProps55.xml><?xml version="1.0" encoding="utf-8"?>
<ds:datastoreItem xmlns:ds="http://schemas.openxmlformats.org/officeDocument/2006/customXml" ds:itemID="{3F409874-D326-4A68-8AFC-8793E2491559}">
  <ds:schemaRefs/>
</ds:datastoreItem>
</file>

<file path=customXml/itemProps56.xml><?xml version="1.0" encoding="utf-8"?>
<ds:datastoreItem xmlns:ds="http://schemas.openxmlformats.org/officeDocument/2006/customXml" ds:itemID="{0FF12962-63C4-4771-95FA-82739F8BF30C}">
  <ds:schemaRefs/>
</ds:datastoreItem>
</file>

<file path=customXml/itemProps57.xml><?xml version="1.0" encoding="utf-8"?>
<ds:datastoreItem xmlns:ds="http://schemas.openxmlformats.org/officeDocument/2006/customXml" ds:itemID="{4F28F9A7-9835-4828-97BD-46026D3F16B9}">
  <ds:schemaRefs/>
</ds:datastoreItem>
</file>

<file path=customXml/itemProps58.xml><?xml version="1.0" encoding="utf-8"?>
<ds:datastoreItem xmlns:ds="http://schemas.openxmlformats.org/officeDocument/2006/customXml" ds:itemID="{652EFEA8-3CD6-4F19-9EA0-8A162617DFC1}">
  <ds:schemaRefs/>
</ds:datastoreItem>
</file>

<file path=customXml/itemProps59.xml><?xml version="1.0" encoding="utf-8"?>
<ds:datastoreItem xmlns:ds="http://schemas.openxmlformats.org/officeDocument/2006/customXml" ds:itemID="{A585DEDB-8F8D-4D80-B303-52AE558C1D04}">
  <ds:schemaRefs/>
</ds:datastoreItem>
</file>

<file path=customXml/itemProps6.xml><?xml version="1.0" encoding="utf-8"?>
<ds:datastoreItem xmlns:ds="http://schemas.openxmlformats.org/officeDocument/2006/customXml" ds:itemID="{5727298C-2186-4415-9BA9-3B0ACD284055}">
  <ds:schemaRefs/>
</ds:datastoreItem>
</file>

<file path=customXml/itemProps60.xml><?xml version="1.0" encoding="utf-8"?>
<ds:datastoreItem xmlns:ds="http://schemas.openxmlformats.org/officeDocument/2006/customXml" ds:itemID="{324BCCC3-82C4-4490-875C-A6DF65F07598}">
  <ds:schemaRefs/>
</ds:datastoreItem>
</file>

<file path=customXml/itemProps61.xml><?xml version="1.0" encoding="utf-8"?>
<ds:datastoreItem xmlns:ds="http://schemas.openxmlformats.org/officeDocument/2006/customXml" ds:itemID="{287AED66-43D5-4F06-A9C4-7B7491E9E519}">
  <ds:schemaRefs/>
</ds:datastoreItem>
</file>

<file path=customXml/itemProps62.xml><?xml version="1.0" encoding="utf-8"?>
<ds:datastoreItem xmlns:ds="http://schemas.openxmlformats.org/officeDocument/2006/customXml" ds:itemID="{5FFBCDE4-4564-4408-8919-772003F770AE}">
  <ds:schemaRefs/>
</ds:datastoreItem>
</file>

<file path=customXml/itemProps63.xml><?xml version="1.0" encoding="utf-8"?>
<ds:datastoreItem xmlns:ds="http://schemas.openxmlformats.org/officeDocument/2006/customXml" ds:itemID="{22149CC5-A7FE-4FEF-A8FF-E6945069A272}">
  <ds:schemaRefs/>
</ds:datastoreItem>
</file>

<file path=customXml/itemProps64.xml><?xml version="1.0" encoding="utf-8"?>
<ds:datastoreItem xmlns:ds="http://schemas.openxmlformats.org/officeDocument/2006/customXml" ds:itemID="{71B9FB5F-619F-4A8B-A649-C7E63242FB9D}">
  <ds:schemaRefs/>
</ds:datastoreItem>
</file>

<file path=customXml/itemProps65.xml><?xml version="1.0" encoding="utf-8"?>
<ds:datastoreItem xmlns:ds="http://schemas.openxmlformats.org/officeDocument/2006/customXml" ds:itemID="{1E04FACB-540D-4E3D-8631-9D834E9136B6}">
  <ds:schemaRefs/>
</ds:datastoreItem>
</file>

<file path=customXml/itemProps66.xml><?xml version="1.0" encoding="utf-8"?>
<ds:datastoreItem xmlns:ds="http://schemas.openxmlformats.org/officeDocument/2006/customXml" ds:itemID="{B04E372F-2CBB-4AFE-A0B3-483E770DA09A}">
  <ds:schemaRefs/>
</ds:datastoreItem>
</file>

<file path=customXml/itemProps67.xml><?xml version="1.0" encoding="utf-8"?>
<ds:datastoreItem xmlns:ds="http://schemas.openxmlformats.org/officeDocument/2006/customXml" ds:itemID="{D42B85A3-A3E6-447B-BD2F-E60D71E36746}">
  <ds:schemaRefs/>
</ds:datastoreItem>
</file>

<file path=customXml/itemProps68.xml><?xml version="1.0" encoding="utf-8"?>
<ds:datastoreItem xmlns:ds="http://schemas.openxmlformats.org/officeDocument/2006/customXml" ds:itemID="{991ECB23-D32D-4A05-A748-433A9CF32109}">
  <ds:schemaRefs/>
</ds:datastoreItem>
</file>

<file path=customXml/itemProps69.xml><?xml version="1.0" encoding="utf-8"?>
<ds:datastoreItem xmlns:ds="http://schemas.openxmlformats.org/officeDocument/2006/customXml" ds:itemID="{DC5F6E68-2F30-4115-992E-CB2C38EA0CA5}">
  <ds:schemaRefs/>
</ds:datastoreItem>
</file>

<file path=customXml/itemProps7.xml><?xml version="1.0" encoding="utf-8"?>
<ds:datastoreItem xmlns:ds="http://schemas.openxmlformats.org/officeDocument/2006/customXml" ds:itemID="{6B15DF7B-94F9-46EB-B0CE-79432771BB0E}">
  <ds:schemaRefs/>
</ds:datastoreItem>
</file>

<file path=customXml/itemProps70.xml><?xml version="1.0" encoding="utf-8"?>
<ds:datastoreItem xmlns:ds="http://schemas.openxmlformats.org/officeDocument/2006/customXml" ds:itemID="{F81EF4FC-D231-4257-B395-6E3A5BBC9CCE}">
  <ds:schemaRefs/>
</ds:datastoreItem>
</file>

<file path=customXml/itemProps71.xml><?xml version="1.0" encoding="utf-8"?>
<ds:datastoreItem xmlns:ds="http://schemas.openxmlformats.org/officeDocument/2006/customXml" ds:itemID="{F13D9F60-9102-414D-81B8-2F56FCDE6E8B}">
  <ds:schemaRefs/>
</ds:datastoreItem>
</file>

<file path=customXml/itemProps72.xml><?xml version="1.0" encoding="utf-8"?>
<ds:datastoreItem xmlns:ds="http://schemas.openxmlformats.org/officeDocument/2006/customXml" ds:itemID="{003A4E45-17F6-43D2-B663-7901F46B7B04}">
  <ds:schemaRefs/>
</ds:datastoreItem>
</file>

<file path=customXml/itemProps73.xml><?xml version="1.0" encoding="utf-8"?>
<ds:datastoreItem xmlns:ds="http://schemas.openxmlformats.org/officeDocument/2006/customXml" ds:itemID="{964DEEE1-5A0A-49B4-A236-53276675543E}">
  <ds:schemaRefs/>
</ds:datastoreItem>
</file>

<file path=customXml/itemProps74.xml><?xml version="1.0" encoding="utf-8"?>
<ds:datastoreItem xmlns:ds="http://schemas.openxmlformats.org/officeDocument/2006/customXml" ds:itemID="{B65546FD-A064-45B6-908C-8D9295B788D7}">
  <ds:schemaRefs/>
</ds:datastoreItem>
</file>

<file path=customXml/itemProps75.xml><?xml version="1.0" encoding="utf-8"?>
<ds:datastoreItem xmlns:ds="http://schemas.openxmlformats.org/officeDocument/2006/customXml" ds:itemID="{4544C9CE-DE0C-4516-BE78-96A7C12B94AA}">
  <ds:schemaRefs/>
</ds:datastoreItem>
</file>

<file path=customXml/itemProps76.xml><?xml version="1.0" encoding="utf-8"?>
<ds:datastoreItem xmlns:ds="http://schemas.openxmlformats.org/officeDocument/2006/customXml" ds:itemID="{493A2B5F-1012-4396-8182-38C8C60D4997}">
  <ds:schemaRefs/>
</ds:datastoreItem>
</file>

<file path=customXml/itemProps77.xml><?xml version="1.0" encoding="utf-8"?>
<ds:datastoreItem xmlns:ds="http://schemas.openxmlformats.org/officeDocument/2006/customXml" ds:itemID="{D4785A8B-F802-4AA4-A706-45E391BDF20C}">
  <ds:schemaRefs/>
</ds:datastoreItem>
</file>

<file path=customXml/itemProps78.xml><?xml version="1.0" encoding="utf-8"?>
<ds:datastoreItem xmlns:ds="http://schemas.openxmlformats.org/officeDocument/2006/customXml" ds:itemID="{60775127-C37C-49BC-BD0B-9E89E07BF60B}">
  <ds:schemaRefs/>
</ds:datastoreItem>
</file>

<file path=customXml/itemProps79.xml><?xml version="1.0" encoding="utf-8"?>
<ds:datastoreItem xmlns:ds="http://schemas.openxmlformats.org/officeDocument/2006/customXml" ds:itemID="{388A8970-B1C6-41AF-8A54-B2C0EB9626F3}">
  <ds:schemaRefs/>
</ds:datastoreItem>
</file>

<file path=customXml/itemProps8.xml><?xml version="1.0" encoding="utf-8"?>
<ds:datastoreItem xmlns:ds="http://schemas.openxmlformats.org/officeDocument/2006/customXml" ds:itemID="{4A80DFAB-BE54-4B41-863D-999699D0EA92}">
  <ds:schemaRefs/>
</ds:datastoreItem>
</file>

<file path=customXml/itemProps80.xml><?xml version="1.0" encoding="utf-8"?>
<ds:datastoreItem xmlns:ds="http://schemas.openxmlformats.org/officeDocument/2006/customXml" ds:itemID="{1010B3E2-D155-4ED9-B9C8-A3206AB4DE0E}">
  <ds:schemaRefs/>
</ds:datastoreItem>
</file>

<file path=customXml/itemProps81.xml><?xml version="1.0" encoding="utf-8"?>
<ds:datastoreItem xmlns:ds="http://schemas.openxmlformats.org/officeDocument/2006/customXml" ds:itemID="{6EE639F6-5B39-490F-A566-B0BCE935C27C}">
  <ds:schemaRefs/>
</ds:datastoreItem>
</file>

<file path=customXml/itemProps82.xml><?xml version="1.0" encoding="utf-8"?>
<ds:datastoreItem xmlns:ds="http://schemas.openxmlformats.org/officeDocument/2006/customXml" ds:itemID="{088339AE-D74C-47C6-8173-93252FE6D7FE}">
  <ds:schemaRefs/>
</ds:datastoreItem>
</file>

<file path=customXml/itemProps83.xml><?xml version="1.0" encoding="utf-8"?>
<ds:datastoreItem xmlns:ds="http://schemas.openxmlformats.org/officeDocument/2006/customXml" ds:itemID="{6FDB6B9A-0FA9-4248-B312-37D7AF66E59F}">
  <ds:schemaRefs/>
</ds:datastoreItem>
</file>

<file path=customXml/itemProps84.xml><?xml version="1.0" encoding="utf-8"?>
<ds:datastoreItem xmlns:ds="http://schemas.openxmlformats.org/officeDocument/2006/customXml" ds:itemID="{D2B3D5F7-3E37-4233-96F0-0CDEDC5D631A}">
  <ds:schemaRefs/>
</ds:datastoreItem>
</file>

<file path=customXml/itemProps85.xml><?xml version="1.0" encoding="utf-8"?>
<ds:datastoreItem xmlns:ds="http://schemas.openxmlformats.org/officeDocument/2006/customXml" ds:itemID="{E0C73281-E5D5-47C5-9552-346D1BAA784A}">
  <ds:schemaRefs/>
</ds:datastoreItem>
</file>

<file path=customXml/itemProps86.xml><?xml version="1.0" encoding="utf-8"?>
<ds:datastoreItem xmlns:ds="http://schemas.openxmlformats.org/officeDocument/2006/customXml" ds:itemID="{86E46B1E-39D1-453B-A829-0DAD0AE2280D}">
  <ds:schemaRefs/>
</ds:datastoreItem>
</file>

<file path=customXml/itemProps87.xml><?xml version="1.0" encoding="utf-8"?>
<ds:datastoreItem xmlns:ds="http://schemas.openxmlformats.org/officeDocument/2006/customXml" ds:itemID="{A94B9955-2C59-48B6-BD1F-5237BBEB5D3C}">
  <ds:schemaRefs/>
</ds:datastoreItem>
</file>

<file path=customXml/itemProps88.xml><?xml version="1.0" encoding="utf-8"?>
<ds:datastoreItem xmlns:ds="http://schemas.openxmlformats.org/officeDocument/2006/customXml" ds:itemID="{2B0DD391-E925-4DB3-B1E0-7815AD277E87}">
  <ds:schemaRefs/>
</ds:datastoreItem>
</file>

<file path=customXml/itemProps89.xml><?xml version="1.0" encoding="utf-8"?>
<ds:datastoreItem xmlns:ds="http://schemas.openxmlformats.org/officeDocument/2006/customXml" ds:itemID="{221AFFB2-2272-438A-BE17-CD61CEAE33A6}">
  <ds:schemaRefs/>
</ds:datastoreItem>
</file>

<file path=customXml/itemProps9.xml><?xml version="1.0" encoding="utf-8"?>
<ds:datastoreItem xmlns:ds="http://schemas.openxmlformats.org/officeDocument/2006/customXml" ds:itemID="{50B9E9FB-0FB5-4D52-9300-EE28E6ADE8DC}">
  <ds:schemaRefs/>
</ds:datastoreItem>
</file>

<file path=customXml/itemProps90.xml><?xml version="1.0" encoding="utf-8"?>
<ds:datastoreItem xmlns:ds="http://schemas.openxmlformats.org/officeDocument/2006/customXml" ds:itemID="{ED3FFF52-4E67-4539-8CAB-6698EC9F72F8}">
  <ds:schemaRefs/>
</ds:datastoreItem>
</file>

<file path=customXml/itemProps91.xml><?xml version="1.0" encoding="utf-8"?>
<ds:datastoreItem xmlns:ds="http://schemas.openxmlformats.org/officeDocument/2006/customXml" ds:itemID="{DC1E17C7-CB46-41B0-87A6-81236CF855C8}">
  <ds:schemaRefs/>
</ds:datastoreItem>
</file>

<file path=customXml/itemProps92.xml><?xml version="1.0" encoding="utf-8"?>
<ds:datastoreItem xmlns:ds="http://schemas.openxmlformats.org/officeDocument/2006/customXml" ds:itemID="{11AF83D0-E036-4E98-AE51-203E3F8BBFEC}">
  <ds:schemaRefs/>
</ds:datastoreItem>
</file>

<file path=customXml/itemProps93.xml><?xml version="1.0" encoding="utf-8"?>
<ds:datastoreItem xmlns:ds="http://schemas.openxmlformats.org/officeDocument/2006/customXml" ds:itemID="{A3CA4B49-F920-428E-AA6A-7BB5CA3BF510}">
  <ds:schemaRefs/>
</ds:datastoreItem>
</file>

<file path=customXml/itemProps94.xml><?xml version="1.0" encoding="utf-8"?>
<ds:datastoreItem xmlns:ds="http://schemas.openxmlformats.org/officeDocument/2006/customXml" ds:itemID="{D42D8F01-5AD0-494C-A67F-7BB03736B8C4}">
  <ds:schemaRefs/>
</ds:datastoreItem>
</file>

<file path=customXml/itemProps95.xml><?xml version="1.0" encoding="utf-8"?>
<ds:datastoreItem xmlns:ds="http://schemas.openxmlformats.org/officeDocument/2006/customXml" ds:itemID="{7ED90E98-9423-4A2A-B72A-9B6E4C7F02A2}">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70</Pages>
  <Words>6821</Words>
  <Characters>38882</Characters>
  <Lines>324</Lines>
  <Paragraphs>91</Paragraphs>
  <TotalTime>0</TotalTime>
  <ScaleCrop>false</ScaleCrop>
  <LinksUpToDate>false</LinksUpToDate>
  <CharactersWithSpaces>45612</CharactersWithSpaces>
  <Application>WPS Office_10.1.0.5559_F1E327BC-269C-435d-A152-05C5408002CA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2022-06-27T01:56:00Z</dcterms:created>
  <dc:creator>czj-01</dc:creator>
  <cp:lastModifiedBy>Administrator</cp:lastModifiedBy>
  <dcterms:modified xsi:type="dcterms:W3CDTF">2023-08-07T02:50:11Z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2052-10.1.0.5559</vt:lpwstr>
  </property>
</Properties>
</file>