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四日</w:t>
                            </w:r>
                          </w:p>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四日</w:t>
                      </w:r>
                    </w:p>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yellow"/>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yellow"/>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石家庄市鹿泉区石井乡人民政府</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after="160" w:line="580" w:lineRule="exact"/>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73600" behindDoc="0" locked="1" layoutInCell="1" allowOverlap="1">
                <wp:simplePos x="0" y="0"/>
                <wp:positionH relativeFrom="column">
                  <wp:posOffset>-1026160</wp:posOffset>
                </wp:positionH>
                <wp:positionV relativeFrom="page">
                  <wp:posOffset>501650</wp:posOffset>
                </wp:positionV>
                <wp:extent cx="3114675" cy="593090"/>
                <wp:effectExtent l="0" t="0" r="9525" b="16510"/>
                <wp:wrapNone/>
                <wp:docPr id="28" name="组合 28"/>
                <wp:cNvGraphicFramePr/>
                <a:graphic xmlns:a="http://schemas.openxmlformats.org/drawingml/2006/main">
                  <a:graphicData uri="http://schemas.microsoft.com/office/word/2010/wordprocessingGroup">
                    <wpg:wgp>
                      <wpg:cNvGrpSpPr/>
                      <wpg:grpSpPr>
                        <a:xfrm>
                          <a:off x="0" y="0"/>
                          <a:ext cx="3114675" cy="592957"/>
                          <a:chOff x="4551" y="52615"/>
                          <a:chExt cx="8546" cy="1398"/>
                        </a:xfrm>
                      </wpg:grpSpPr>
                      <wps:wsp>
                        <wps:cNvPr id="3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5pt;height:46.7pt;width:245.25pt;mso-position-vertical-relative:page;z-index:251673600;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CCWaMLwAAADb&#10;AAAADwAAAGRycy9kb3ducmV2LnhtbEWPT2sCMRTE74LfIbxCb5qooLIaPRRLe6p/Dx4fm9fN0s3L&#10;Nom6/faNIHgcZuY3zHLduUZcKcTas4bRUIEgLr2pudJwOr4P5iBiQjbYeCYNfxRhver3llgYf+M9&#10;XQ+pEhnCsUANNqW2kDKWlhzGoW+Js/ftg8OUZaikCXjLcNfIsVJT6bDmvGCxpTdL5c/h4jTsLl+2&#10;mpzD7Jg+2m5zVtOd2f5q/foyUgsQibr0DD/an0bDZAz3L/kHyN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glmj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t7VAy7gAAADb&#10;AAAADwAAAGRycy9kb3ducmV2LnhtbEWPzQrCMBCE74LvEFbwpqk/qFTTHgTBgxe1eF6btS02m9JE&#10;q29vBMHjMDPfMJv0ZWrxpNZVlhVMxhEI4tzqigsF2Xk3WoFwHlljbZkUvMlBmvR7G4y17fhIz5Mv&#10;RICwi1FB6X0TS+nykgy6sW2Ig3ezrUEfZFtI3WIX4KaW0yhaSIMVh4USG9qWlN9PD6PAVMvb43o5&#10;1EcnD6ucssJm206p4WASrUF4evl/+NfeawWzOXy/hB8gk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t7VAy7gAAADbAAAA&#10;DwAAAAAAAAABACAAAAAiAAAAZHJzL2Rvd25yZXYueG1sUEsBAhQAFAAAAAgAh07iQDMvBZ47AAAA&#10;OQAAABAAAAAAAAAAAQAgAAAABwEAAGRycy9zaGFwZXhtbC54bWxQSwUGAAAAAAYABgBbAQAAsQMA&#10;AAAA&#10;">
                  <v:fill on="t" focussize="0,0"/>
                  <v:stroke weight="1pt" color="#2F528F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pPr>
        <w:widowControl/>
        <w:spacing w:line="600" w:lineRule="exact"/>
        <w:ind w:firstLine="630"/>
        <w:jc w:val="left"/>
        <w:rPr>
          <w:rFonts w:hint="eastAsia" w:ascii="仿宋" w:hAnsi="仿宋" w:eastAsia="仿宋" w:cs="宋体"/>
          <w:kern w:val="0"/>
          <w:sz w:val="32"/>
          <w:szCs w:val="32"/>
        </w:rPr>
      </w:pPr>
      <w:r>
        <w:rPr>
          <w:rFonts w:hint="eastAsia" w:ascii="仿宋_GB2312" w:hAnsi="宋体" w:eastAsia="仿宋_GB2312"/>
          <w:color w:val="000000"/>
          <w:sz w:val="32"/>
          <w:szCs w:val="32"/>
        </w:rPr>
        <w:t>1</w:t>
      </w:r>
      <w:r>
        <w:rPr>
          <w:rFonts w:hint="eastAsia" w:ascii="仿宋" w:hAnsi="仿宋" w:eastAsia="仿宋" w:cs="宋体"/>
          <w:kern w:val="0"/>
          <w:sz w:val="32"/>
          <w:szCs w:val="32"/>
        </w:rPr>
        <w:t>、</w:t>
      </w:r>
      <w:r>
        <w:rPr>
          <w:rFonts w:hint="eastAsia" w:ascii="仿宋" w:hAnsi="仿宋" w:eastAsia="仿宋" w:cs="宋体"/>
          <w:b/>
          <w:kern w:val="0"/>
          <w:sz w:val="32"/>
          <w:szCs w:val="32"/>
        </w:rPr>
        <w:t>机关事务管理</w:t>
      </w:r>
      <w:r>
        <w:rPr>
          <w:rFonts w:hint="eastAsia" w:ascii="仿宋" w:hAnsi="仿宋" w:eastAsia="仿宋" w:cs="宋体"/>
          <w:kern w:val="0"/>
          <w:sz w:val="32"/>
          <w:szCs w:val="32"/>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以及与各部门社会事务工作的指导服务和协调。</w:t>
      </w:r>
    </w:p>
    <w:p>
      <w:pPr>
        <w:widowControl/>
        <w:spacing w:line="600" w:lineRule="exact"/>
        <w:ind w:firstLine="630"/>
        <w:jc w:val="left"/>
        <w:rPr>
          <w:rFonts w:hint="eastAsia" w:ascii="仿宋" w:hAnsi="仿宋" w:eastAsia="仿宋" w:cs="宋体"/>
          <w:b/>
          <w:kern w:val="0"/>
          <w:sz w:val="32"/>
          <w:szCs w:val="32"/>
        </w:rPr>
      </w:pPr>
      <w:r>
        <w:rPr>
          <w:rFonts w:hint="eastAsia" w:ascii="仿宋" w:hAnsi="仿宋" w:eastAsia="仿宋" w:cs="宋体"/>
          <w:b/>
          <w:kern w:val="0"/>
          <w:sz w:val="32"/>
          <w:szCs w:val="32"/>
        </w:rPr>
        <w:t>2、农业综合服务。</w:t>
      </w:r>
      <w:r>
        <w:rPr>
          <w:rFonts w:hint="eastAsia" w:ascii="仿宋" w:hAnsi="仿宋" w:eastAsia="仿宋" w:cs="宋体"/>
          <w:kern w:val="0"/>
          <w:sz w:val="32"/>
          <w:szCs w:val="32"/>
        </w:rPr>
        <w:t>负责配合农口部门（农、林、牧、水）做好农业技术服务和技术推广工作，动物防疫工作；加强农田水利基本建设，增强农业抗御自然灾害的能力。做好农村一事一议项目管理。</w:t>
      </w:r>
    </w:p>
    <w:p>
      <w:pPr>
        <w:widowControl/>
        <w:spacing w:line="600" w:lineRule="exact"/>
        <w:ind w:firstLine="630"/>
        <w:jc w:val="left"/>
        <w:rPr>
          <w:rFonts w:hint="eastAsia" w:ascii="仿宋" w:hAnsi="仿宋" w:eastAsia="仿宋" w:cs="宋体"/>
          <w:kern w:val="0"/>
          <w:sz w:val="32"/>
          <w:szCs w:val="32"/>
        </w:rPr>
      </w:pPr>
      <w:r>
        <w:rPr>
          <w:rFonts w:hint="eastAsia" w:ascii="仿宋" w:hAnsi="仿宋" w:eastAsia="仿宋" w:cs="宋体"/>
          <w:b/>
          <w:kern w:val="0"/>
          <w:sz w:val="32"/>
          <w:szCs w:val="32"/>
        </w:rPr>
        <w:t>3、卫生计生服务</w:t>
      </w:r>
      <w:r>
        <w:rPr>
          <w:rFonts w:hint="eastAsia" w:ascii="仿宋" w:hAnsi="仿宋" w:eastAsia="仿宋" w:cs="宋体"/>
          <w:kern w:val="0"/>
          <w:sz w:val="32"/>
          <w:szCs w:val="32"/>
        </w:rPr>
        <w:t>。配合食品药品监督管理的协调、督导，做好新型农村合作医疗等卫生方面工作，负责计划生育技术服务及人口生育管理，负责育龄妇女普查、妇女病防治、四术及协会等项工作。</w:t>
      </w:r>
    </w:p>
    <w:p>
      <w:pPr>
        <w:widowControl/>
        <w:spacing w:line="600" w:lineRule="exact"/>
        <w:ind w:firstLine="630"/>
        <w:jc w:val="left"/>
        <w:rPr>
          <w:rFonts w:hint="eastAsia" w:ascii="方正小标宋_GBK" w:hAnsi="宋体" w:eastAsia="方正小标宋_GBK"/>
          <w:sz w:val="44"/>
          <w:szCs w:val="44"/>
        </w:rPr>
      </w:pPr>
      <w:r>
        <w:rPr>
          <w:rFonts w:hint="eastAsia" w:ascii="仿宋" w:hAnsi="仿宋" w:eastAsia="仿宋" w:cs="宋体"/>
          <w:b/>
          <w:kern w:val="0"/>
          <w:sz w:val="32"/>
          <w:szCs w:val="32"/>
        </w:rPr>
        <w:t>4、文化综治服务。</w:t>
      </w:r>
      <w:r>
        <w:rPr>
          <w:rFonts w:hint="eastAsia" w:ascii="仿宋" w:hAnsi="仿宋" w:eastAsia="仿宋" w:cs="宋体"/>
          <w:kern w:val="0"/>
          <w:sz w:val="32"/>
          <w:szCs w:val="32"/>
        </w:rPr>
        <w:t>负责群众文化娱乐、体育活动、广播电视村村通等工作。</w:t>
      </w:r>
    </w:p>
    <w:p>
      <w:pPr>
        <w:pStyle w:val="2"/>
        <w:spacing w:before="0" w:after="0" w:line="600" w:lineRule="exact"/>
        <w:jc w:val="left"/>
        <w:rPr>
          <w:rFonts w:hint="eastAsia" w:ascii="仿宋" w:hAnsi="仿宋" w:eastAsia="仿宋"/>
          <w:sz w:val="32"/>
          <w:szCs w:val="32"/>
          <w:lang w:eastAsia="zh-CN"/>
        </w:rPr>
      </w:pPr>
      <w:r>
        <w:rPr>
          <w:rFonts w:hint="eastAsia" w:ascii="仿宋" w:hAnsi="仿宋" w:eastAsia="仿宋"/>
          <w:b/>
          <w:sz w:val="32"/>
          <w:szCs w:val="32"/>
          <w:lang w:eastAsia="zh-CN"/>
        </w:rPr>
        <w:t>5、社会保障服务。</w:t>
      </w:r>
      <w:r>
        <w:rPr>
          <w:rFonts w:hint="eastAsia" w:ascii="仿宋_GB2312" w:eastAsia="仿宋_GB2312" w:cs="ArialUnicodeMS" w:hAnsiTheme="minorHAnsi"/>
          <w:b w:val="0"/>
          <w:bCs w:val="0"/>
          <w:kern w:val="0"/>
          <w:sz w:val="32"/>
          <w:szCs w:val="32"/>
          <w:lang w:val="en-US" w:eastAsia="zh-CN" w:bidi="ar-SA"/>
        </w:rPr>
        <w:t>配合劳动保障部门做好劳动法的宣传贯彻、劳动就业、社会保障等工作。配合安全生产监督管理部门做好安全生产监督管理等工作。</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w:t>
      </w:r>
      <w:r>
        <w:rPr>
          <w:rFonts w:hint="eastAsia" w:ascii="仿宋_GB2312" w:eastAsia="仿宋_GB2312" w:cs="ArialUnicodeMS"/>
          <w:kern w:val="0"/>
          <w:sz w:val="32"/>
          <w:szCs w:val="32"/>
          <w:lang w:val="en-US" w:eastAsia="zh-CN"/>
        </w:rPr>
        <w:t>9</w:t>
      </w:r>
      <w:r>
        <w:rPr>
          <w:rFonts w:hint="eastAsia" w:ascii="仿宋_GB2312" w:eastAsia="仿宋_GB2312" w:cs="ArialUnicodeMS" w:hAnsiTheme="minorHAnsi"/>
          <w:kern w:val="0"/>
          <w:sz w:val="32"/>
          <w:szCs w:val="32"/>
        </w:rPr>
        <w:t xml:space="preserve"> 年度本部门决算汇编范围的独立核算单位（以下简称“单位”）共 </w:t>
      </w:r>
      <w:r>
        <w:rPr>
          <w:rFonts w:hint="eastAsia" w:ascii="仿宋_GB2312" w:eastAsia="仿宋_GB2312" w:cs="ArialUnicodeMS" w:hAnsiTheme="minorHAnsi"/>
          <w:kern w:val="0"/>
          <w:sz w:val="32"/>
          <w:szCs w:val="32"/>
          <w:lang w:val="en-US" w:eastAsia="zh-CN"/>
        </w:rPr>
        <w:t>1</w:t>
      </w:r>
      <w:r>
        <w:rPr>
          <w:rFonts w:hint="eastAsia" w:ascii="仿宋_GB2312" w:eastAsia="仿宋_GB2312" w:cs="ArialUnicodeMS" w:hAnsiTheme="minorHAnsi"/>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石家庄市鹿泉区石井乡人民政府</w:t>
            </w:r>
          </w:p>
        </w:tc>
        <w:tc>
          <w:tcPr>
            <w:tcW w:w="2445"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行政单位</w:t>
            </w:r>
          </w:p>
        </w:tc>
        <w:tc>
          <w:tcPr>
            <w:tcW w:w="2665"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462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462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5262.58</w:t>
      </w:r>
      <w:r>
        <w:rPr>
          <w:rFonts w:hint="eastAsia" w:ascii="仿宋_GB2312" w:hAnsi="Times New Roman" w:eastAsia="仿宋_GB2312" w:cs="DengXian-Regular"/>
          <w:sz w:val="32"/>
          <w:szCs w:val="32"/>
        </w:rPr>
        <w:t>万元。与2018年度决算相比，收</w:t>
      </w:r>
      <w:r>
        <w:rPr>
          <w:rFonts w:hint="eastAsia" w:ascii="仿宋_GB2312" w:hAnsi="Times New Roman" w:eastAsia="仿宋_GB2312" w:cs="DengXian-Regular"/>
          <w:sz w:val="32"/>
          <w:szCs w:val="32"/>
          <w:lang w:eastAsia="zh-CN"/>
        </w:rPr>
        <w:t>入</w:t>
      </w:r>
      <w:r>
        <w:rPr>
          <w:rFonts w:hint="eastAsia" w:ascii="仿宋_GB2312" w:hAnsi="Times New Roman" w:eastAsia="仿宋_GB2312" w:cs="DengXian-Regular"/>
          <w:sz w:val="32"/>
          <w:szCs w:val="32"/>
        </w:rPr>
        <w:t>减少</w:t>
      </w:r>
      <w:r>
        <w:rPr>
          <w:rFonts w:hint="eastAsia" w:ascii="仿宋_GB2312" w:hAnsi="Times New Roman" w:eastAsia="仿宋_GB2312" w:cs="DengXian-Regular"/>
          <w:sz w:val="32"/>
          <w:szCs w:val="32"/>
          <w:lang w:val="en-US" w:eastAsia="zh-CN"/>
        </w:rPr>
        <w:t>2235.18</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45.25</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和支出减少</w:t>
      </w:r>
      <w:r>
        <w:rPr>
          <w:rFonts w:hint="eastAsia" w:ascii="仿宋_GB2312" w:hAnsi="Times New Roman" w:eastAsia="仿宋_GB2312" w:cs="DengXian-Regular"/>
          <w:sz w:val="32"/>
          <w:szCs w:val="32"/>
          <w:lang w:val="en-US" w:eastAsia="zh-CN"/>
        </w:rPr>
        <w:t>2382.18万元，下降48.22%。</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财政拨款的收入减少，尤其是政府性基金拨款减少，造成收支减少。</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2704.79</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2684.79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99.26%</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0.74</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78720" behindDoc="0" locked="0" layoutInCell="1" allowOverlap="1">
            <wp:simplePos x="0" y="0"/>
            <wp:positionH relativeFrom="column">
              <wp:posOffset>804545</wp:posOffset>
            </wp:positionH>
            <wp:positionV relativeFrom="paragraph">
              <wp:posOffset>156210</wp:posOffset>
            </wp:positionV>
            <wp:extent cx="4175760" cy="2305050"/>
            <wp:effectExtent l="4445" t="4445" r="10795" b="14605"/>
            <wp:wrapSquare wrapText="bothSides"/>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b/>
          <w:bCs/>
          <w:sz w:val="32"/>
          <w:szCs w:val="32"/>
        </w:rPr>
      </w:pPr>
      <w:r>
        <w:rPr>
          <w:sz w:val="32"/>
        </w:rPr>
        <mc:AlternateContent>
          <mc:Choice Requires="wps">
            <w:drawing>
              <wp:anchor distT="0" distB="0" distL="114300" distR="114300" simplePos="0" relativeHeight="251671552" behindDoc="0" locked="0" layoutInCell="1" allowOverlap="1">
                <wp:simplePos x="0" y="0"/>
                <wp:positionH relativeFrom="column">
                  <wp:posOffset>1490345</wp:posOffset>
                </wp:positionH>
                <wp:positionV relativeFrom="paragraph">
                  <wp:posOffset>311150</wp:posOffset>
                </wp:positionV>
                <wp:extent cx="2760345" cy="490220"/>
                <wp:effectExtent l="0" t="0" r="1905" b="5080"/>
                <wp:wrapNone/>
                <wp:docPr id="155" name="文本框 32"/>
                <wp:cNvGraphicFramePr/>
                <a:graphic xmlns:a="http://schemas.openxmlformats.org/drawingml/2006/main">
                  <a:graphicData uri="http://schemas.microsoft.com/office/word/2010/wordprocessingShape">
                    <wps:wsp>
                      <wps:cNvSpPr txBox="1"/>
                      <wps:spPr>
                        <a:xfrm>
                          <a:off x="2498725" y="6799580"/>
                          <a:ext cx="2760345" cy="49022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：收入构成情况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117.35pt;margin-top:24.5pt;height:38.6pt;width:217.35pt;z-index:251671552;mso-width-relative:page;mso-height-relative:page;" fillcolor="#FFFFFF" filled="t" stroked="f" coordsize="21600,21600" o:gfxdata="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KfvTdrVAAAACgEAAA8AAAAAAAAAAQAgAAAAIgAAAGRycy9kb3ducmV2LnhtbFBLAQIUABQA&#10;AAAIAIdO4kClIC0OZQIAAKwEAAAOAAAAAAAAAAEAIAAAACQBAABkcnMvZTJvRG9jLnhtbFBLBQYA&#10;AAAABgAGAFkBAAD7BQ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：收入构成情况</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本部门2019年度支出合计</w:t>
      </w:r>
      <w:r>
        <w:rPr>
          <w:rFonts w:hint="eastAsia" w:ascii="仿宋_GB2312" w:hAnsi="Times New Roman" w:eastAsia="仿宋_GB2312" w:cs="DengXian-Regular"/>
          <w:sz w:val="32"/>
          <w:szCs w:val="32"/>
          <w:lang w:val="en-US" w:eastAsia="zh-CN"/>
        </w:rPr>
        <w:t>2557.79</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49.28%</w:t>
      </w:r>
      <w:r>
        <w:rPr>
          <w:rFonts w:hint="eastAsia" w:ascii="仿宋_GB2312" w:hAnsi="Times New Roman" w:eastAsia="仿宋_GB2312" w:cs="DengXian-Regular"/>
          <w:sz w:val="32"/>
          <w:szCs w:val="32"/>
        </w:rPr>
        <w:t>万元，占%；项目支出</w:t>
      </w:r>
      <w:r>
        <w:rPr>
          <w:rFonts w:hint="eastAsia" w:ascii="仿宋_GB2312" w:hAnsi="Times New Roman" w:eastAsia="仿宋_GB2312" w:cs="DengXian-Regular"/>
          <w:sz w:val="32"/>
          <w:szCs w:val="32"/>
          <w:lang w:val="en-US" w:eastAsia="zh-CN"/>
        </w:rPr>
        <w:t>1297.39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50.72</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79744" behindDoc="0" locked="0" layoutInCell="1" allowOverlap="1">
            <wp:simplePos x="0" y="0"/>
            <wp:positionH relativeFrom="column">
              <wp:posOffset>1146175</wp:posOffset>
            </wp:positionH>
            <wp:positionV relativeFrom="paragraph">
              <wp:posOffset>204470</wp:posOffset>
            </wp:positionV>
            <wp:extent cx="3138170" cy="1620520"/>
            <wp:effectExtent l="4445" t="4445" r="19685" b="13335"/>
            <wp:wrapSquare wrapText="bothSides"/>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b/>
          <w:bCs/>
          <w:sz w:val="32"/>
          <w:szCs w:val="32"/>
        </w:rPr>
      </w:pPr>
      <w:r>
        <w:rPr>
          <w:sz w:val="32"/>
        </w:rPr>
        <mc:AlternateContent>
          <mc:Choice Requires="wps">
            <w:drawing>
              <wp:anchor distT="0" distB="0" distL="114300" distR="114300" simplePos="0" relativeHeight="251670528" behindDoc="1" locked="0" layoutInCell="1" allowOverlap="1">
                <wp:simplePos x="0" y="0"/>
                <wp:positionH relativeFrom="column">
                  <wp:posOffset>964565</wp:posOffset>
                </wp:positionH>
                <wp:positionV relativeFrom="paragraph">
                  <wp:posOffset>140970</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1953895" y="3028950"/>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5.95pt;margin-top:11.1pt;height:38.05pt;width:260.95pt;z-index:-251645952;mso-width-relative:page;mso-height-relative:page;" fillcolor="#FFFFFF" filled="t" stroked="f" coordsize="21600,21600" o:gfxdata="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aRMO&#10;+NUAAAAJAQAADwAAAAAAAAABACAAAAAiAAAAZHJzL2Rvd25yZXYueG1sUEsBAhQAFAAAAAgAh07i&#10;QDgQwnheAgAAqwQAAA4AAAAAAAAAAQAgAAAAJAEAAGRycy9lMm9Eb2MueG1sUEsFBgAAAAAGAAYA&#10;WQEAAPQFA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2684.79</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2043.81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43.22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本年度基金收入减少，政府性基金拨款降幅较大</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2537.79</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2190.81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46.33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拨款减少，造成支出减少</w:t>
      </w: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1338.54</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580.06</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财政拨款减少，经费使用减少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1338.54</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580.06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43.33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厉行节约，农林水和一般公共服务开支减少</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1346.25</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1463.75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52.09</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项目较少城乡社区支出较低</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1199.25</w:t>
      </w:r>
      <w:r>
        <w:rPr>
          <w:rFonts w:hint="eastAsia" w:ascii="仿宋_GB2312" w:hAnsi="Times New Roman" w:eastAsia="仿宋_GB2312" w:cs="DengXian-Regular"/>
          <w:sz w:val="32"/>
          <w:szCs w:val="32"/>
        </w:rPr>
        <w:t>万元，比上年</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1610.75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57.32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拨款较少，支出较少</w:t>
      </w:r>
      <w:r>
        <w:rPr>
          <w:rFonts w:hint="eastAsia" w:ascii="仿宋_GB2312" w:hAnsi="Times New Roman" w:eastAsia="仿宋_GB2312" w:cs="DengXian-Regular"/>
          <w:sz w:val="32"/>
          <w:szCs w:val="32"/>
        </w:rPr>
        <w:t>。</w:t>
      </w:r>
    </w:p>
    <w:p>
      <w:pPr>
        <w:snapToGrid w:val="0"/>
        <w:spacing w:line="580" w:lineRule="exact"/>
        <w:ind w:firstLine="643" w:firstLineChars="200"/>
        <w:rPr>
          <w:rFonts w:hint="eastAsia" w:ascii="楷体_GB2312" w:hAnsi="Times New Roman" w:eastAsia="楷体_GB2312" w:cs="DengXian-Bold"/>
          <w:b/>
          <w:bCs/>
          <w:sz w:val="32"/>
          <w:szCs w:val="32"/>
          <w:lang w:eastAsia="zh-CN"/>
        </w:rPr>
      </w:pPr>
      <w:r>
        <w:rPr>
          <w:rFonts w:hint="eastAsia" w:ascii="楷体_GB2312" w:hAnsi="Times New Roman" w:eastAsia="楷体_GB2312" w:cs="DengXian-Bold"/>
          <w:b/>
          <w:bCs/>
          <w:sz w:val="32"/>
          <w:szCs w:val="32"/>
          <w:lang w:eastAsia="zh-CN"/>
        </w:rPr>
        <w:drawing>
          <wp:anchor distT="0" distB="0" distL="114300" distR="114300" simplePos="0" relativeHeight="251680768" behindDoc="1" locked="0" layoutInCell="1" allowOverlap="1">
            <wp:simplePos x="0" y="0"/>
            <wp:positionH relativeFrom="column">
              <wp:posOffset>686435</wp:posOffset>
            </wp:positionH>
            <wp:positionV relativeFrom="paragraph">
              <wp:posOffset>297180</wp:posOffset>
            </wp:positionV>
            <wp:extent cx="4347210" cy="1867535"/>
            <wp:effectExtent l="4445" t="4445" r="10795" b="13970"/>
            <wp:wrapTight wrapText="bothSides">
              <wp:wrapPolygon>
                <wp:start x="-22" y="-51"/>
                <wp:lineTo x="-22" y="21541"/>
                <wp:lineTo x="21559" y="21541"/>
                <wp:lineTo x="21559" y="-51"/>
                <wp:lineTo x="-22" y="-51"/>
              </wp:wrapPolygon>
            </wp:wrapTight>
            <wp:docPr id="37" name="图表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2684.79</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69.23%</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1193.18</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主要原因是年中调整年初预算，财政拨款减少。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2537.79</w:t>
      </w:r>
      <w:r>
        <w:rPr>
          <w:rFonts w:hint="eastAsia" w:ascii="仿宋_GB2312" w:hAnsi="Times New Roman" w:eastAsia="仿宋_GB2312" w:cs="DengXian-Regular"/>
          <w:sz w:val="32"/>
          <w:szCs w:val="32"/>
        </w:rPr>
        <w:t>万元，完成年初预算</w:t>
      </w:r>
      <w:r>
        <w:rPr>
          <w:rFonts w:hint="eastAsia" w:ascii="仿宋_GB2312" w:hAnsi="Times New Roman" w:eastAsia="仿宋_GB2312" w:cs="DengXian-Regular"/>
          <w:sz w:val="32"/>
          <w:szCs w:val="32"/>
          <w:lang w:val="en-US" w:eastAsia="zh-CN"/>
        </w:rPr>
        <w:t>65.44</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1340.18</w:t>
      </w:r>
      <w:r>
        <w:rPr>
          <w:rFonts w:hint="eastAsia" w:ascii="仿宋_GB2312" w:hAnsi="Times New Roman" w:eastAsia="仿宋_GB2312" w:cs="DengXian-Regular"/>
          <w:sz w:val="32"/>
          <w:szCs w:val="32"/>
        </w:rPr>
        <w:t>万元，决算数小于预算数主要原因是主要是</w:t>
      </w:r>
      <w:r>
        <w:rPr>
          <w:rFonts w:hint="eastAsia" w:ascii="仿宋_GB2312" w:hAnsi="Times New Roman" w:eastAsia="仿宋_GB2312" w:cs="DengXian-Regular"/>
          <w:sz w:val="32"/>
          <w:szCs w:val="32"/>
          <w:lang w:eastAsia="zh-CN"/>
        </w:rPr>
        <w:t>拨付金额较少，造成支出较少</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86.22</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213.92</w:t>
      </w:r>
      <w:r>
        <w:rPr>
          <w:rFonts w:hint="eastAsia" w:ascii="仿宋_GB2312" w:hAnsi="Times New Roman" w:eastAsia="仿宋_GB2312" w:cs="DengXian-Regular"/>
          <w:sz w:val="32"/>
          <w:szCs w:val="32"/>
        </w:rPr>
        <w:t>万元，支出完成年初预算</w:t>
      </w:r>
      <w:r>
        <w:rPr>
          <w:rFonts w:hint="eastAsia" w:ascii="仿宋_GB2312" w:hAnsi="Times New Roman" w:eastAsia="仿宋_GB2312" w:cs="DengXian-Regular"/>
          <w:sz w:val="32"/>
          <w:szCs w:val="32"/>
          <w:lang w:val="en-US" w:eastAsia="zh-CN"/>
        </w:rPr>
        <w:t>86.22</w:t>
      </w:r>
      <w:r>
        <w:rPr>
          <w:rFonts w:hint="eastAsia" w:ascii="仿宋_GB2312" w:hAnsi="Times New Roman" w:eastAsia="仿宋_GB2312" w:cs="DengXian-Regular"/>
          <w:sz w:val="32"/>
          <w:szCs w:val="32"/>
        </w:rPr>
        <w:t>%，比年初预算增</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213.92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，主要原因是本年度预算拨付较少，支出较低</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w:t>
      </w:r>
      <w:r>
        <w:rPr>
          <w:rFonts w:hint="eastAsia" w:ascii="仿宋_GB2312" w:hAnsi="Times New Roman" w:eastAsia="仿宋_GB2312" w:cs="DengXian-Regular"/>
          <w:sz w:val="32"/>
          <w:szCs w:val="32"/>
          <w:lang w:val="en-US" w:eastAsia="zh-CN"/>
        </w:rPr>
        <w:t>57.89</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979.26</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年中调整年初预算，项目支出减少，基金收入预算减少</w:t>
      </w:r>
      <w:r>
        <w:rPr>
          <w:rFonts w:hint="eastAsia" w:ascii="仿宋_GB2312" w:hAnsi="Times New Roman" w:eastAsia="仿宋_GB2312" w:cs="DengXian-Regular"/>
          <w:sz w:val="32"/>
          <w:szCs w:val="32"/>
          <w:lang w:val="en-US" w:eastAsia="zh-CN"/>
        </w:rPr>
        <w:t>979.26万元</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51.56</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1126.26</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预算拨付较年初要少</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highlight w:val="yellow"/>
          <w:lang w:eastAsia="zh-CN"/>
        </w:rPr>
        <w:drawing>
          <wp:anchor distT="0" distB="0" distL="114300" distR="114300" simplePos="0" relativeHeight="251681792" behindDoc="1" locked="0" layoutInCell="1" allowOverlap="1">
            <wp:simplePos x="0" y="0"/>
            <wp:positionH relativeFrom="column">
              <wp:posOffset>172720</wp:posOffset>
            </wp:positionH>
            <wp:positionV relativeFrom="paragraph">
              <wp:posOffset>177165</wp:posOffset>
            </wp:positionV>
            <wp:extent cx="5269865" cy="2162175"/>
            <wp:effectExtent l="5080" t="4445" r="20955" b="5080"/>
            <wp:wrapTight wrapText="bothSides">
              <wp:wrapPolygon>
                <wp:start x="-21" y="-44"/>
                <wp:lineTo x="-21" y="21460"/>
                <wp:lineTo x="21530" y="21460"/>
                <wp:lineTo x="21530" y="-44"/>
                <wp:lineTo x="-21" y="-44"/>
              </wp:wrapPolygon>
            </wp:wrapTight>
            <wp:docPr id="38" name="图表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2557.79</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其中</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786.46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30.75</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社保就业支出</w:t>
      </w:r>
      <w:r>
        <w:rPr>
          <w:rFonts w:hint="eastAsia" w:ascii="仿宋_GB2312" w:hAnsi="Times New Roman" w:eastAsia="仿宋_GB2312" w:cs="DengXian-Regular"/>
          <w:sz w:val="32"/>
          <w:szCs w:val="32"/>
          <w:lang w:val="en-US" w:eastAsia="zh-CN"/>
        </w:rPr>
        <w:t>21.18万元，占0.82%；</w:t>
      </w:r>
      <w:r>
        <w:rPr>
          <w:rFonts w:hint="eastAsia" w:ascii="仿宋_GB2312" w:hAnsi="Times New Roman" w:eastAsia="仿宋_GB2312" w:cs="DengXian-Regular"/>
          <w:sz w:val="32"/>
          <w:szCs w:val="32"/>
          <w:lang w:eastAsia="zh-CN"/>
        </w:rPr>
        <w:t>卫生健康支出</w:t>
      </w:r>
      <w:r>
        <w:rPr>
          <w:rFonts w:hint="eastAsia" w:ascii="仿宋_GB2312" w:hAnsi="Times New Roman" w:eastAsia="仿宋_GB2312" w:cs="DengXian-Regular"/>
          <w:sz w:val="32"/>
          <w:szCs w:val="32"/>
          <w:lang w:val="en-US" w:eastAsia="zh-CN"/>
        </w:rPr>
        <w:t>161.67万元，占6.32%；</w:t>
      </w:r>
      <w:r>
        <w:rPr>
          <w:rFonts w:hint="eastAsia" w:ascii="仿宋_GB2312" w:hAnsi="Times New Roman" w:eastAsia="仿宋_GB2312" w:cs="DengXian-Regular"/>
          <w:sz w:val="32"/>
          <w:szCs w:val="32"/>
          <w:lang w:eastAsia="zh-CN"/>
        </w:rPr>
        <w:t>城乡社区支出</w:t>
      </w:r>
      <w:r>
        <w:rPr>
          <w:rFonts w:hint="eastAsia" w:ascii="仿宋_GB2312" w:hAnsi="Times New Roman" w:eastAsia="仿宋_GB2312" w:cs="DengXian-Regular"/>
          <w:sz w:val="32"/>
          <w:szCs w:val="32"/>
          <w:lang w:val="en-US" w:eastAsia="zh-CN"/>
        </w:rPr>
        <w:t>1236.75万元，占48.35%；</w:t>
      </w:r>
      <w:r>
        <w:rPr>
          <w:rFonts w:hint="eastAsia" w:ascii="仿宋_GB2312" w:hAnsi="Times New Roman" w:eastAsia="仿宋_GB2312" w:cs="DengXian-Regular"/>
          <w:sz w:val="32"/>
          <w:szCs w:val="32"/>
          <w:lang w:eastAsia="zh-CN"/>
        </w:rPr>
        <w:t>农林水支出</w:t>
      </w:r>
      <w:r>
        <w:rPr>
          <w:rFonts w:hint="eastAsia" w:ascii="仿宋_GB2312" w:hAnsi="Times New Roman" w:eastAsia="仿宋_GB2312" w:cs="DengXian-Regular"/>
          <w:sz w:val="32"/>
          <w:szCs w:val="32"/>
          <w:lang w:val="en-US" w:eastAsia="zh-CN"/>
        </w:rPr>
        <w:t>344.12万元，占13.45%；</w:t>
      </w:r>
      <w:r>
        <w:rPr>
          <w:rFonts w:hint="eastAsia" w:ascii="仿宋_GB2312" w:hAnsi="Times New Roman" w:eastAsia="仿宋_GB2312" w:cs="DengXian-Regular"/>
          <w:sz w:val="32"/>
          <w:szCs w:val="32"/>
          <w:lang w:eastAsia="zh-CN"/>
        </w:rPr>
        <w:t>防灾和应急支出</w:t>
      </w:r>
      <w:r>
        <w:rPr>
          <w:rFonts w:hint="eastAsia" w:ascii="仿宋_GB2312" w:hAnsi="Times New Roman" w:eastAsia="仿宋_GB2312" w:cs="DengXian-Regular"/>
          <w:sz w:val="32"/>
          <w:szCs w:val="32"/>
          <w:lang w:val="en-US" w:eastAsia="zh-CN"/>
        </w:rPr>
        <w:t>7.6万元，占0.3%</w:t>
      </w:r>
    </w:p>
    <w:p>
      <w:pPr>
        <w:adjustRightInd w:val="0"/>
        <w:snapToGrid w:val="0"/>
        <w:spacing w:line="580" w:lineRule="exact"/>
        <w:rPr>
          <w:rFonts w:hint="eastAsia" w:ascii="楷体_GB2312" w:hAnsi="Times New Roman" w:eastAsia="楷体_GB2312" w:cs="DengXian-Bold"/>
          <w:b/>
          <w:bCs/>
          <w:sz w:val="32"/>
          <w:szCs w:val="32"/>
          <w:lang w:eastAsia="zh-CN"/>
        </w:rPr>
      </w:pPr>
      <w:r>
        <w:rPr>
          <w:rFonts w:hint="eastAsia" w:ascii="楷体_GB2312" w:hAnsi="Times New Roman" w:eastAsia="楷体_GB2312" w:cs="DengXian-Bold"/>
          <w:b/>
          <w:bCs/>
          <w:sz w:val="32"/>
          <w:szCs w:val="32"/>
          <w:lang w:eastAsia="zh-CN"/>
        </w:rPr>
        <w:drawing>
          <wp:anchor distT="0" distB="0" distL="114300" distR="114300" simplePos="0" relativeHeight="251682816" behindDoc="1" locked="0" layoutInCell="1" allowOverlap="1">
            <wp:simplePos x="0" y="0"/>
            <wp:positionH relativeFrom="column">
              <wp:posOffset>823595</wp:posOffset>
            </wp:positionH>
            <wp:positionV relativeFrom="paragraph">
              <wp:posOffset>89535</wp:posOffset>
            </wp:positionV>
            <wp:extent cx="3841750" cy="1800225"/>
            <wp:effectExtent l="4445" t="5080" r="20955" b="4445"/>
            <wp:wrapTight wrapText="bothSides">
              <wp:wrapPolygon>
                <wp:start x="-25" y="-61"/>
                <wp:lineTo x="-25" y="21425"/>
                <wp:lineTo x="21504" y="21425"/>
                <wp:lineTo x="21504" y="-61"/>
                <wp:lineTo x="-25" y="-61"/>
              </wp:wrapPolygon>
            </wp:wrapTight>
            <wp:docPr id="41" name="图表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rPr>
          <w:rFonts w:hint="eastAsia" w:ascii="楷体_GB2312" w:hAnsi="Times New Roman" w:eastAsia="楷体_GB2312" w:cs="DengXian-Bold"/>
          <w:b/>
          <w:bCs/>
          <w:sz w:val="32"/>
          <w:szCs w:val="32"/>
          <w:lang w:eastAsia="zh-CN"/>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rPr>
          <w:sz w:val="32"/>
        </w:rPr>
        <mc:AlternateContent>
          <mc:Choice Requires="wps">
            <w:drawing>
              <wp:anchor distT="0" distB="0" distL="114300" distR="114300" simplePos="0" relativeHeight="251672576" behindDoc="1" locked="0" layoutInCell="1" allowOverlap="1">
                <wp:simplePos x="0" y="0"/>
                <wp:positionH relativeFrom="column">
                  <wp:posOffset>981075</wp:posOffset>
                </wp:positionH>
                <wp:positionV relativeFrom="paragraph">
                  <wp:posOffset>186690</wp:posOffset>
                </wp:positionV>
                <wp:extent cx="3576320" cy="391795"/>
                <wp:effectExtent l="0" t="0" r="5080" b="8255"/>
                <wp:wrapNone/>
                <wp:docPr id="164" name="文本框 32"/>
                <wp:cNvGraphicFramePr/>
                <a:graphic xmlns:a="http://schemas.openxmlformats.org/drawingml/2006/main">
                  <a:graphicData uri="http://schemas.microsoft.com/office/word/2010/wordprocessingShape">
                    <wps:wsp>
                      <wps:cNvSpPr txBox="1"/>
                      <wps:spPr>
                        <a:xfrm>
                          <a:off x="1989455" y="8411845"/>
                          <a:ext cx="3576320" cy="39179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财政拨款支出决算结构（按功能分类）</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77.25pt;margin-top:14.7pt;height:30.85pt;width:281.6pt;z-index:-251643904;mso-width-relative:page;mso-height-relative:page;" fillcolor="#FFFFFF" filled="t" stroked="f" coordsize="21600,21600" o:gfxdata="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AFtTeLUAAAACQEAAA8AAAAAAAAAAQAgAAAAIgAAAGRycy9kb3ducmV2LnhtbFBLAQIUABQA&#10;AAAIAIdO4kAYnsLYZgIAAKwEAAAOAAAAAAAAAAEAIAAAACMBAABkcnMvZTJvRG9jLnhtbFBLBQYA&#10;AAAABgAGAFkBAAD7BQ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财政拨款支出决算结构（按功能分类）</w:t>
                      </w:r>
                    </w:p>
                    <w:p>
                      <w:pPr>
                        <w:spacing w:after="160" w:line="480" w:lineRule="auto"/>
                        <w:rPr>
                          <w:rFonts w:ascii="Times New Roman" w:hAnsi="Times New Roman" w:eastAsia="宋体" w:cs="Times New Roman"/>
                          <w:sz w:val="20"/>
                        </w:rPr>
                      </w:pPr>
                    </w:p>
                  </w:txbxContent>
                </v:textbox>
              </v:shape>
            </w:pict>
          </mc:Fallback>
        </mc:AlternateContent>
      </w: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2557.79</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769.6</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490.8</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5.37</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99.44</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0.03</w:t>
      </w:r>
      <w:r>
        <w:rPr>
          <w:rFonts w:hint="eastAsia" w:ascii="仿宋_GB2312" w:hAnsi="Times New Roman" w:eastAsia="仿宋_GB2312" w:cs="DengXian-Regular"/>
          <w:sz w:val="32"/>
          <w:szCs w:val="32"/>
        </w:rPr>
        <w:t>万元；较2018年度增加</w:t>
      </w:r>
      <w:r>
        <w:rPr>
          <w:rFonts w:hint="eastAsia" w:ascii="仿宋_GB2312" w:hAnsi="Times New Roman" w:eastAsia="仿宋_GB2312" w:cs="DengXian-Regular"/>
          <w:sz w:val="32"/>
          <w:szCs w:val="32"/>
          <w:lang w:val="en-US" w:eastAsia="zh-CN"/>
        </w:rPr>
        <w:t>0.32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6.43%</w:t>
      </w:r>
      <w:r>
        <w:rPr>
          <w:rFonts w:hint="eastAsia" w:ascii="仿宋_GB2312" w:hAnsi="Times New Roman" w:eastAsia="仿宋_GB2312" w:cs="DengXian-Regular"/>
          <w:sz w:val="32"/>
          <w:szCs w:val="32"/>
        </w:rPr>
        <w:t>，主要</w:t>
      </w:r>
      <w:r>
        <w:rPr>
          <w:rFonts w:hint="eastAsia" w:ascii="仿宋_GB2312" w:hAnsi="Times New Roman" w:eastAsia="仿宋_GB2312" w:cs="DengXian-Regular"/>
          <w:sz w:val="32"/>
          <w:szCs w:val="32"/>
          <w:lang w:eastAsia="zh-CN"/>
        </w:rPr>
        <w:t>任务增加造成公车使用增加油费增长</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5.37</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0.03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0.56</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0.32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6.43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防火、环保等应急任务增加，造成公车油费增长。</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0.03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0.56</w:t>
      </w:r>
      <w:r>
        <w:rPr>
          <w:rFonts w:hint="eastAsia" w:ascii="仿宋_GB2312" w:hAnsi="Times New Roman" w:eastAsia="仿宋_GB2312" w:cs="DengXian-Regular"/>
          <w:sz w:val="32"/>
          <w:szCs w:val="32"/>
        </w:rPr>
        <w:t>%,主要</w:t>
      </w:r>
      <w:r>
        <w:rPr>
          <w:rFonts w:hint="eastAsia" w:ascii="仿宋_GB2312" w:hAnsi="Times New Roman" w:eastAsia="仿宋_GB2312" w:cs="DengXian-Regular"/>
          <w:sz w:val="32"/>
          <w:szCs w:val="32"/>
          <w:lang w:eastAsia="zh-CN"/>
        </w:rPr>
        <w:t>是维修费用降低</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0.32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6.43</w:t>
      </w:r>
      <w:r>
        <w:rPr>
          <w:rFonts w:hint="eastAsia" w:ascii="仿宋_GB2312" w:hAnsi="Times New Roman" w:eastAsia="仿宋_GB2312" w:cs="DengXian-Regular"/>
          <w:sz w:val="32"/>
          <w:szCs w:val="32"/>
        </w:rPr>
        <w:t>%，主要</w:t>
      </w:r>
      <w:bookmarkStart w:id="0" w:name="_GoBack"/>
      <w:bookmarkEnd w:id="0"/>
      <w:r>
        <w:rPr>
          <w:rFonts w:hint="eastAsia" w:ascii="仿宋_GB2312" w:hAnsi="Times New Roman" w:eastAsia="仿宋_GB2312" w:cs="DengXian-Regular"/>
          <w:sz w:val="32"/>
          <w:szCs w:val="32"/>
        </w:rPr>
        <w:t>是</w:t>
      </w:r>
      <w:r>
        <w:rPr>
          <w:rFonts w:hint="eastAsia" w:ascii="仿宋_GB2312" w:hAnsi="Times New Roman" w:eastAsia="仿宋_GB2312" w:cs="DengXian-Regular"/>
          <w:sz w:val="32"/>
          <w:szCs w:val="32"/>
          <w:lang w:eastAsia="zh-CN"/>
        </w:rPr>
        <w:t>任务增加，造成公车油费增长。</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252.77</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。组织对2019年度</w:t>
      </w:r>
      <w:r>
        <w:rPr>
          <w:rFonts w:hint="eastAsia" w:ascii="仿宋_GB2312" w:hAnsi="仿宋_GB2312" w:eastAsia="仿宋_GB2312" w:cs="仿宋_GB2312"/>
          <w:sz w:val="32"/>
          <w:szCs w:val="32"/>
          <w:lang w:eastAsia="zh-CN"/>
        </w:rPr>
        <w:t>北外环、栈道路</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1199.25</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51.57%</w:t>
      </w:r>
      <w:r>
        <w:rPr>
          <w:rFonts w:hint="eastAsia" w:ascii="仿宋_GB2312" w:hAnsi="仿宋_GB2312" w:eastAsia="仿宋_GB2312" w:cs="仿宋_GB2312"/>
          <w:sz w:val="32"/>
          <w:szCs w:val="32"/>
        </w:rPr>
        <w:t>。组织</w:t>
      </w:r>
      <w:r>
        <w:rPr>
          <w:rFonts w:hint="eastAsia" w:ascii="仿宋_GB2312" w:hAnsi="仿宋_GB2312" w:eastAsia="仿宋_GB2312" w:cs="仿宋_GB2312"/>
          <w:sz w:val="32"/>
          <w:szCs w:val="32"/>
          <w:lang w:eastAsia="zh-CN"/>
        </w:rPr>
        <w:t>黄岩污水、栈道路</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252.77</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1199.25</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本年并未委托</w:t>
      </w:r>
      <w:r>
        <w:rPr>
          <w:rFonts w:hint="eastAsia" w:ascii="仿宋_GB2312" w:hAnsi="仿宋_GB2312" w:eastAsia="仿宋_GB2312" w:cs="仿宋_GB2312"/>
          <w:sz w:val="32"/>
          <w:szCs w:val="32"/>
        </w:rPr>
        <w:t>第三方机构(或部内评审机构)开展绩效评价。</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本部门在今年部门决算公开中反映 </w:t>
      </w:r>
      <w:r>
        <w:rPr>
          <w:rFonts w:hint="eastAsia" w:ascii="仿宋_GB2312" w:hAnsi="仿宋_GB2312" w:eastAsia="仿宋_GB2312" w:cs="仿宋_GB2312"/>
          <w:sz w:val="32"/>
          <w:szCs w:val="32"/>
          <w:lang w:eastAsia="zh-CN"/>
        </w:rPr>
        <w:t>黄岩污水管网</w:t>
      </w:r>
      <w:r>
        <w:rPr>
          <w:rFonts w:hint="eastAsia" w:ascii="仿宋_GB2312" w:hAnsi="仿宋_GB2312" w:eastAsia="仿宋_GB2312" w:cs="仿宋_GB2312"/>
          <w:sz w:val="32"/>
          <w:szCs w:val="32"/>
        </w:rPr>
        <w:t xml:space="preserve">项目及 </w:t>
      </w:r>
      <w:r>
        <w:rPr>
          <w:rFonts w:hint="eastAsia" w:ascii="仿宋_GB2312" w:hAnsi="仿宋_GB2312" w:eastAsia="仿宋_GB2312" w:cs="仿宋_GB2312"/>
          <w:sz w:val="32"/>
          <w:szCs w:val="32"/>
          <w:lang w:eastAsia="zh-CN"/>
        </w:rPr>
        <w:t>栈道通村路</w:t>
      </w:r>
      <w:r>
        <w:rPr>
          <w:rFonts w:hint="eastAsia" w:ascii="仿宋_GB2312" w:hAnsi="仿宋_GB2312" w:eastAsia="仿宋_GB2312" w:cs="仿宋_GB2312"/>
          <w:sz w:val="32"/>
          <w:szCs w:val="32"/>
        </w:rPr>
        <w:t>项目项目绩效自评结果。</w:t>
      </w:r>
    </w:p>
    <w:p>
      <w:pPr>
        <w:numPr>
          <w:ilvl w:val="0"/>
          <w:numId w:val="0"/>
        </w:numPr>
        <w:ind w:left="320" w:leftChars="0" w:firstLine="640"/>
        <w:rPr>
          <w:rFonts w:hint="default" w:ascii="仿宋" w:hAnsi="仿宋" w:eastAsia="仿宋" w:cs="仿宋"/>
          <w:sz w:val="32"/>
          <w:szCs w:val="32"/>
          <w:lang w:val="en-US" w:eastAsia="zh-CN"/>
        </w:rPr>
      </w:pPr>
      <w:r>
        <w:rPr>
          <w:rFonts w:hint="eastAsia" w:ascii="仿宋_GB2312" w:hAnsi="仿宋_GB2312" w:eastAsia="仿宋_GB2312" w:cs="仿宋_GB2312"/>
          <w:sz w:val="32"/>
          <w:szCs w:val="32"/>
          <w:lang w:eastAsia="zh-CN"/>
        </w:rPr>
        <w:t>黄岩污水管网</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85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185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185%</w:t>
      </w:r>
      <w:r>
        <w:rPr>
          <w:rFonts w:hint="eastAsia" w:ascii="仿宋_GB2312" w:hAnsi="仿宋_GB2312" w:eastAsia="仿宋_GB2312" w:cs="仿宋_GB2312"/>
          <w:sz w:val="32"/>
          <w:szCs w:val="32"/>
        </w:rPr>
        <w:t>。项目绩效目标完成情况：</w:t>
      </w:r>
      <w:r>
        <w:rPr>
          <w:rFonts w:hint="eastAsia" w:ascii="仿宋" w:hAnsi="仿宋" w:eastAsia="仿宋" w:cs="仿宋"/>
          <w:sz w:val="32"/>
          <w:szCs w:val="32"/>
          <w:lang w:val="en-US" w:eastAsia="zh-CN"/>
        </w:rPr>
        <w:t>1、经济效益：该项目主要服务于黄岩回迁楼项目，污水管道的完成，有利于回迁楼和商品房的建设出售，具有较高的间接经济效益。2、社会效益指标：该项目在黄岩境内主要受益村1个，方便了黄岩村几百名群众的生活污水处理。</w:t>
      </w:r>
    </w:p>
    <w:p>
      <w:pPr>
        <w:numPr>
          <w:ilvl w:val="0"/>
          <w:numId w:val="0"/>
        </w:numPr>
        <w:ind w:firstLine="640"/>
        <w:rPr>
          <w:rFonts w:hint="default" w:ascii="仿宋" w:hAnsi="仿宋" w:eastAsia="仿宋" w:cs="仿宋"/>
          <w:sz w:val="32"/>
          <w:szCs w:val="32"/>
          <w:lang w:val="en-US" w:eastAsia="zh-CN"/>
        </w:rPr>
      </w:pPr>
      <w:r>
        <w:rPr>
          <w:rFonts w:hint="eastAsia" w:ascii="仿宋_GB2312" w:hAnsi="仿宋_GB2312" w:eastAsia="仿宋_GB2312" w:cs="仿宋_GB2312"/>
          <w:sz w:val="32"/>
          <w:szCs w:val="32"/>
        </w:rPr>
        <w:t>发现的主要问题及原因：</w:t>
      </w:r>
      <w:r>
        <w:rPr>
          <w:rFonts w:hint="eastAsia" w:ascii="仿宋" w:hAnsi="仿宋" w:eastAsia="仿宋" w:cs="仿宋"/>
          <w:sz w:val="32"/>
          <w:szCs w:val="32"/>
          <w:lang w:val="en-US" w:eastAsia="zh-CN"/>
        </w:rPr>
        <w:t>1、该项目的主要问题2019年拨付工程款多于预算，但是该工程目前未验收</w:t>
      </w:r>
    </w:p>
    <w:p>
      <w:pPr>
        <w:numPr>
          <w:ilvl w:val="0"/>
          <w:numId w:val="4"/>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sz w:val="32"/>
          <w:szCs w:val="32"/>
          <w:lang w:eastAsia="zh-CN"/>
        </w:rPr>
        <w:t>尽快验收（目前已经完成验收）</w:t>
      </w:r>
    </w:p>
    <w:p>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栈道通村路</w:t>
      </w:r>
      <w:r>
        <w:rPr>
          <w:rFonts w:hint="eastAsia" w:ascii="仿宋_GB2312" w:hAnsi="仿宋_GB2312" w:eastAsia="仿宋_GB2312" w:cs="仿宋_GB2312"/>
          <w:sz w:val="32"/>
          <w:szCs w:val="32"/>
        </w:rPr>
        <w:t>项目绩效自评综述：</w:t>
      </w:r>
    </w:p>
    <w:p>
      <w:pPr>
        <w:numPr>
          <w:ilvl w:val="0"/>
          <w:numId w:val="0"/>
        </w:numPr>
        <w:ind w:left="320" w:leftChars="0" w:firstLine="640"/>
        <w:rPr>
          <w:rFonts w:hint="default" w:ascii="仿宋" w:hAnsi="仿宋" w:eastAsia="仿宋" w:cs="仿宋"/>
          <w:sz w:val="32"/>
          <w:szCs w:val="32"/>
          <w:lang w:val="en-US" w:eastAsia="zh-CN"/>
        </w:rPr>
      </w:pP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600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446.42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74.4%</w:t>
      </w:r>
      <w:r>
        <w:rPr>
          <w:rFonts w:hint="eastAsia" w:ascii="仿宋_GB2312" w:hAnsi="仿宋_GB2312" w:eastAsia="仿宋_GB2312" w:cs="仿宋_GB2312"/>
          <w:sz w:val="32"/>
          <w:szCs w:val="32"/>
        </w:rPr>
        <w:t>。项目绩效目标完成情况：</w:t>
      </w:r>
      <w:r>
        <w:rPr>
          <w:rFonts w:hint="eastAsia" w:ascii="仿宋" w:hAnsi="仿宋" w:eastAsia="仿宋" w:cs="仿宋"/>
          <w:sz w:val="32"/>
          <w:szCs w:val="32"/>
          <w:lang w:val="en-US" w:eastAsia="zh-CN"/>
        </w:rPr>
        <w:t>1、经济效益：该项目可以极大的方便栈道居民出行，改善乡交通状况，同时促进了栈道村内玛钢等产品和原材料的运输可促进乡经济发展。2、社会效益指标：该项目在栈道村境内主要受益村1个，该道路的修建可以方便栈道村3000人出行</w:t>
      </w:r>
    </w:p>
    <w:p>
      <w:pPr>
        <w:numPr>
          <w:ilvl w:val="0"/>
          <w:numId w:val="0"/>
        </w:numPr>
        <w:ind w:firstLine="640"/>
        <w:rPr>
          <w:rFonts w:hint="default" w:ascii="仿宋" w:hAnsi="仿宋" w:eastAsia="仿宋" w:cs="仿宋"/>
          <w:sz w:val="32"/>
          <w:szCs w:val="32"/>
          <w:lang w:val="en-US" w:eastAsia="zh-CN"/>
        </w:rPr>
      </w:pPr>
      <w:r>
        <w:rPr>
          <w:rFonts w:hint="eastAsia" w:ascii="仿宋_GB2312" w:hAnsi="仿宋_GB2312" w:eastAsia="仿宋_GB2312" w:cs="仿宋_GB2312"/>
          <w:sz w:val="32"/>
          <w:szCs w:val="32"/>
        </w:rPr>
        <w:t>发现的主要问题及原因：</w:t>
      </w:r>
      <w:r>
        <w:rPr>
          <w:rFonts w:hint="eastAsia" w:ascii="仿宋" w:hAnsi="仿宋" w:eastAsia="仿宋" w:cs="仿宋"/>
          <w:sz w:val="32"/>
          <w:szCs w:val="32"/>
          <w:lang w:val="en-US" w:eastAsia="zh-CN"/>
        </w:rPr>
        <w:t>1、1、该项目的主要问题2019年拨付工程款少于预算，2、该工程目前尚未验收</w:t>
      </w:r>
    </w:p>
    <w:p>
      <w:pPr>
        <w:numPr>
          <w:ilvl w:val="0"/>
          <w:numId w:val="0"/>
        </w:num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下一步改进措施：</w:t>
      </w:r>
      <w:r>
        <w:rPr>
          <w:rFonts w:hint="eastAsia" w:ascii="仿宋" w:hAnsi="仿宋" w:eastAsia="仿宋" w:cs="仿宋"/>
          <w:sz w:val="32"/>
          <w:szCs w:val="32"/>
          <w:lang w:val="en-US" w:eastAsia="zh-CN"/>
        </w:rPr>
        <w:t>请项目小组、财政和乡领导协调，按时按合同拨付款项；</w:t>
      </w:r>
      <w:r>
        <w:rPr>
          <w:rFonts w:hint="eastAsia" w:ascii="仿宋_GB2312" w:hAnsi="仿宋_GB2312" w:eastAsia="仿宋_GB2312" w:cs="仿宋_GB2312"/>
          <w:sz w:val="32"/>
          <w:szCs w:val="32"/>
          <w:lang w:eastAsia="zh-CN"/>
        </w:rPr>
        <w:t>尽快验收（目前已经完成验收）</w:t>
      </w:r>
    </w:p>
    <w:p>
      <w:pPr>
        <w:keepNext/>
        <w:keepLines/>
        <w:numPr>
          <w:ilvl w:val="0"/>
          <w:numId w:val="2"/>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tbl>
      <w:tblPr>
        <w:tblStyle w:val="7"/>
        <w:tblW w:w="72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12"/>
        <w:gridCol w:w="1812"/>
        <w:gridCol w:w="1812"/>
        <w:gridCol w:w="18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Align w:val="top"/>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一级指标</w:t>
            </w:r>
          </w:p>
        </w:tc>
        <w:tc>
          <w:tcPr>
            <w:tcW w:w="1812" w:type="dxa"/>
            <w:vAlign w:val="top"/>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二级指标</w:t>
            </w:r>
          </w:p>
        </w:tc>
        <w:tc>
          <w:tcPr>
            <w:tcW w:w="1812" w:type="dxa"/>
            <w:vAlign w:val="top"/>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三级指标</w:t>
            </w:r>
          </w:p>
        </w:tc>
        <w:tc>
          <w:tcPr>
            <w:tcW w:w="1812" w:type="dxa"/>
            <w:vAlign w:val="top"/>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投入</w:t>
            </w:r>
          </w:p>
        </w:tc>
        <w:tc>
          <w:tcPr>
            <w:tcW w:w="1812"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项目立项</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栈道通村路</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28"/>
                <w:szCs w:val="28"/>
                <w:vertAlign w:val="baseline"/>
                <w:lang w:eastAsia="zh-CN"/>
              </w:rPr>
              <w:t>项目立项规范性</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绩效目标合理性</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绩效目标明确性</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资金落实</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资金到位率</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到位及时率</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过程</w:t>
            </w:r>
          </w:p>
        </w:tc>
        <w:tc>
          <w:tcPr>
            <w:tcW w:w="1812"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业务管理</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28"/>
                <w:szCs w:val="28"/>
                <w:vertAlign w:val="baseline"/>
                <w:lang w:eastAsia="zh-CN"/>
              </w:rPr>
              <w:t>管理制度健全性</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28"/>
                <w:szCs w:val="28"/>
                <w:vertAlign w:val="baseline"/>
                <w:lang w:eastAsia="zh-CN"/>
              </w:rPr>
              <w:t>制定执行有效性</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财务管理</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管理制度健全性</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资金使用合规性</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财务监控有效性</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产出</w:t>
            </w:r>
          </w:p>
        </w:tc>
        <w:tc>
          <w:tcPr>
            <w:tcW w:w="1812"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项目产出</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实际完成率</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tcBorders>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完成及时率</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restart"/>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效果</w:t>
            </w:r>
          </w:p>
        </w:tc>
        <w:tc>
          <w:tcPr>
            <w:tcW w:w="1812" w:type="dxa"/>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项目效益</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仿宋_GB2312" w:hAnsi="仿宋_GB2312" w:eastAsia="仿宋_GB2312" w:cs="仿宋_GB2312"/>
                <w:b w:val="0"/>
                <w:bCs w:val="0"/>
                <w:sz w:val="28"/>
                <w:szCs w:val="28"/>
                <w:vertAlign w:val="baseline"/>
                <w:lang w:val="en-US" w:eastAsia="zh-CN"/>
              </w:rPr>
            </w:pPr>
            <w:r>
              <w:rPr>
                <w:rFonts w:hint="eastAsia" w:ascii="仿宋_GB2312" w:hAnsi="仿宋_GB2312" w:eastAsia="仿宋_GB2312" w:cs="仿宋_GB2312"/>
                <w:b w:val="0"/>
                <w:bCs w:val="0"/>
                <w:sz w:val="28"/>
                <w:szCs w:val="28"/>
                <w:vertAlign w:val="baseline"/>
                <w:lang w:val="en-US" w:eastAsia="zh-CN"/>
              </w:rPr>
              <w:t>经济效益</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仿宋_GB2312" w:hAnsi="仿宋_GB2312" w:eastAsia="仿宋_GB2312" w:cs="仿宋_GB2312"/>
                <w:b w:val="0"/>
                <w:bCs w:val="0"/>
                <w:sz w:val="28"/>
                <w:szCs w:val="28"/>
                <w:vertAlign w:val="baseline"/>
                <w:lang w:val="en-US" w:eastAsia="zh-CN"/>
              </w:rPr>
            </w:pPr>
            <w:r>
              <w:rPr>
                <w:rFonts w:hint="eastAsia" w:ascii="仿宋_GB2312" w:hAnsi="仿宋_GB2312" w:eastAsia="仿宋_GB2312" w:cs="仿宋_GB2312"/>
                <w:b w:val="0"/>
                <w:bCs w:val="0"/>
                <w:sz w:val="28"/>
                <w:szCs w:val="28"/>
                <w:vertAlign w:val="baseline"/>
                <w:lang w:val="en-US" w:eastAsia="zh-CN"/>
              </w:rPr>
              <w:t>社会效益</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仿宋_GB2312" w:hAnsi="仿宋_GB2312" w:eastAsia="仿宋_GB2312" w:cs="仿宋_GB2312"/>
                <w:b w:val="0"/>
                <w:bCs w:val="0"/>
                <w:sz w:val="28"/>
                <w:szCs w:val="28"/>
                <w:vertAlign w:val="baseline"/>
                <w:lang w:val="en-US" w:eastAsia="zh-CN"/>
              </w:rPr>
            </w:pPr>
            <w:r>
              <w:rPr>
                <w:rFonts w:hint="eastAsia" w:ascii="仿宋_GB2312" w:hAnsi="仿宋_GB2312" w:eastAsia="仿宋_GB2312" w:cs="仿宋_GB2312"/>
                <w:b w:val="0"/>
                <w:bCs w:val="0"/>
                <w:sz w:val="28"/>
                <w:szCs w:val="28"/>
                <w:vertAlign w:val="baseline"/>
                <w:lang w:val="en-US" w:eastAsia="zh-CN"/>
              </w:rPr>
              <w:t>满意度</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tcBorders>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仿宋_GB2312" w:hAnsi="仿宋_GB2312" w:eastAsia="仿宋_GB2312" w:cs="仿宋_GB2312"/>
                <w:b w:val="0"/>
                <w:bCs w:val="0"/>
                <w:sz w:val="28"/>
                <w:szCs w:val="28"/>
                <w:vertAlign w:val="baseline"/>
                <w:lang w:val="en-US" w:eastAsia="zh-CN"/>
              </w:rPr>
            </w:pPr>
            <w:r>
              <w:rPr>
                <w:rFonts w:hint="eastAsia" w:ascii="仿宋_GB2312" w:hAnsi="仿宋_GB2312" w:eastAsia="仿宋_GB2312" w:cs="仿宋_GB2312"/>
                <w:b w:val="0"/>
                <w:bCs w:val="0"/>
                <w:sz w:val="28"/>
                <w:szCs w:val="28"/>
                <w:vertAlign w:val="baseline"/>
                <w:lang w:val="en-US" w:eastAsia="zh-CN"/>
              </w:rPr>
              <w:t>生态效益</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7</w:t>
            </w:r>
          </w:p>
        </w:tc>
      </w:tr>
    </w:tbl>
    <w:p>
      <w:pPr>
        <w:keepNext/>
        <w:keepLines/>
        <w:numPr>
          <w:ilvl w:val="0"/>
          <w:numId w:val="0"/>
        </w:numPr>
        <w:snapToGrid w:val="0"/>
        <w:spacing w:line="580" w:lineRule="exact"/>
        <w:outlineLvl w:val="1"/>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w:t>
      </w:r>
    </w:p>
    <w:tbl>
      <w:tblPr>
        <w:tblStyle w:val="7"/>
        <w:tblW w:w="72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12"/>
        <w:gridCol w:w="1812"/>
        <w:gridCol w:w="1812"/>
        <w:gridCol w:w="18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Align w:val="top"/>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一级指标</w:t>
            </w:r>
          </w:p>
        </w:tc>
        <w:tc>
          <w:tcPr>
            <w:tcW w:w="1812" w:type="dxa"/>
            <w:vAlign w:val="top"/>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二级指标</w:t>
            </w:r>
          </w:p>
        </w:tc>
        <w:tc>
          <w:tcPr>
            <w:tcW w:w="1812" w:type="dxa"/>
            <w:vAlign w:val="top"/>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三级指标</w:t>
            </w:r>
          </w:p>
        </w:tc>
        <w:tc>
          <w:tcPr>
            <w:tcW w:w="1812" w:type="dxa"/>
            <w:vAlign w:val="top"/>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投入</w:t>
            </w:r>
          </w:p>
        </w:tc>
        <w:tc>
          <w:tcPr>
            <w:tcW w:w="1812"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项目立项</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28"/>
                <w:szCs w:val="28"/>
                <w:vertAlign w:val="baseline"/>
                <w:lang w:eastAsia="zh-CN"/>
              </w:rPr>
              <w:t>项目立项规范性</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绩效目标合理性</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绩效目标明确性</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资金落实</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资金到位率</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到位及时率</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过程</w:t>
            </w:r>
          </w:p>
        </w:tc>
        <w:tc>
          <w:tcPr>
            <w:tcW w:w="1812"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业务管理</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28"/>
                <w:szCs w:val="28"/>
                <w:vertAlign w:val="baseline"/>
                <w:lang w:eastAsia="zh-CN"/>
              </w:rPr>
              <w:t>管理制度健全性</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28"/>
                <w:szCs w:val="28"/>
                <w:vertAlign w:val="baseline"/>
                <w:lang w:eastAsia="zh-CN"/>
              </w:rPr>
              <w:t>制定执行有效性</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财务管理</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管理制度健全性</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资金使用合规性</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财务监控有效性</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产出</w:t>
            </w:r>
          </w:p>
        </w:tc>
        <w:tc>
          <w:tcPr>
            <w:tcW w:w="1812"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项目产出</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实际完成率</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tcBorders>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完成及时率</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restart"/>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效果</w:t>
            </w:r>
          </w:p>
        </w:tc>
        <w:tc>
          <w:tcPr>
            <w:tcW w:w="1812" w:type="dxa"/>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项目效益</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仿宋_GB2312" w:hAnsi="仿宋_GB2312" w:eastAsia="仿宋_GB2312" w:cs="仿宋_GB2312"/>
                <w:b w:val="0"/>
                <w:bCs w:val="0"/>
                <w:sz w:val="28"/>
                <w:szCs w:val="28"/>
                <w:vertAlign w:val="baseline"/>
                <w:lang w:val="en-US" w:eastAsia="zh-CN"/>
              </w:rPr>
            </w:pPr>
            <w:r>
              <w:rPr>
                <w:rFonts w:hint="eastAsia" w:ascii="仿宋_GB2312" w:hAnsi="仿宋_GB2312" w:eastAsia="仿宋_GB2312" w:cs="仿宋_GB2312"/>
                <w:b w:val="0"/>
                <w:bCs w:val="0"/>
                <w:sz w:val="28"/>
                <w:szCs w:val="28"/>
                <w:vertAlign w:val="baseline"/>
                <w:lang w:val="en-US" w:eastAsia="zh-CN"/>
              </w:rPr>
              <w:t>经济效益</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仿宋_GB2312" w:hAnsi="仿宋_GB2312" w:eastAsia="仿宋_GB2312" w:cs="仿宋_GB2312"/>
                <w:b w:val="0"/>
                <w:bCs w:val="0"/>
                <w:sz w:val="28"/>
                <w:szCs w:val="28"/>
                <w:vertAlign w:val="baseline"/>
                <w:lang w:val="en-US" w:eastAsia="zh-CN"/>
              </w:rPr>
            </w:pPr>
            <w:r>
              <w:rPr>
                <w:rFonts w:hint="eastAsia" w:ascii="仿宋_GB2312" w:hAnsi="仿宋_GB2312" w:eastAsia="仿宋_GB2312" w:cs="仿宋_GB2312"/>
                <w:b w:val="0"/>
                <w:bCs w:val="0"/>
                <w:sz w:val="28"/>
                <w:szCs w:val="28"/>
                <w:vertAlign w:val="baseline"/>
                <w:lang w:val="en-US" w:eastAsia="zh-CN"/>
              </w:rPr>
              <w:t>社会效益</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tcBorders>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仿宋_GB2312" w:hAnsi="仿宋_GB2312" w:eastAsia="仿宋_GB2312" w:cs="仿宋_GB2312"/>
                <w:b w:val="0"/>
                <w:bCs w:val="0"/>
                <w:sz w:val="28"/>
                <w:szCs w:val="28"/>
                <w:vertAlign w:val="baseline"/>
                <w:lang w:val="en-US" w:eastAsia="zh-CN"/>
              </w:rPr>
            </w:pPr>
            <w:r>
              <w:rPr>
                <w:rFonts w:hint="eastAsia" w:ascii="仿宋_GB2312" w:hAnsi="仿宋_GB2312" w:eastAsia="仿宋_GB2312" w:cs="仿宋_GB2312"/>
                <w:b w:val="0"/>
                <w:bCs w:val="0"/>
                <w:sz w:val="28"/>
                <w:szCs w:val="28"/>
                <w:vertAlign w:val="baseline"/>
                <w:lang w:val="en-US" w:eastAsia="zh-CN"/>
              </w:rPr>
              <w:t>满意度</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12" w:type="dxa"/>
            <w:vMerge w:val="continue"/>
            <w:tcBorders>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仿宋_GB2312" w:hAnsi="仿宋_GB2312" w:eastAsia="仿宋_GB2312" w:cs="仿宋_GB2312"/>
                <w:b w:val="0"/>
                <w:bCs w:val="0"/>
                <w:sz w:val="28"/>
                <w:szCs w:val="28"/>
                <w:vertAlign w:val="baseline"/>
                <w:lang w:val="en-US" w:eastAsia="zh-CN"/>
              </w:rPr>
            </w:pPr>
            <w:r>
              <w:rPr>
                <w:rFonts w:hint="eastAsia" w:ascii="仿宋_GB2312" w:hAnsi="仿宋_GB2312" w:eastAsia="仿宋_GB2312" w:cs="仿宋_GB2312"/>
                <w:b w:val="0"/>
                <w:bCs w:val="0"/>
                <w:sz w:val="28"/>
                <w:szCs w:val="28"/>
                <w:vertAlign w:val="baseline"/>
                <w:lang w:val="en-US" w:eastAsia="zh-CN"/>
              </w:rPr>
              <w:t>生态效益</w:t>
            </w:r>
          </w:p>
        </w:tc>
        <w:tc>
          <w:tcPr>
            <w:tcW w:w="1812"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default"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32"/>
                <w:szCs w:val="32"/>
                <w:vertAlign w:val="baseline"/>
                <w:lang w:val="en-US" w:eastAsia="zh-CN"/>
              </w:rPr>
              <w:t>7</w:t>
            </w:r>
          </w:p>
        </w:tc>
      </w:tr>
    </w:tbl>
    <w:p>
      <w:pPr>
        <w:keepNext/>
        <w:keepLines/>
        <w:numPr>
          <w:ilvl w:val="0"/>
          <w:numId w:val="0"/>
        </w:numPr>
        <w:snapToGrid w:val="0"/>
        <w:spacing w:line="580" w:lineRule="exact"/>
        <w:outlineLvl w:val="1"/>
        <w:rPr>
          <w:rFonts w:hint="default" w:ascii="仿宋_GB2312" w:hAnsi="仿宋_GB2312" w:eastAsia="仿宋_GB2312" w:cs="仿宋_GB2312"/>
          <w:b/>
          <w:bCs/>
          <w:sz w:val="32"/>
          <w:szCs w:val="32"/>
          <w:lang w:val="en-US" w:eastAsia="zh-CN"/>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490.8</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67.6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12.11</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拨款减少及厉行节约导致机关经费减少</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机关经费比年初预算增加</w:t>
      </w:r>
      <w:r>
        <w:rPr>
          <w:rFonts w:hint="eastAsia" w:ascii="仿宋_GB2312" w:hAnsi="Times New Roman" w:eastAsia="仿宋_GB2312" w:cs="DengXian-Regular"/>
          <w:sz w:val="32"/>
          <w:szCs w:val="32"/>
          <w:lang w:val="en-US" w:eastAsia="zh-CN"/>
        </w:rPr>
        <w:t>9.21万元，增幅为1.91%，主要原因是办公费增长。</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1855.799</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49.92</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535.57</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19.18</w:t>
      </w:r>
      <w:r>
        <w:rPr>
          <w:rFonts w:ascii="仿宋_GB2312" w:hAnsi="仿宋_GB2312" w:eastAsia="仿宋_GB2312" w:cs="仿宋_GB2312"/>
          <w:color w:val="000000"/>
          <w:kern w:val="0"/>
          <w:sz w:val="32"/>
          <w:szCs w:val="32"/>
          <w:lang w:bidi="ar"/>
        </w:rPr>
        <w:t>万元。</w:t>
      </w:r>
      <w:r>
        <w:rPr>
          <w:rFonts w:hint="eastAsia" w:ascii="仿宋_GB2312" w:hAnsi="仿宋_GB2312" w:eastAsia="仿宋_GB2312" w:cs="仿宋_GB2312"/>
          <w:color w:val="000000"/>
          <w:kern w:val="0"/>
          <w:sz w:val="32"/>
          <w:szCs w:val="32"/>
          <w:lang w:eastAsia="zh-CN" w:bidi="ar"/>
        </w:rPr>
        <w:t>其中授予小微企业其中小微企业</w:t>
      </w:r>
      <w:r>
        <w:rPr>
          <w:rFonts w:hint="eastAsia" w:ascii="仿宋_GB2312" w:hAnsi="仿宋_GB2312" w:eastAsia="仿宋_GB2312" w:cs="仿宋_GB2312"/>
          <w:color w:val="000000"/>
          <w:kern w:val="0"/>
          <w:sz w:val="32"/>
          <w:szCs w:val="32"/>
          <w:lang w:val="en-US" w:eastAsia="zh-CN" w:bidi="ar"/>
        </w:rPr>
        <w:t>69.1万元，占采购比例为3.72%，预计2020年石井乡政府采购400万元，其中工程采购330万元，货物和服务采购70万元。</w:t>
      </w:r>
    </w:p>
    <w:p>
      <w:pPr>
        <w:keepNext/>
        <w:keepLines/>
        <w:numPr>
          <w:ilvl w:val="0"/>
          <w:numId w:val="3"/>
        </w:numPr>
        <w:snapToGrid w:val="0"/>
        <w:spacing w:line="580" w:lineRule="exact"/>
        <w:ind w:left="420" w:leftChars="200" w:firstLine="0" w:firstLineChars="0"/>
        <w:outlineLvl w:val="2"/>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国有资产占用情况</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eastAsia="zh-CN"/>
        </w:rPr>
        <w:t>截止到</w:t>
      </w:r>
      <w:r>
        <w:rPr>
          <w:rFonts w:hint="eastAsia" w:ascii="仿宋_GB2312" w:hAnsi="Times New Roman" w:eastAsia="仿宋_GB2312" w:cs="DengXian-Regular"/>
          <w:sz w:val="32"/>
          <w:szCs w:val="32"/>
          <w:lang w:val="en-US" w:eastAsia="zh-CN"/>
        </w:rPr>
        <w:t>2019年底，我单位固定资产情况见下表（单位元）</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1"/>
        <w:gridCol w:w="1816"/>
        <w:gridCol w:w="1811"/>
        <w:gridCol w:w="1816"/>
        <w:gridCol w:w="1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名称</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原值</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累计折旧</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现值</w:t>
            </w:r>
          </w:p>
        </w:tc>
        <w:tc>
          <w:tcPr>
            <w:tcW w:w="1812" w:type="dxa"/>
            <w:vAlign w:val="top"/>
          </w:tcPr>
          <w:p>
            <w:pPr>
              <w:keepNext w:val="0"/>
              <w:keepLines w:val="0"/>
              <w:widowControl/>
              <w:suppressLineNumbers w:val="0"/>
              <w:jc w:val="both"/>
              <w:textAlignment w:val="top"/>
              <w:rPr>
                <w:rFonts w:hint="eastAsia"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现值比上年减少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土地建筑物</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1500</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203.07</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1296.93</w:t>
            </w:r>
          </w:p>
        </w:tc>
        <w:tc>
          <w:tcPr>
            <w:tcW w:w="1812" w:type="dxa"/>
            <w:vAlign w:val="top"/>
          </w:tcPr>
          <w:p>
            <w:pPr>
              <w:keepNext w:val="0"/>
              <w:keepLines w:val="0"/>
              <w:widowControl/>
              <w:suppressLineNumbers w:val="0"/>
              <w:jc w:val="both"/>
              <w:textAlignment w:val="top"/>
              <w:rPr>
                <w:rFonts w:hint="eastAsia"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-187.44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通用设备</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2411252.59</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709529.45</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1701723.14</w:t>
            </w:r>
          </w:p>
        </w:tc>
        <w:tc>
          <w:tcPr>
            <w:tcW w:w="1812" w:type="dxa"/>
            <w:vAlign w:val="top"/>
          </w:tcPr>
          <w:p>
            <w:pPr>
              <w:keepNext w:val="0"/>
              <w:keepLines w:val="0"/>
              <w:widowControl/>
              <w:suppressLineNumbers w:val="0"/>
              <w:jc w:val="both"/>
              <w:textAlignment w:val="top"/>
              <w:rPr>
                <w:rFonts w:hint="eastAsia"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1125864.81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专用设备</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120942.53</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2943.82</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117998.71</w:t>
            </w:r>
          </w:p>
        </w:tc>
        <w:tc>
          <w:tcPr>
            <w:tcW w:w="1812" w:type="dxa"/>
            <w:vAlign w:val="top"/>
          </w:tcPr>
          <w:p>
            <w:pPr>
              <w:keepNext w:val="0"/>
              <w:keepLines w:val="0"/>
              <w:widowControl/>
              <w:suppressLineNumbers w:val="0"/>
              <w:jc w:val="both"/>
              <w:textAlignment w:val="top"/>
              <w:rPr>
                <w:rFonts w:hint="eastAsia"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106501.4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家具等</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98081</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11727.49</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86353.51</w:t>
            </w:r>
          </w:p>
        </w:tc>
        <w:tc>
          <w:tcPr>
            <w:tcW w:w="1812" w:type="dxa"/>
            <w:vAlign w:val="top"/>
          </w:tcPr>
          <w:p>
            <w:pPr>
              <w:keepNext w:val="0"/>
              <w:keepLines w:val="0"/>
              <w:widowControl/>
              <w:suppressLineNumbers w:val="0"/>
              <w:jc w:val="both"/>
              <w:textAlignment w:val="top"/>
              <w:rPr>
                <w:rFonts w:hint="eastAsia"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22174.88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合计</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2631776.12</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724403.83</w:t>
            </w:r>
          </w:p>
        </w:tc>
        <w:tc>
          <w:tcPr>
            <w:tcW w:w="1812" w:type="dxa"/>
            <w:vAlign w:val="top"/>
          </w:tcPr>
          <w:p>
            <w:pPr>
              <w:keepNext w:val="0"/>
              <w:keepLines w:val="0"/>
              <w:widowControl/>
              <w:suppressLineNumbers w:val="0"/>
              <w:jc w:val="both"/>
              <w:textAlignment w:val="top"/>
              <w:rPr>
                <w:rFonts w:hint="default"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1907372.29</w:t>
            </w:r>
          </w:p>
        </w:tc>
        <w:tc>
          <w:tcPr>
            <w:tcW w:w="1812" w:type="dxa"/>
            <w:vAlign w:val="top"/>
          </w:tcPr>
          <w:p>
            <w:pPr>
              <w:keepNext w:val="0"/>
              <w:keepLines w:val="0"/>
              <w:widowControl/>
              <w:suppressLineNumbers w:val="0"/>
              <w:jc w:val="both"/>
              <w:textAlignment w:val="top"/>
              <w:rPr>
                <w:rFonts w:hint="eastAsia" w:ascii="仿宋_GB2312" w:hAnsi="Times New Roman" w:eastAsia="仿宋_GB2312" w:cs="DengXian-Regular"/>
                <w:sz w:val="32"/>
                <w:szCs w:val="32"/>
                <w:vertAlign w:val="baseline"/>
                <w:lang w:val="en-US" w:eastAsia="zh-CN"/>
              </w:rPr>
            </w:pPr>
            <w:r>
              <w:rPr>
                <w:rFonts w:hint="eastAsia" w:ascii="仿宋_GB2312" w:hAnsi="宋体" w:eastAsia="仿宋_GB2312" w:cs="仿宋_GB2312"/>
                <w:i w:val="0"/>
                <w:iCs w:val="0"/>
                <w:color w:val="000000"/>
                <w:kern w:val="0"/>
                <w:sz w:val="32"/>
                <w:szCs w:val="32"/>
                <w:u w:val="none"/>
                <w:lang w:val="en-US" w:eastAsia="zh-CN" w:bidi="ar"/>
              </w:rPr>
              <w:t>1254353.65</w:t>
            </w:r>
          </w:p>
        </w:tc>
      </w:tr>
    </w:tbl>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万元以上通用设备比上年增加</w:t>
      </w:r>
      <w:r>
        <w:rPr>
          <w:rFonts w:hint="eastAsia" w:ascii="仿宋_GB2312" w:hAnsi="Times New Roman" w:eastAsia="仿宋_GB2312" w:cs="DengXian-Regular"/>
          <w:sz w:val="32"/>
          <w:szCs w:val="32"/>
          <w:lang w:val="en-US" w:eastAsia="zh-CN"/>
        </w:rPr>
        <w:t>1台</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环卫无偿捐赠大型清扫车一台</w:t>
      </w:r>
      <w:r>
        <w:rPr>
          <w:rFonts w:hint="eastAsia" w:ascii="仿宋_GB2312" w:hAnsi="Times New Roman"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w:t>
      </w:r>
    </w:p>
    <w:p>
      <w:pPr>
        <w:keepNext/>
        <w:keepLines/>
        <w:numPr>
          <w:ilvl w:val="0"/>
          <w:numId w:val="3"/>
        </w:numPr>
        <w:snapToGrid w:val="0"/>
        <w:spacing w:line="580" w:lineRule="exact"/>
        <w:ind w:left="420" w:leftChars="200" w:firstLine="0" w:firstLineChars="0"/>
        <w:outlineLvl w:val="2"/>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其他需要说明的情况</w:t>
      </w:r>
    </w:p>
    <w:p>
      <w:pPr>
        <w:widowControl/>
        <w:spacing w:line="580" w:lineRule="exact"/>
        <w:ind w:firstLine="640" w:firstLineChars="200"/>
        <w:jc w:val="left"/>
        <w:rPr>
          <w:rFonts w:hint="eastAsia" w:ascii="楷体_GB2312" w:hAnsi="Times New Roman" w:eastAsia="楷体_GB2312" w:cs="DengXian-Bold"/>
          <w:b/>
          <w:bCs/>
          <w:sz w:val="32"/>
          <w:szCs w:val="32"/>
        </w:rPr>
      </w:pPr>
      <w:r>
        <w:rPr>
          <w:rFonts w:hint="eastAsia" w:ascii="仿宋_GB2312" w:hAnsi="Times New Roman" w:eastAsia="仿宋_GB2312" w:cs="DengXian-Regular"/>
          <w:sz w:val="32"/>
          <w:szCs w:val="32"/>
          <w:lang w:val="en-US" w:eastAsia="zh-CN"/>
        </w:rPr>
        <w:t>1石井2019年无国有资本经营预算财政拨款支出，故空列示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 xml:space="preserve"> 由于决算公开表格中金额数值应当保留两位小数，公开数据为四舍五入计算结果，个别数据合计项与分项之和存在小数点后差额，特此说明。</w:t>
      </w:r>
    </w:p>
    <w:p>
      <w:pPr>
        <w:widowControl/>
        <w:spacing w:line="580" w:lineRule="exact"/>
        <w:jc w:val="left"/>
        <w:rPr>
          <w:rFonts w:hint="default" w:ascii="宋体" w:hAnsi="宋体" w:eastAsia="宋体" w:cs="MS-UIGothic,Bold"/>
          <w:b/>
          <w:bCs/>
          <w:kern w:val="0"/>
          <w:sz w:val="44"/>
          <w:szCs w:val="44"/>
          <w:lang w:val="en-US" w:eastAsia="zh-CN"/>
        </w:rPr>
        <w:sectPr>
          <w:type w:val="continuous"/>
          <w:pgSz w:w="11906" w:h="16838"/>
          <w:pgMar w:top="2098" w:right="1474" w:bottom="1984" w:left="1588" w:header="851" w:footer="992" w:gutter="0"/>
          <w:pgNumType w:fmt="numberInDash"/>
          <w:cols w:space="0" w:num="1"/>
          <w:docGrid w:type="lines" w:linePitch="312" w:charSpace="0"/>
        </w:sectPr>
      </w:pPr>
      <w:r>
        <w:rPr>
          <w:rFonts w:hint="eastAsia" w:ascii="宋体" w:hAnsi="宋体" w:eastAsia="宋体" w:cs="MS-UIGothic,Bold"/>
          <w:b/>
          <w:bCs/>
          <w:kern w:val="0"/>
          <w:sz w:val="44"/>
          <w:szCs w:val="44"/>
          <w:lang w:val="en-US" w:eastAsia="zh-CN"/>
        </w:rPr>
        <w:t xml:space="preserve">   </w:t>
      </w: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564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564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667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667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85" w:type="dxa"/>
        <w:jc w:val="center"/>
        <w:tblLayout w:type="fixed"/>
        <w:tblCellMar>
          <w:top w:w="0" w:type="dxa"/>
          <w:left w:w="0" w:type="dxa"/>
          <w:bottom w:w="0" w:type="dxa"/>
          <w:right w:w="0" w:type="dxa"/>
        </w:tblCellMar>
      </w:tblPr>
      <w:tblGrid>
        <w:gridCol w:w="184"/>
        <w:gridCol w:w="2308"/>
        <w:gridCol w:w="658"/>
        <w:gridCol w:w="270"/>
        <w:gridCol w:w="731"/>
        <w:gridCol w:w="381"/>
        <w:gridCol w:w="118"/>
        <w:gridCol w:w="2462"/>
        <w:gridCol w:w="613"/>
        <w:gridCol w:w="1860"/>
      </w:tblGrid>
      <w:tr>
        <w:tblPrEx>
          <w:tblCellMar>
            <w:top w:w="0" w:type="dxa"/>
            <w:left w:w="0" w:type="dxa"/>
            <w:bottom w:w="0" w:type="dxa"/>
            <w:right w:w="0" w:type="dxa"/>
          </w:tblCellMar>
        </w:tblPrEx>
        <w:trPr>
          <w:gridBefore w:val="1"/>
          <w:wBefore w:w="184" w:type="dxa"/>
          <w:trHeight w:val="489" w:hRule="atLeast"/>
          <w:jc w:val="center"/>
        </w:trPr>
        <w:tc>
          <w:tcPr>
            <w:tcW w:w="9401" w:type="dxa"/>
            <w:gridSpan w:val="9"/>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gridBefore w:val="1"/>
          <w:wBefore w:w="184" w:type="dxa"/>
          <w:trHeight w:val="205" w:hRule="atLeast"/>
          <w:jc w:val="center"/>
        </w:trPr>
        <w:tc>
          <w:tcPr>
            <w:tcW w:w="3236"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8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53" w:type="dxa"/>
            <w:gridSpan w:val="4"/>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gridBefore w:val="1"/>
          <w:wBefore w:w="184" w:type="dxa"/>
          <w:trHeight w:val="421" w:hRule="atLeast"/>
          <w:jc w:val="center"/>
        </w:trPr>
        <w:tc>
          <w:tcPr>
            <w:tcW w:w="3236" w:type="dxa"/>
            <w:gridSpan w:val="3"/>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石井乡政府</w:t>
            </w: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8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53" w:type="dxa"/>
            <w:gridSpan w:val="4"/>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53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收入</w:t>
            </w:r>
          </w:p>
        </w:tc>
        <w:tc>
          <w:tcPr>
            <w:tcW w:w="5053"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支出</w:t>
            </w:r>
          </w:p>
        </w:tc>
      </w:tr>
      <w:tr>
        <w:tblPrEx>
          <w:tblCellMar>
            <w:top w:w="0" w:type="dxa"/>
            <w:left w:w="0" w:type="dxa"/>
            <w:bottom w:w="0" w:type="dxa"/>
            <w:right w:w="0" w:type="dxa"/>
          </w:tblCellMar>
        </w:tblPrEx>
        <w:trPr>
          <w:trHeight w:val="770"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行次</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金额</w:t>
            </w: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行次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金额</w:t>
            </w:r>
          </w:p>
        </w:tc>
      </w:tr>
      <w:tr>
        <w:tblPrEx>
          <w:tblCellMar>
            <w:top w:w="0" w:type="dxa"/>
            <w:left w:w="0" w:type="dxa"/>
            <w:bottom w:w="0" w:type="dxa"/>
            <w:right w:w="0" w:type="dxa"/>
          </w:tblCellMar>
        </w:tblPrEx>
        <w:trPr>
          <w:trHeight w:val="369"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栏次</w:t>
            </w: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pP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w:t>
            </w: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栏次</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w:t>
            </w:r>
          </w:p>
        </w:tc>
      </w:tr>
      <w:tr>
        <w:tblPrEx>
          <w:tblCellMar>
            <w:top w:w="0" w:type="dxa"/>
            <w:left w:w="0" w:type="dxa"/>
            <w:bottom w:w="0" w:type="dxa"/>
            <w:right w:w="0" w:type="dxa"/>
          </w:tblCellMar>
        </w:tblPrEx>
        <w:trPr>
          <w:trHeight w:val="90"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一、一般公共预算财政拨款收入</w:t>
            </w: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1,338.54</w:t>
            </w: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一、一般公共服务支出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29</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786.46</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二、政府性基金预算财政拨款收入</w:t>
            </w: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1,346.25</w:t>
            </w: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二、外交支出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30</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182"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三、上级补助收入</w:t>
            </w: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三、国防支出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四、事业收入</w:t>
            </w: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四、公共安全支出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五、经营收入</w:t>
            </w: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五、教育支出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33</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六、附属单位上缴收入</w:t>
            </w: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6</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六、科学技术支出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34</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七、其他收入</w:t>
            </w: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7</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20.00</w:t>
            </w: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七、文化旅游体育与传媒支出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35</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8</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八、社会保障和就业支出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36</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21.18</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9</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九、卫生健康支出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37</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161.67</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10</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十、节能环保支出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38</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11</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十一、城乡社区支出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39</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1,236.75</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12</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十二、农林水支出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40</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344.12</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13</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十三、交通运输支出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14</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十四、资源勘探信息等支出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15</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十五、商业服务业等支出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43</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16</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十六、金融支出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44</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17</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十七、援助其他地区支出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45</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18</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46</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19</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十九、住房保障支出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47</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20</w:t>
            </w:r>
          </w:p>
        </w:tc>
        <w:tc>
          <w:tcPr>
            <w:tcW w:w="138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二十、粮油物资储备支出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48</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21</w:t>
            </w:r>
          </w:p>
        </w:tc>
        <w:tc>
          <w:tcPr>
            <w:tcW w:w="150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49</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7.60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22</w:t>
            </w:r>
          </w:p>
        </w:tc>
        <w:tc>
          <w:tcPr>
            <w:tcW w:w="150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二十二、其他支出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50</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23</w:t>
            </w:r>
          </w:p>
        </w:tc>
        <w:tc>
          <w:tcPr>
            <w:tcW w:w="150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二十四、债务付息支出</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本年收入合计</w:t>
            </w: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24</w:t>
            </w:r>
          </w:p>
        </w:tc>
        <w:tc>
          <w:tcPr>
            <w:tcW w:w="150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2,704.79</w:t>
            </w:r>
          </w:p>
        </w:tc>
        <w:tc>
          <w:tcPr>
            <w:tcW w:w="24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本年支出合计</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2,557.79</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用事业基金弥补收支差额</w:t>
            </w: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25</w:t>
            </w:r>
          </w:p>
        </w:tc>
        <w:tc>
          <w:tcPr>
            <w:tcW w:w="150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4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结余分配</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53</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年初结转和结余</w:t>
            </w: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26</w:t>
            </w:r>
          </w:p>
        </w:tc>
        <w:tc>
          <w:tcPr>
            <w:tcW w:w="150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4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年末结转和结余</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54</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147.00</w:t>
            </w: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27</w:t>
            </w:r>
          </w:p>
        </w:tc>
        <w:tc>
          <w:tcPr>
            <w:tcW w:w="150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4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55</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249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总计</w:t>
            </w:r>
          </w:p>
        </w:tc>
        <w:tc>
          <w:tcPr>
            <w:tcW w:w="6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28</w:t>
            </w:r>
          </w:p>
        </w:tc>
        <w:tc>
          <w:tcPr>
            <w:tcW w:w="150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2,704.79</w:t>
            </w:r>
          </w:p>
        </w:tc>
        <w:tc>
          <w:tcPr>
            <w:tcW w:w="24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总计</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56</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2,704.79</w:t>
            </w:r>
          </w:p>
        </w:tc>
      </w:tr>
      <w:tr>
        <w:tblPrEx>
          <w:tblCellMar>
            <w:top w:w="0" w:type="dxa"/>
            <w:left w:w="0" w:type="dxa"/>
            <w:bottom w:w="0" w:type="dxa"/>
            <w:right w:w="0" w:type="dxa"/>
          </w:tblCellMar>
        </w:tblPrEx>
        <w:trPr>
          <w:gridBefore w:val="1"/>
          <w:wBefore w:w="184" w:type="dxa"/>
          <w:trHeight w:val="213" w:hRule="atLeast"/>
          <w:jc w:val="center"/>
        </w:trPr>
        <w:tc>
          <w:tcPr>
            <w:tcW w:w="9401" w:type="dxa"/>
            <w:gridSpan w:val="9"/>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0" w:type="dxa"/>
        <w:jc w:val="center"/>
        <w:tblLayout w:type="fixed"/>
        <w:tblCellMar>
          <w:top w:w="0" w:type="dxa"/>
          <w:left w:w="0" w:type="dxa"/>
          <w:bottom w:w="0" w:type="dxa"/>
          <w:right w:w="0" w:type="dxa"/>
        </w:tblCellMar>
      </w:tblPr>
      <w:tblGrid>
        <w:gridCol w:w="650"/>
        <w:gridCol w:w="358"/>
        <w:gridCol w:w="58"/>
        <w:gridCol w:w="58"/>
        <w:gridCol w:w="1455"/>
        <w:gridCol w:w="1000"/>
        <w:gridCol w:w="1000"/>
        <w:gridCol w:w="1000"/>
        <w:gridCol w:w="1000"/>
        <w:gridCol w:w="1000"/>
        <w:gridCol w:w="1000"/>
        <w:gridCol w:w="1001"/>
      </w:tblGrid>
      <w:tr>
        <w:tblPrEx>
          <w:tblCellMar>
            <w:top w:w="0" w:type="dxa"/>
            <w:left w:w="0" w:type="dxa"/>
            <w:bottom w:w="0" w:type="dxa"/>
            <w:right w:w="0" w:type="dxa"/>
          </w:tblCellMar>
        </w:tblPrEx>
        <w:trPr>
          <w:trHeight w:val="670" w:hRule="atLeast"/>
          <w:jc w:val="center"/>
        </w:trPr>
        <w:tc>
          <w:tcPr>
            <w:tcW w:w="9580" w:type="dxa"/>
            <w:gridSpan w:val="12"/>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100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1008" w:type="dxa"/>
            <w:gridSpan w:val="2"/>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石井乡政府</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257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其他收入</w:t>
            </w:r>
          </w:p>
        </w:tc>
      </w:tr>
      <w:tr>
        <w:tblPrEx>
          <w:tblCellMar>
            <w:top w:w="0" w:type="dxa"/>
            <w:left w:w="0" w:type="dxa"/>
            <w:bottom w:w="0" w:type="dxa"/>
            <w:right w:w="0" w:type="dxa"/>
          </w:tblCellMar>
        </w:tblPrEx>
        <w:trPr>
          <w:trHeight w:val="380" w:hRule="atLeast"/>
          <w:jc w:val="center"/>
        </w:trPr>
        <w:tc>
          <w:tcPr>
            <w:tcW w:w="65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功能分类科目编码</w:t>
            </w:r>
          </w:p>
        </w:tc>
        <w:tc>
          <w:tcPr>
            <w:tcW w:w="1929" w:type="dxa"/>
            <w:gridSpan w:val="4"/>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65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9"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65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9"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579"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w:t>
            </w:r>
          </w:p>
        </w:tc>
      </w:tr>
      <w:tr>
        <w:tblPrEx>
          <w:tblCellMar>
            <w:top w:w="0" w:type="dxa"/>
            <w:left w:w="0" w:type="dxa"/>
            <w:bottom w:w="0" w:type="dxa"/>
            <w:right w:w="0" w:type="dxa"/>
          </w:tblCellMar>
        </w:tblPrEx>
        <w:trPr>
          <w:trHeight w:val="385" w:hRule="atLeast"/>
          <w:jc w:val="center"/>
        </w:trPr>
        <w:tc>
          <w:tcPr>
            <w:tcW w:w="2579"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合计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2,704.79</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2,684.79</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20.00</w:t>
            </w:r>
          </w:p>
        </w:tc>
      </w:tr>
      <w:tr>
        <w:tblPrEx>
          <w:tblCellMar>
            <w:top w:w="0" w:type="dxa"/>
            <w:left w:w="0" w:type="dxa"/>
            <w:bottom w:w="0" w:type="dxa"/>
            <w:right w:w="0" w:type="dxa"/>
          </w:tblCellMar>
        </w:tblPrEx>
        <w:trPr>
          <w:trHeight w:val="385" w:hRule="atLeast"/>
          <w:jc w:val="center"/>
        </w:trPr>
        <w:tc>
          <w:tcPr>
            <w:tcW w:w="6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192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786.46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786.46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6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w:t>
            </w:r>
          </w:p>
        </w:tc>
        <w:tc>
          <w:tcPr>
            <w:tcW w:w="192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625.40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625.40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6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2010301</w:t>
            </w:r>
          </w:p>
        </w:tc>
        <w:tc>
          <w:tcPr>
            <w:tcW w:w="192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625.40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625.40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6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w:t>
            </w:r>
          </w:p>
        </w:tc>
        <w:tc>
          <w:tcPr>
            <w:tcW w:w="192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财政事务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161.05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161.05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6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2010601</w:t>
            </w:r>
          </w:p>
        </w:tc>
        <w:tc>
          <w:tcPr>
            <w:tcW w:w="192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159.05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159.05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6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2010602</w:t>
            </w:r>
          </w:p>
        </w:tc>
        <w:tc>
          <w:tcPr>
            <w:tcW w:w="192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85" w:hRule="atLeast"/>
          <w:jc w:val="center"/>
        </w:trPr>
        <w:tc>
          <w:tcPr>
            <w:tcW w:w="9580" w:type="dxa"/>
            <w:gridSpan w:val="12"/>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Layout w:type="fixed"/>
        <w:tblCellMar>
          <w:top w:w="0" w:type="dxa"/>
          <w:left w:w="0" w:type="dxa"/>
          <w:bottom w:w="0" w:type="dxa"/>
          <w:right w:w="0" w:type="dxa"/>
        </w:tblCellMar>
      </w:tblPr>
      <w:tblGrid>
        <w:gridCol w:w="537"/>
        <w:gridCol w:w="404"/>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1"/>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941" w:type="dxa"/>
            <w:gridSpan w:val="2"/>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石井乡政府</w:t>
            </w: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246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对附属单位补助支出</w:t>
            </w:r>
          </w:p>
        </w:tc>
      </w:tr>
      <w:tr>
        <w:tblPrEx>
          <w:tblCellMar>
            <w:top w:w="0" w:type="dxa"/>
            <w:left w:w="0" w:type="dxa"/>
            <w:bottom w:w="0" w:type="dxa"/>
            <w:right w:w="0" w:type="dxa"/>
          </w:tblCellMar>
        </w:tblPrEx>
        <w:trPr>
          <w:trHeight w:val="319" w:hRule="atLeast"/>
          <w:jc w:val="center"/>
        </w:trPr>
        <w:tc>
          <w:tcPr>
            <w:tcW w:w="537"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功能分类科目编码</w:t>
            </w:r>
          </w:p>
        </w:tc>
        <w:tc>
          <w:tcPr>
            <w:tcW w:w="1927" w:type="dxa"/>
            <w:gridSpan w:val="4"/>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537"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7"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537"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7"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w:t>
            </w:r>
          </w:p>
        </w:tc>
      </w:tr>
      <w:tr>
        <w:tblPrEx>
          <w:tblCellMar>
            <w:top w:w="0" w:type="dxa"/>
            <w:left w:w="0" w:type="dxa"/>
            <w:bottom w:w="0" w:type="dxa"/>
            <w:right w:w="0" w:type="dxa"/>
          </w:tblCellMar>
        </w:tblPrEx>
        <w:trPr>
          <w:trHeight w:val="323" w:hRule="atLeast"/>
          <w:jc w:val="center"/>
        </w:trPr>
        <w:tc>
          <w:tcPr>
            <w:tcW w:w="2464"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合计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2,557.79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1,260.40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1,297.39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53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1927"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786.46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784.46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53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w:t>
            </w:r>
          </w:p>
        </w:tc>
        <w:tc>
          <w:tcPr>
            <w:tcW w:w="1927"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625.40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625.40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53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2010301</w:t>
            </w:r>
          </w:p>
        </w:tc>
        <w:tc>
          <w:tcPr>
            <w:tcW w:w="1927"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625.40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625.40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53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w:t>
            </w:r>
          </w:p>
        </w:tc>
        <w:tc>
          <w:tcPr>
            <w:tcW w:w="1927"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财政事务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161.05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159.05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53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2010601</w:t>
            </w:r>
          </w:p>
        </w:tc>
        <w:tc>
          <w:tcPr>
            <w:tcW w:w="1927"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159.05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159.05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53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2010602</w:t>
            </w:r>
          </w:p>
        </w:tc>
        <w:tc>
          <w:tcPr>
            <w:tcW w:w="1927"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23" w:hRule="atLeast"/>
          <w:jc w:val="center"/>
        </w:trPr>
        <w:tc>
          <w:tcPr>
            <w:tcW w:w="9680"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520" w:type="dxa"/>
        <w:jc w:val="center"/>
        <w:tblLayout w:type="fixed"/>
        <w:tblCellMar>
          <w:top w:w="0" w:type="dxa"/>
          <w:left w:w="0" w:type="dxa"/>
          <w:bottom w:w="0" w:type="dxa"/>
          <w:right w:w="0" w:type="dxa"/>
        </w:tblCellMar>
      </w:tblPr>
      <w:tblGrid>
        <w:gridCol w:w="1439"/>
        <w:gridCol w:w="480"/>
        <w:gridCol w:w="1003"/>
        <w:gridCol w:w="425"/>
        <w:gridCol w:w="240"/>
        <w:gridCol w:w="2007"/>
        <w:gridCol w:w="570"/>
        <w:gridCol w:w="791"/>
        <w:gridCol w:w="184"/>
        <w:gridCol w:w="323"/>
        <w:gridCol w:w="757"/>
        <w:gridCol w:w="1301"/>
      </w:tblGrid>
      <w:tr>
        <w:tblPrEx>
          <w:tblCellMar>
            <w:top w:w="0" w:type="dxa"/>
            <w:left w:w="0" w:type="dxa"/>
            <w:bottom w:w="0" w:type="dxa"/>
            <w:right w:w="0" w:type="dxa"/>
          </w:tblCellMar>
        </w:tblPrEx>
        <w:trPr>
          <w:trHeight w:val="406" w:hRule="atLeast"/>
          <w:jc w:val="center"/>
        </w:trPr>
        <w:tc>
          <w:tcPr>
            <w:tcW w:w="9520" w:type="dxa"/>
            <w:gridSpan w:val="12"/>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922"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68"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922" w:type="dxa"/>
            <w:gridSpan w:val="3"/>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68"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3587"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收     入</w:t>
            </w:r>
          </w:p>
        </w:tc>
        <w:tc>
          <w:tcPr>
            <w:tcW w:w="5933" w:type="dxa"/>
            <w:gridSpan w:val="7"/>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支     出</w:t>
            </w:r>
          </w:p>
        </w:tc>
      </w:tr>
      <w:tr>
        <w:tblPrEx>
          <w:tblCellMar>
            <w:top w:w="0" w:type="dxa"/>
            <w:left w:w="0" w:type="dxa"/>
            <w:bottom w:w="0" w:type="dxa"/>
            <w:right w:w="0" w:type="dxa"/>
          </w:tblCellMar>
        </w:tblPrEx>
        <w:trPr>
          <w:trHeight w:val="312"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行次</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金额</w:t>
            </w: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行次</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合计</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一般公共预算财政拨款</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政府性基金预算财政拨款</w:t>
            </w:r>
          </w:p>
        </w:tc>
      </w:tr>
      <w:tr>
        <w:tblPrEx>
          <w:tblCellMar>
            <w:top w:w="0" w:type="dxa"/>
            <w:left w:w="0" w:type="dxa"/>
            <w:bottom w:w="0" w:type="dxa"/>
            <w:right w:w="0" w:type="dxa"/>
          </w:tblCellMar>
        </w:tblPrEx>
        <w:trPr>
          <w:trHeight w:val="312"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栏次</w:t>
            </w: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pP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w:t>
            </w: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栏次</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pP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一、一般公共预算财政拨款</w:t>
            </w: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1,338.54</w:t>
            </w: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Cs w:val="21"/>
              </w:rPr>
            </w:pPr>
            <w:r>
              <w:rPr>
                <w:rFonts w:hint="eastAsia" w:ascii="宋体" w:hAnsi="宋体" w:eastAsia="宋体" w:cs="宋体"/>
                <w:i w:val="0"/>
                <w:color w:val="000000"/>
                <w:kern w:val="0"/>
                <w:sz w:val="22"/>
                <w:szCs w:val="22"/>
                <w:u w:val="none"/>
                <w:lang w:val="en-US" w:eastAsia="zh-CN" w:bidi="ar"/>
              </w:rPr>
              <w:t>一、一般公共服务支出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30</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786.46</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786.46</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二、政府性基金预算财政拨款</w:t>
            </w: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1,346.25</w:t>
            </w: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二、外交支出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31</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三、国防支出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32</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四、公共安全支出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33</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五、教育支出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34</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6</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六、科学技术支出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35</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7</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七、文化旅游体育与传媒支出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36</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8</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八、社会保障和就业支出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37</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21.18</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21.18</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9</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九、卫生健康支出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38</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161.67</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161.67</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10</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十、节能环保支出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39</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11</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十一、城乡社区支出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40</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1,216.75</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17.50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1,199.25</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12</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十二、农林水支出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41</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344.12</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344.12</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13</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十三、交通运输支出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42</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14</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十四、资源勘探信息等支出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43</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15</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十五、商业服务业等支出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44</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16</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十六、金融支出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45</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17</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十七、援助其他地区支出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46</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18</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47</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19</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Cs w:val="21"/>
              </w:rPr>
            </w:pPr>
            <w:r>
              <w:rPr>
                <w:rFonts w:hint="eastAsia" w:ascii="宋体" w:hAnsi="宋体" w:eastAsia="宋体" w:cs="宋体"/>
                <w:i w:val="0"/>
                <w:color w:val="000000"/>
                <w:kern w:val="0"/>
                <w:sz w:val="22"/>
                <w:szCs w:val="22"/>
                <w:u w:val="none"/>
                <w:lang w:val="en-US" w:eastAsia="zh-CN" w:bidi="ar"/>
              </w:rPr>
              <w:t>十九、住房保障支出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48</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20</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二十、粮油物资储备支出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49</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21</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50</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7.60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7.60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22</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Cs w:val="21"/>
              </w:rPr>
            </w:pPr>
            <w:r>
              <w:rPr>
                <w:rFonts w:hint="eastAsia" w:ascii="宋体" w:hAnsi="宋体" w:eastAsia="宋体" w:cs="宋体"/>
                <w:i w:val="0"/>
                <w:color w:val="000000"/>
                <w:kern w:val="0"/>
                <w:sz w:val="22"/>
                <w:szCs w:val="22"/>
                <w:u w:val="none"/>
                <w:lang w:val="en-US" w:eastAsia="zh-CN" w:bidi="ar"/>
              </w:rPr>
              <w:t>二十二、其他支出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51</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23</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二十四、债务付息支出</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52</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0.00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本年收入合计</w:t>
            </w: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24</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2,684.79</w:t>
            </w: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本年支出合计</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53</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2,537.79</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1,338.54</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1,199.25</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b/>
                <w:color w:val="000000"/>
                <w:sz w:val="22"/>
              </w:rPr>
            </w:pPr>
            <w:r>
              <w:rPr>
                <w:rFonts w:hint="eastAsia" w:ascii="宋体" w:hAnsi="宋体" w:eastAsia="宋体" w:cs="宋体"/>
                <w:i w:val="0"/>
                <w:color w:val="000000"/>
                <w:kern w:val="0"/>
                <w:sz w:val="22"/>
                <w:szCs w:val="22"/>
                <w:u w:val="none"/>
                <w:lang w:val="en-US" w:eastAsia="zh-CN" w:bidi="ar"/>
              </w:rPr>
              <w:t>年初财政拨款结转和结余</w:t>
            </w: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25</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b/>
                <w:color w:val="000000"/>
                <w:sz w:val="22"/>
              </w:rPr>
            </w:pPr>
            <w:r>
              <w:rPr>
                <w:rFonts w:hint="eastAsia" w:ascii="宋体" w:hAnsi="宋体" w:eastAsia="宋体" w:cs="宋体"/>
                <w:i w:val="0"/>
                <w:color w:val="000000"/>
                <w:kern w:val="0"/>
                <w:sz w:val="22"/>
                <w:szCs w:val="22"/>
                <w:u w:val="none"/>
                <w:lang w:val="en-US" w:eastAsia="zh-CN" w:bidi="ar"/>
              </w:rPr>
              <w:t>年末财政拨款结转和结余</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54</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147.00</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147.00</w:t>
            </w: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一、一般公共预算财政拨款</w:t>
            </w: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26</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55</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pP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二、政府性基金预算财政拨款</w:t>
            </w: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27</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56</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pP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28</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57</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pP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143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总计</w:t>
            </w:r>
          </w:p>
        </w:tc>
        <w:tc>
          <w:tcPr>
            <w:tcW w:w="4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29</w:t>
            </w:r>
          </w:p>
        </w:tc>
        <w:tc>
          <w:tcPr>
            <w:tcW w:w="166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2,684.79</w:t>
            </w:r>
          </w:p>
        </w:tc>
        <w:tc>
          <w:tcPr>
            <w:tcW w:w="20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总计</w:t>
            </w:r>
          </w:p>
        </w:tc>
        <w:tc>
          <w:tcPr>
            <w:tcW w:w="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58</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22"/>
                <w:szCs w:val="22"/>
                <w:u w:val="none"/>
                <w:lang w:val="en-US" w:eastAsia="zh-CN" w:bidi="ar"/>
              </w:rPr>
              <w:t>2,684.79</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1,338.54</w:t>
            </w:r>
          </w:p>
        </w:tc>
        <w:tc>
          <w:tcPr>
            <w:tcW w:w="13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1,346.25</w:t>
            </w:r>
          </w:p>
        </w:tc>
      </w:tr>
      <w:tr>
        <w:tblPrEx>
          <w:tblCellMar>
            <w:top w:w="0" w:type="dxa"/>
            <w:left w:w="0" w:type="dxa"/>
            <w:bottom w:w="0" w:type="dxa"/>
            <w:right w:w="0" w:type="dxa"/>
          </w:tblCellMar>
        </w:tblPrEx>
        <w:trPr>
          <w:trHeight w:val="90" w:hRule="atLeast"/>
          <w:jc w:val="center"/>
        </w:trPr>
        <w:tc>
          <w:tcPr>
            <w:tcW w:w="3587"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收     入</w:t>
            </w:r>
          </w:p>
        </w:tc>
        <w:tc>
          <w:tcPr>
            <w:tcW w:w="5933"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支     出</w:t>
            </w:r>
          </w:p>
        </w:tc>
      </w:tr>
      <w:tr>
        <w:tblPrEx>
          <w:tblCellMar>
            <w:top w:w="0" w:type="dxa"/>
            <w:left w:w="0" w:type="dxa"/>
            <w:bottom w:w="0" w:type="dxa"/>
            <w:right w:w="0" w:type="dxa"/>
          </w:tblCellMar>
        </w:tblPrEx>
        <w:trPr>
          <w:trHeight w:val="90" w:hRule="atLeast"/>
          <w:jc w:val="center"/>
        </w:trPr>
        <w:tc>
          <w:tcPr>
            <w:tcW w:w="9520" w:type="dxa"/>
            <w:gridSpan w:val="12"/>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Layout w:type="fixed"/>
        <w:tblCellMar>
          <w:top w:w="0" w:type="dxa"/>
          <w:left w:w="0" w:type="dxa"/>
          <w:bottom w:w="0" w:type="dxa"/>
          <w:right w:w="0" w:type="dxa"/>
        </w:tblCellMar>
      </w:tblPr>
      <w:tblGrid>
        <w:gridCol w:w="1174"/>
        <w:gridCol w:w="67"/>
        <w:gridCol w:w="67"/>
        <w:gridCol w:w="1695"/>
        <w:gridCol w:w="1296"/>
        <w:gridCol w:w="1033"/>
        <w:gridCol w:w="767"/>
        <w:gridCol w:w="1620"/>
        <w:gridCol w:w="2271"/>
      </w:tblGrid>
      <w:tr>
        <w:tblPrEx>
          <w:tblCellMar>
            <w:top w:w="0" w:type="dxa"/>
            <w:left w:w="0" w:type="dxa"/>
            <w:bottom w:w="0" w:type="dxa"/>
            <w:right w:w="0" w:type="dxa"/>
          </w:tblCellMar>
        </w:tblPrEx>
        <w:trPr>
          <w:trHeight w:val="600" w:hRule="atLeast"/>
          <w:jc w:val="center"/>
        </w:trPr>
        <w:tc>
          <w:tcPr>
            <w:tcW w:w="999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2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石井乡政府</w:t>
            </w: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2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429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5691"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功能分类科目编码</w:t>
            </w:r>
          </w:p>
        </w:tc>
        <w:tc>
          <w:tcPr>
            <w:tcW w:w="2991"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科目名称</w:t>
            </w:r>
          </w:p>
        </w:tc>
        <w:tc>
          <w:tcPr>
            <w:tcW w:w="180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小计</w:t>
            </w:r>
          </w:p>
        </w:tc>
        <w:tc>
          <w:tcPr>
            <w:tcW w:w="16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基本支出</w:t>
            </w:r>
          </w:p>
        </w:tc>
        <w:tc>
          <w:tcPr>
            <w:tcW w:w="227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91"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0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7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91"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0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7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4299"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栏次</w:t>
            </w:r>
          </w:p>
        </w:tc>
        <w:tc>
          <w:tcPr>
            <w:tcW w:w="18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w:t>
            </w:r>
          </w:p>
        </w:tc>
        <w:tc>
          <w:tcPr>
            <w:tcW w:w="16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w:t>
            </w:r>
          </w:p>
        </w:tc>
        <w:tc>
          <w:tcPr>
            <w:tcW w:w="22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w:t>
            </w:r>
          </w:p>
        </w:tc>
      </w:tr>
      <w:tr>
        <w:tblPrEx>
          <w:tblCellMar>
            <w:top w:w="0" w:type="dxa"/>
            <w:left w:w="0" w:type="dxa"/>
            <w:bottom w:w="0" w:type="dxa"/>
            <w:right w:w="0" w:type="dxa"/>
          </w:tblCellMar>
        </w:tblPrEx>
        <w:trPr>
          <w:trHeight w:val="308" w:hRule="atLeast"/>
          <w:jc w:val="center"/>
        </w:trPr>
        <w:tc>
          <w:tcPr>
            <w:tcW w:w="4299"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合计</w:t>
            </w:r>
          </w:p>
        </w:tc>
        <w:tc>
          <w:tcPr>
            <w:tcW w:w="18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1,338.54</w:t>
            </w:r>
          </w:p>
        </w:tc>
        <w:tc>
          <w:tcPr>
            <w:tcW w:w="16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1,260.40</w:t>
            </w:r>
          </w:p>
        </w:tc>
        <w:tc>
          <w:tcPr>
            <w:tcW w:w="22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78.14</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w:t>
            </w:r>
          </w:p>
        </w:tc>
        <w:tc>
          <w:tcPr>
            <w:tcW w:w="29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一般公共服务支出</w:t>
            </w:r>
          </w:p>
        </w:tc>
        <w:tc>
          <w:tcPr>
            <w:tcW w:w="18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786.46</w:t>
            </w:r>
          </w:p>
        </w:tc>
        <w:tc>
          <w:tcPr>
            <w:tcW w:w="16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784.46</w:t>
            </w:r>
          </w:p>
        </w:tc>
        <w:tc>
          <w:tcPr>
            <w:tcW w:w="22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w:t>
            </w:r>
          </w:p>
        </w:tc>
        <w:tc>
          <w:tcPr>
            <w:tcW w:w="29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8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625.40</w:t>
            </w:r>
          </w:p>
        </w:tc>
        <w:tc>
          <w:tcPr>
            <w:tcW w:w="16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625.40</w:t>
            </w:r>
          </w:p>
        </w:tc>
        <w:tc>
          <w:tcPr>
            <w:tcW w:w="22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2010301</w:t>
            </w:r>
          </w:p>
        </w:tc>
        <w:tc>
          <w:tcPr>
            <w:tcW w:w="29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8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625.40</w:t>
            </w:r>
          </w:p>
        </w:tc>
        <w:tc>
          <w:tcPr>
            <w:tcW w:w="16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625.40</w:t>
            </w:r>
          </w:p>
        </w:tc>
        <w:tc>
          <w:tcPr>
            <w:tcW w:w="22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w:t>
            </w:r>
          </w:p>
        </w:tc>
        <w:tc>
          <w:tcPr>
            <w:tcW w:w="29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财政事务</w:t>
            </w:r>
          </w:p>
        </w:tc>
        <w:tc>
          <w:tcPr>
            <w:tcW w:w="18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161.05</w:t>
            </w:r>
          </w:p>
        </w:tc>
        <w:tc>
          <w:tcPr>
            <w:tcW w:w="16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159.05</w:t>
            </w:r>
          </w:p>
        </w:tc>
        <w:tc>
          <w:tcPr>
            <w:tcW w:w="22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2010601</w:t>
            </w:r>
          </w:p>
        </w:tc>
        <w:tc>
          <w:tcPr>
            <w:tcW w:w="29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8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159.05</w:t>
            </w:r>
          </w:p>
        </w:tc>
        <w:tc>
          <w:tcPr>
            <w:tcW w:w="16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159.05</w:t>
            </w:r>
          </w:p>
        </w:tc>
        <w:tc>
          <w:tcPr>
            <w:tcW w:w="22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2010602</w:t>
            </w:r>
          </w:p>
        </w:tc>
        <w:tc>
          <w:tcPr>
            <w:tcW w:w="29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8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c>
          <w:tcPr>
            <w:tcW w:w="16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22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w:t>
            </w:r>
          </w:p>
        </w:tc>
      </w:tr>
    </w:tbl>
    <w:p>
      <w:r>
        <w:br w:type="page"/>
      </w:r>
    </w:p>
    <w:tbl>
      <w:tblPr>
        <w:tblStyle w:val="6"/>
        <w:tblW w:w="10000" w:type="dxa"/>
        <w:jc w:val="center"/>
        <w:tblLayout w:type="fixed"/>
        <w:tblCellMar>
          <w:top w:w="0" w:type="dxa"/>
          <w:left w:w="0" w:type="dxa"/>
          <w:bottom w:w="0" w:type="dxa"/>
          <w:right w:w="0" w:type="dxa"/>
        </w:tblCellMar>
      </w:tblPr>
      <w:tblGrid>
        <w:gridCol w:w="601"/>
        <w:gridCol w:w="295"/>
        <w:gridCol w:w="1503"/>
        <w:gridCol w:w="429"/>
        <w:gridCol w:w="783"/>
        <w:gridCol w:w="655"/>
        <w:gridCol w:w="323"/>
        <w:gridCol w:w="1276"/>
        <w:gridCol w:w="239"/>
        <w:gridCol w:w="529"/>
        <w:gridCol w:w="476"/>
        <w:gridCol w:w="268"/>
        <w:gridCol w:w="566"/>
        <w:gridCol w:w="1198"/>
        <w:gridCol w:w="859"/>
      </w:tblGrid>
      <w:tr>
        <w:tblPrEx>
          <w:tblCellMar>
            <w:top w:w="0" w:type="dxa"/>
            <w:left w:w="0" w:type="dxa"/>
            <w:bottom w:w="0" w:type="dxa"/>
            <w:right w:w="0" w:type="dxa"/>
          </w:tblCellMar>
        </w:tblPrEx>
        <w:trPr>
          <w:trHeight w:val="662" w:hRule="atLeast"/>
          <w:jc w:val="center"/>
        </w:trPr>
        <w:tc>
          <w:tcPr>
            <w:tcW w:w="10000" w:type="dxa"/>
            <w:gridSpan w:val="15"/>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39" w:hRule="atLeast"/>
          <w:jc w:val="center"/>
        </w:trPr>
        <w:tc>
          <w:tcPr>
            <w:tcW w:w="896" w:type="dxa"/>
            <w:gridSpan w:val="2"/>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石井乡政府</w:t>
            </w:r>
          </w:p>
        </w:tc>
        <w:tc>
          <w:tcPr>
            <w:tcW w:w="1932"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人员经费</w:t>
            </w:r>
          </w:p>
        </w:tc>
        <w:tc>
          <w:tcPr>
            <w:tcW w:w="6389" w:type="dxa"/>
            <w:gridSpan w:val="10"/>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公用经费</w:t>
            </w:r>
          </w:p>
        </w:tc>
      </w:tr>
      <w:tr>
        <w:tblPrEx>
          <w:tblCellMar>
            <w:top w:w="0" w:type="dxa"/>
            <w:left w:w="0" w:type="dxa"/>
            <w:bottom w:w="0" w:type="dxa"/>
            <w:right w:w="0" w:type="dxa"/>
          </w:tblCellMar>
        </w:tblPrEx>
        <w:trPr>
          <w:trHeight w:val="362" w:hRule="atLeast"/>
          <w:jc w:val="center"/>
        </w:trPr>
        <w:tc>
          <w:tcPr>
            <w:tcW w:w="6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科目编码</w:t>
            </w:r>
          </w:p>
        </w:tc>
        <w:tc>
          <w:tcPr>
            <w:tcW w:w="1798"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科目名称</w:t>
            </w:r>
          </w:p>
        </w:tc>
        <w:tc>
          <w:tcPr>
            <w:tcW w:w="1212"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决算数</w:t>
            </w:r>
          </w:p>
        </w:tc>
        <w:tc>
          <w:tcPr>
            <w:tcW w:w="978"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科目编码</w:t>
            </w:r>
          </w:p>
        </w:tc>
        <w:tc>
          <w:tcPr>
            <w:tcW w:w="151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科目名称</w:t>
            </w:r>
          </w:p>
        </w:tc>
        <w:tc>
          <w:tcPr>
            <w:tcW w:w="100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决算数</w:t>
            </w:r>
          </w:p>
        </w:tc>
        <w:tc>
          <w:tcPr>
            <w:tcW w:w="834"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科目编码</w:t>
            </w:r>
          </w:p>
        </w:tc>
        <w:tc>
          <w:tcPr>
            <w:tcW w:w="119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科目名称</w:t>
            </w:r>
          </w:p>
        </w:tc>
        <w:tc>
          <w:tcPr>
            <w:tcW w:w="8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决算数</w:t>
            </w:r>
          </w:p>
        </w:tc>
      </w:tr>
      <w:tr>
        <w:tblPrEx>
          <w:tblCellMar>
            <w:top w:w="0" w:type="dxa"/>
            <w:left w:w="0" w:type="dxa"/>
            <w:bottom w:w="0" w:type="dxa"/>
            <w:right w:w="0" w:type="dxa"/>
          </w:tblCellMar>
        </w:tblPrEx>
        <w:trPr>
          <w:trHeight w:val="349" w:hRule="atLeast"/>
          <w:jc w:val="center"/>
        </w:trPr>
        <w:tc>
          <w:tcPr>
            <w:tcW w:w="6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98"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1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9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工资福利支出</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695.19</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商品和服务支出</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490.80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307</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债务利息及费用支出</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30101</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基本工资</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287.56</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30201</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办公费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437.66</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30701</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国内债务付息</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30102</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津贴补贴</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32.76</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30202</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印刷费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30702</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国外债务付息</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30103</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奖金</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167.20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30203</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咨询费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资本性支出</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30106</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伙食补助费</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30204</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手续费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31001</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房屋建筑物购建</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30107</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绩效工资</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46.55</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30205</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水费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5.50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31002</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办公设备购置</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30108</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机关事业单位基本养老保险缴费</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52.38</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30206</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电费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14.91</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31003</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专用设备购置</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30109</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职业年金缴费</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30207</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邮电费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31005</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基础设施建设</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30110</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职工基本医疗保险缴费</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47.93</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30208</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取暖费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3.17</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31006</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大型修缮</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30111</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公务员医疗补助缴费</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30209</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物业管理费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31007</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信息网络及软件购置更新</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30112</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其他社会保障缴费</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30211</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差旅费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20.50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31008</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物资储备</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30113</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住房公积金</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60.82</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30212</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因公出国（境）费用</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31009</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土地补偿</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30114</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医疗费</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30213</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维修（护）费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31010</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安置补助</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30199</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其他工资福利支出</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30214</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租赁费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31011</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地上附着物和青苗补偿</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对个人和家庭的补助</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74.40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30215</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会议费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31012</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拆迁补偿</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30301</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离休费</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30216</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培训费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31013</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公务用车购置</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30302</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退休费</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74.40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公务接待费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31019</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其他交通工具购置</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30303</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退职（役）费</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30218</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专用材料费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31021</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文物和陈列品购置</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30304</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抚恤金</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30224</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被装购置费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31022</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无形资产购置</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30305</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生活补助</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30225</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专用燃料费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31099</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其他资本性支出</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30306</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救济费</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30226</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劳务费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399</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其他支出</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30307</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医疗费补助</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30227</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委托业务费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39906</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赠与</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2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30308</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助学金</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30228</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工会经费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39907</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国家赔偿费用支出</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30309</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奖励金</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30229</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福利费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3.69</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39908</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对民间非营利组织和群众性自治组织补贴</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30310</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个人农业生产补贴</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30231</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公务用车运行维护费</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5.37</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39999</w:t>
            </w: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其他支出</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30399</w:t>
            </w: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其他对个人和家庭的补助</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30239</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其他交通费用</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30240</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税金及附加费用</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6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17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97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30299</w:t>
            </w:r>
          </w:p>
        </w:tc>
        <w:tc>
          <w:tcPr>
            <w:tcW w:w="15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其他商品和服务支出</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8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11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39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人员经费合计</w:t>
            </w:r>
          </w:p>
        </w:tc>
        <w:tc>
          <w:tcPr>
            <w:tcW w:w="12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769.60</w:t>
            </w:r>
          </w:p>
        </w:tc>
        <w:tc>
          <w:tcPr>
            <w:tcW w:w="5530"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公用经费合计</w:t>
            </w:r>
          </w:p>
        </w:tc>
        <w:tc>
          <w:tcPr>
            <w:tcW w:w="8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490.80</w:t>
            </w:r>
          </w:p>
        </w:tc>
      </w:tr>
    </w:tbl>
    <w:p>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石井乡政府</w:t>
            </w: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5.4</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5.37</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5.37</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647"/>
        <w:gridCol w:w="373"/>
        <w:gridCol w:w="58"/>
        <w:gridCol w:w="58"/>
        <w:gridCol w:w="1474"/>
        <w:gridCol w:w="1150"/>
        <w:gridCol w:w="1049"/>
        <w:gridCol w:w="1140"/>
        <w:gridCol w:w="140"/>
        <w:gridCol w:w="1060"/>
        <w:gridCol w:w="61"/>
        <w:gridCol w:w="1150"/>
        <w:gridCol w:w="1150"/>
      </w:tblGrid>
      <w:tr>
        <w:tblPrEx>
          <w:tblCellMar>
            <w:top w:w="0" w:type="dxa"/>
            <w:left w:w="0" w:type="dxa"/>
            <w:bottom w:w="0" w:type="dxa"/>
            <w:right w:w="0" w:type="dxa"/>
          </w:tblCellMar>
        </w:tblPrEx>
        <w:trPr>
          <w:trHeight w:val="780" w:hRule="atLeast"/>
          <w:jc w:val="center"/>
        </w:trPr>
        <w:tc>
          <w:tcPr>
            <w:tcW w:w="9510" w:type="dxa"/>
            <w:gridSpan w:val="13"/>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4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61"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1020" w:type="dxa"/>
            <w:gridSpan w:val="2"/>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石井乡政府</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4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61"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261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年初结转和结余</w:t>
            </w:r>
          </w:p>
        </w:tc>
        <w:tc>
          <w:tcPr>
            <w:tcW w:w="104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本年收入</w:t>
            </w:r>
          </w:p>
        </w:tc>
        <w:tc>
          <w:tcPr>
            <w:tcW w:w="3551"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年末结转和结余</w:t>
            </w:r>
          </w:p>
        </w:tc>
      </w:tr>
      <w:tr>
        <w:tblPrEx>
          <w:tblCellMar>
            <w:top w:w="0" w:type="dxa"/>
            <w:left w:w="0" w:type="dxa"/>
            <w:bottom w:w="0" w:type="dxa"/>
            <w:right w:w="0" w:type="dxa"/>
          </w:tblCellMar>
        </w:tblPrEx>
        <w:trPr>
          <w:trHeight w:val="312" w:hRule="atLeast"/>
          <w:jc w:val="center"/>
        </w:trPr>
        <w:tc>
          <w:tcPr>
            <w:tcW w:w="647"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功能分类科目编码</w:t>
            </w:r>
          </w:p>
        </w:tc>
        <w:tc>
          <w:tcPr>
            <w:tcW w:w="1963" w:type="dxa"/>
            <w:gridSpan w:val="4"/>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8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小计</w:t>
            </w:r>
          </w:p>
        </w:tc>
        <w:tc>
          <w:tcPr>
            <w:tcW w:w="10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基本支出</w:t>
            </w:r>
          </w:p>
        </w:tc>
        <w:tc>
          <w:tcPr>
            <w:tcW w:w="1211"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647"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63"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8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1"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647"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63"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8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1"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w:t>
            </w:r>
          </w:p>
        </w:tc>
        <w:tc>
          <w:tcPr>
            <w:tcW w:w="10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w:t>
            </w:r>
          </w:p>
        </w:tc>
        <w:tc>
          <w:tcPr>
            <w:tcW w:w="12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w:t>
            </w:r>
          </w:p>
        </w:tc>
        <w:tc>
          <w:tcPr>
            <w:tcW w:w="1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w:t>
            </w:r>
          </w:p>
        </w:tc>
        <w:tc>
          <w:tcPr>
            <w:tcW w:w="12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w:t>
            </w:r>
          </w:p>
        </w:tc>
      </w:tr>
      <w:tr>
        <w:tblPrEx>
          <w:tblCellMar>
            <w:top w:w="0" w:type="dxa"/>
            <w:left w:w="0" w:type="dxa"/>
            <w:bottom w:w="0" w:type="dxa"/>
            <w:right w:w="0" w:type="dxa"/>
          </w:tblCellMar>
        </w:tblPrEx>
        <w:trPr>
          <w:trHeight w:val="308" w:hRule="atLeast"/>
          <w:jc w:val="center"/>
        </w:trPr>
        <w:tc>
          <w:tcPr>
            <w:tcW w:w="2610"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c>
          <w:tcPr>
            <w:tcW w:w="10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1,346.25</w:t>
            </w:r>
          </w:p>
        </w:tc>
        <w:tc>
          <w:tcPr>
            <w:tcW w:w="12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1,199.25</w:t>
            </w:r>
          </w:p>
        </w:tc>
        <w:tc>
          <w:tcPr>
            <w:tcW w:w="1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0.00</w:t>
            </w:r>
          </w:p>
        </w:tc>
        <w:tc>
          <w:tcPr>
            <w:tcW w:w="12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1,199.25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147.00</w:t>
            </w:r>
          </w:p>
        </w:tc>
      </w:tr>
      <w:tr>
        <w:tblPrEx>
          <w:tblCellMar>
            <w:top w:w="0" w:type="dxa"/>
            <w:left w:w="0" w:type="dxa"/>
            <w:bottom w:w="0" w:type="dxa"/>
            <w:right w:w="0" w:type="dxa"/>
          </w:tblCellMar>
        </w:tblPrEx>
        <w:trPr>
          <w:trHeight w:val="308" w:hRule="atLeast"/>
          <w:jc w:val="center"/>
        </w:trPr>
        <w:tc>
          <w:tcPr>
            <w:tcW w:w="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196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1,346.25</w:t>
            </w:r>
          </w:p>
        </w:tc>
        <w:tc>
          <w:tcPr>
            <w:tcW w:w="12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1,199.25</w:t>
            </w:r>
          </w:p>
        </w:tc>
        <w:tc>
          <w:tcPr>
            <w:tcW w:w="1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2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1,199.25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147.00</w:t>
            </w:r>
          </w:p>
        </w:tc>
      </w:tr>
      <w:tr>
        <w:tblPrEx>
          <w:tblCellMar>
            <w:top w:w="0" w:type="dxa"/>
            <w:left w:w="0" w:type="dxa"/>
            <w:bottom w:w="0" w:type="dxa"/>
            <w:right w:w="0" w:type="dxa"/>
          </w:tblCellMar>
        </w:tblPrEx>
        <w:trPr>
          <w:trHeight w:val="308" w:hRule="atLeast"/>
          <w:jc w:val="center"/>
        </w:trPr>
        <w:tc>
          <w:tcPr>
            <w:tcW w:w="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w:t>
            </w:r>
          </w:p>
        </w:tc>
        <w:tc>
          <w:tcPr>
            <w:tcW w:w="196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1,346.25</w:t>
            </w:r>
          </w:p>
        </w:tc>
        <w:tc>
          <w:tcPr>
            <w:tcW w:w="12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1,199.25</w:t>
            </w:r>
          </w:p>
        </w:tc>
        <w:tc>
          <w:tcPr>
            <w:tcW w:w="1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2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1,199.25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147.00</w:t>
            </w:r>
          </w:p>
        </w:tc>
      </w:tr>
      <w:tr>
        <w:tblPrEx>
          <w:tblCellMar>
            <w:top w:w="0" w:type="dxa"/>
            <w:left w:w="0" w:type="dxa"/>
            <w:bottom w:w="0" w:type="dxa"/>
            <w:right w:w="0" w:type="dxa"/>
          </w:tblCellMar>
        </w:tblPrEx>
        <w:trPr>
          <w:trHeight w:val="308" w:hRule="atLeast"/>
          <w:jc w:val="center"/>
        </w:trPr>
        <w:tc>
          <w:tcPr>
            <w:tcW w:w="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2120804</w:t>
            </w:r>
          </w:p>
        </w:tc>
        <w:tc>
          <w:tcPr>
            <w:tcW w:w="196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0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1,346.25</w:t>
            </w:r>
          </w:p>
        </w:tc>
        <w:tc>
          <w:tcPr>
            <w:tcW w:w="12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1,199.25</w:t>
            </w:r>
          </w:p>
        </w:tc>
        <w:tc>
          <w:tcPr>
            <w:tcW w:w="1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2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1,199.25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147.00</w:t>
            </w:r>
          </w:p>
        </w:tc>
      </w:tr>
      <w:tr>
        <w:tblPrEx>
          <w:tblCellMar>
            <w:top w:w="0" w:type="dxa"/>
            <w:left w:w="0" w:type="dxa"/>
            <w:bottom w:w="0" w:type="dxa"/>
            <w:right w:w="0" w:type="dxa"/>
          </w:tblCellMar>
        </w:tblPrEx>
        <w:trPr>
          <w:trHeight w:val="308" w:hRule="atLeast"/>
          <w:jc w:val="center"/>
        </w:trPr>
        <w:tc>
          <w:tcPr>
            <w:tcW w:w="2610"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年初结转和结余</w:t>
            </w:r>
          </w:p>
        </w:tc>
        <w:tc>
          <w:tcPr>
            <w:tcW w:w="104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本年收入</w:t>
            </w:r>
          </w:p>
        </w:tc>
        <w:tc>
          <w:tcPr>
            <w:tcW w:w="355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本年支出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年末结转和结余</w:t>
            </w:r>
          </w:p>
        </w:tc>
      </w:tr>
      <w:tr>
        <w:tblPrEx>
          <w:tblCellMar>
            <w:top w:w="0" w:type="dxa"/>
            <w:left w:w="0" w:type="dxa"/>
            <w:bottom w:w="0" w:type="dxa"/>
            <w:right w:w="0" w:type="dxa"/>
          </w:tblCellMar>
        </w:tblPrEx>
        <w:trPr>
          <w:trHeight w:val="308" w:hRule="atLeast"/>
          <w:jc w:val="center"/>
        </w:trPr>
        <w:tc>
          <w:tcPr>
            <w:tcW w:w="64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功能分类科目编码</w:t>
            </w:r>
          </w:p>
        </w:tc>
        <w:tc>
          <w:tcPr>
            <w:tcW w:w="1963"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科目名称</w:t>
            </w: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小计</w:t>
            </w:r>
          </w:p>
        </w:tc>
        <w:tc>
          <w:tcPr>
            <w:tcW w:w="1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基本支出</w:t>
            </w:r>
          </w:p>
        </w:tc>
        <w:tc>
          <w:tcPr>
            <w:tcW w:w="12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项目支出</w:t>
            </w: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bl>
    <w:p>
      <w:r>
        <w:br w:type="page"/>
      </w:r>
    </w:p>
    <w:tbl>
      <w:tblPr>
        <w:tblStyle w:val="6"/>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rPr>
          <w:rFonts w:hint="eastAsia" w:eastAsiaTheme="minorEastAsia"/>
          <w:lang w:val="en-US" w:eastAsia="zh-CN"/>
        </w:rPr>
      </w:pPr>
      <w:r>
        <w:rPr>
          <w:rFonts w:hint="eastAsia"/>
          <w:lang w:val="en-US" w:eastAsia="zh-CN"/>
        </w:rPr>
        <w:t>本部门本年度无相关支出情况，按要求空表列示</w:t>
      </w:r>
      <w:r>
        <w:br w:type="page"/>
      </w:r>
      <w:r>
        <w:rPr>
          <w:rFonts w:hint="eastAsia"/>
          <w:lang w:val="en-US" w:eastAsia="zh-CN"/>
        </w:rPr>
        <w:t>0</w:t>
      </w:r>
    </w:p>
    <w:p>
      <w:r>
        <mc:AlternateContent>
          <mc:Choice Requires="wps">
            <w:drawing>
              <wp:anchor distT="0" distB="0" distL="114300" distR="114300" simplePos="0" relativeHeight="25167769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769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Meiryo UI">
    <w:panose1 w:val="020B0604030504040204"/>
    <w:charset w:val="80"/>
    <w:family w:val="auto"/>
    <w:pitch w:val="default"/>
    <w:sig w:usb0="E10102FF" w:usb1="EAC7FFFF" w:usb2="00010012" w:usb3="00000000" w:csb0="6002009F" w:csb1="DFD70000"/>
  </w:font>
  <w:font w:name="Gulim">
    <w:panose1 w:val="020B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92032"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92032;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93056"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93056;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9408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408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95104"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95104;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9817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817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896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8896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793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8793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1248"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701248;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702272"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702272;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9200"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99200;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00224"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700224;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6128"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96128;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7152"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97152;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9984"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89984;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100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91008;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8486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384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8384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8588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691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5F222FFA"/>
    <w:multiLevelType w:val="singleLevel"/>
    <w:tmpl w:val="5F222FFA"/>
    <w:lvl w:ilvl="0" w:tentative="0">
      <w:start w:val="1"/>
      <w:numFmt w:val="decimal"/>
      <w:suff w:val="nothing"/>
      <w:lvlText w:val="（%1）"/>
      <w:lvlJc w:val="left"/>
    </w:lvl>
  </w:abstractNum>
  <w:abstractNum w:abstractNumId="3">
    <w:nsid w:val="78C1413D"/>
    <w:multiLevelType w:val="singleLevel"/>
    <w:tmpl w:val="78C1413D"/>
    <w:lvl w:ilvl="0" w:tentative="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EzOTdiMDE5MzI4NjZjNjc3NTdhYmVhYTcxZjZjMTM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3D6C83"/>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2934A96"/>
    <w:rsid w:val="05B00A30"/>
    <w:rsid w:val="0B011416"/>
    <w:rsid w:val="13414574"/>
    <w:rsid w:val="13B04AB7"/>
    <w:rsid w:val="147479A8"/>
    <w:rsid w:val="14C41BEC"/>
    <w:rsid w:val="18846301"/>
    <w:rsid w:val="198C0C4B"/>
    <w:rsid w:val="1C46063C"/>
    <w:rsid w:val="1DA772D9"/>
    <w:rsid w:val="1EA55BD1"/>
    <w:rsid w:val="216F1FA2"/>
    <w:rsid w:val="21D23AA0"/>
    <w:rsid w:val="24323BD0"/>
    <w:rsid w:val="2A982476"/>
    <w:rsid w:val="2AFA64CD"/>
    <w:rsid w:val="2CBC79F9"/>
    <w:rsid w:val="2D0F59B4"/>
    <w:rsid w:val="31C2036A"/>
    <w:rsid w:val="320D02A5"/>
    <w:rsid w:val="348E566F"/>
    <w:rsid w:val="35387446"/>
    <w:rsid w:val="3A226944"/>
    <w:rsid w:val="3AEE6A48"/>
    <w:rsid w:val="3C1620AA"/>
    <w:rsid w:val="3D8F080F"/>
    <w:rsid w:val="3E5579CF"/>
    <w:rsid w:val="3E6C1B77"/>
    <w:rsid w:val="425370FD"/>
    <w:rsid w:val="43EA1228"/>
    <w:rsid w:val="44C7084D"/>
    <w:rsid w:val="44CE1FA4"/>
    <w:rsid w:val="487F73ED"/>
    <w:rsid w:val="4A347EAE"/>
    <w:rsid w:val="4B577F8C"/>
    <w:rsid w:val="4F5732B2"/>
    <w:rsid w:val="502D01BD"/>
    <w:rsid w:val="52600405"/>
    <w:rsid w:val="529B4319"/>
    <w:rsid w:val="55856B8E"/>
    <w:rsid w:val="57773DD6"/>
    <w:rsid w:val="578B79AB"/>
    <w:rsid w:val="58745051"/>
    <w:rsid w:val="5A297335"/>
    <w:rsid w:val="5B785029"/>
    <w:rsid w:val="5CCD3FD5"/>
    <w:rsid w:val="5D464C5B"/>
    <w:rsid w:val="60D57E0E"/>
    <w:rsid w:val="61FA5F9D"/>
    <w:rsid w:val="640D52EE"/>
    <w:rsid w:val="643F4B31"/>
    <w:rsid w:val="64CD6910"/>
    <w:rsid w:val="67282199"/>
    <w:rsid w:val="6789158D"/>
    <w:rsid w:val="67D81BA4"/>
    <w:rsid w:val="6A195B26"/>
    <w:rsid w:val="6AAF1C96"/>
    <w:rsid w:val="6C923CB9"/>
    <w:rsid w:val="708E67DF"/>
    <w:rsid w:val="71AE4B8A"/>
    <w:rsid w:val="72BA729A"/>
    <w:rsid w:val="73B11F8D"/>
    <w:rsid w:val="74412B2B"/>
    <w:rsid w:val="75681757"/>
    <w:rsid w:val="75A346A8"/>
    <w:rsid w:val="777A4653"/>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7" Type="http://schemas.openxmlformats.org/officeDocument/2006/relationships/fontTable" Target="fontTable.xml"/><Relationship Id="rId36" Type="http://schemas.openxmlformats.org/officeDocument/2006/relationships/customXml" Target="../customXml/item2.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chart" Target="charts/chart5.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收入百分比</a:t>
            </a:r>
          </a:p>
        </c:rich>
      </c:tx>
      <c:layout/>
      <c:overlay val="0"/>
      <c:spPr>
        <a:noFill/>
        <a:ln>
          <a:noFill/>
        </a:ln>
        <a:effectLst/>
      </c:spPr>
    </c:title>
    <c:autoTitleDeleted val="0"/>
    <c:plotArea>
      <c:layout/>
      <c:pieChart>
        <c:varyColors val="1"/>
        <c:ser>
          <c:idx val="0"/>
          <c:order val="0"/>
          <c:tx>
            <c:strRef>
              <c:f>Sheet1!$B$1</c:f>
              <c:strCache>
                <c:ptCount val="1"/>
                <c:pt idx="0">
                  <c:v>百分比</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dLblPos val="bestFit"/>
              <c:showLegendKey val="0"/>
              <c:showVal val="1"/>
              <c:showCatName val="0"/>
              <c:showSerName val="0"/>
              <c:showPercent val="0"/>
              <c:showBubbleSize val="0"/>
              <c:extLst>
                <c:ext xmlns:c15="http://schemas.microsoft.com/office/drawing/2012/chart" uri="{CE6537A1-D6FC-4f65-9D91-7224C49458BB}"/>
              </c:extLst>
            </c:dLbl>
            <c:dLbl>
              <c:idx val="1"/>
              <c:delete val="1"/>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其他收入</c:v>
                </c:pt>
              </c:strCache>
            </c:strRef>
          </c:cat>
          <c:val>
            <c:numRef>
              <c:f>Sheet1!$B$2:$B$3</c:f>
              <c:numCache>
                <c:formatCode>0.00%</c:formatCode>
                <c:ptCount val="2"/>
                <c:pt idx="0">
                  <c:v>0.9926</c:v>
                </c:pt>
                <c:pt idx="1">
                  <c:v>0.0074</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支出百分比</a:t>
            </a:r>
          </a:p>
        </c:rich>
      </c:tx>
      <c:layout/>
      <c:overlay val="0"/>
      <c:spPr>
        <a:noFill/>
        <a:ln>
          <a:noFill/>
        </a:ln>
        <a:effectLst/>
      </c:spPr>
    </c:title>
    <c:autoTitleDeleted val="0"/>
    <c:plotArea>
      <c:layout/>
      <c:pieChart>
        <c:varyColors val="1"/>
        <c:ser>
          <c:idx val="0"/>
          <c:order val="0"/>
          <c:tx>
            <c:strRef>
              <c:f>Sheet1!$B$1</c:f>
              <c:strCache>
                <c:ptCount val="1"/>
                <c:pt idx="0">
                  <c:v>百分比</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strRef>
              <c:f>Sheet1!$A$2:$A$3</c:f>
              <c:strCache>
                <c:ptCount val="2"/>
                <c:pt idx="0">
                  <c:v>基本支出</c:v>
                </c:pt>
                <c:pt idx="1">
                  <c:v>项目支出</c:v>
                </c:pt>
              </c:strCache>
            </c:strRef>
          </c:cat>
          <c:val>
            <c:numRef>
              <c:f>Sheet1!$B$2:$B$3</c:f>
              <c:numCache>
                <c:formatCode>0.00%</c:formatCode>
                <c:ptCount val="2"/>
                <c:pt idx="0">
                  <c:v>0.4928</c:v>
                </c:pt>
                <c:pt idx="1">
                  <c:v>0.5072</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拨款对比</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2018年</c:v>
                </c:pt>
              </c:strCache>
            </c:strRef>
          </c:tx>
          <c:spPr>
            <a:solidFill>
              <a:schemeClr val="accent1"/>
            </a:solidFill>
            <a:ln>
              <a:noFill/>
            </a:ln>
            <a:effectLst/>
          </c:spPr>
          <c:invertIfNegative val="0"/>
          <c:dLbls>
            <c:delete val="1"/>
          </c:dLbls>
          <c:cat>
            <c:strRef>
              <c:f>Sheet1!$A$2:$A$3</c:f>
              <c:strCache>
                <c:ptCount val="2"/>
                <c:pt idx="0">
                  <c:v>一般公共预算拨款</c:v>
                </c:pt>
                <c:pt idx="1">
                  <c:v>政府性基金拨款</c:v>
                </c:pt>
              </c:strCache>
            </c:strRef>
          </c:cat>
          <c:val>
            <c:numRef>
              <c:f>Sheet1!$B$2:$B$3</c:f>
              <c:numCache>
                <c:formatCode>General</c:formatCode>
                <c:ptCount val="2"/>
                <c:pt idx="0">
                  <c:v>1918.6</c:v>
                </c:pt>
                <c:pt idx="1">
                  <c:v>2810</c:v>
                </c:pt>
              </c:numCache>
            </c:numRef>
          </c:val>
        </c:ser>
        <c:ser>
          <c:idx val="1"/>
          <c:order val="1"/>
          <c:tx>
            <c:strRef>
              <c:f>Sheet1!$C$1</c:f>
              <c:strCache>
                <c:ptCount val="1"/>
                <c:pt idx="0">
                  <c:v>2019年</c:v>
                </c:pt>
              </c:strCache>
            </c:strRef>
          </c:tx>
          <c:spPr>
            <a:solidFill>
              <a:schemeClr val="accent2"/>
            </a:solidFill>
            <a:ln>
              <a:noFill/>
            </a:ln>
            <a:effectLst/>
          </c:spPr>
          <c:invertIfNegative val="0"/>
          <c:dLbls>
            <c:delete val="1"/>
          </c:dLbls>
          <c:cat>
            <c:strRef>
              <c:f>Sheet1!$A$2:$A$3</c:f>
              <c:strCache>
                <c:ptCount val="2"/>
                <c:pt idx="0">
                  <c:v>一般公共预算拨款</c:v>
                </c:pt>
                <c:pt idx="1">
                  <c:v>政府性基金拨款</c:v>
                </c:pt>
              </c:strCache>
            </c:strRef>
          </c:cat>
          <c:val>
            <c:numRef>
              <c:f>Sheet1!$C$2:$C$3</c:f>
              <c:numCache>
                <c:formatCode>General</c:formatCode>
                <c:ptCount val="2"/>
                <c:pt idx="0">
                  <c:v>1338.54</c:v>
                </c:pt>
                <c:pt idx="1">
                  <c:v>1346.25</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一般公共预算拨款</c:v>
                </c:pt>
                <c:pt idx="1">
                  <c:v>政府性基金拨款</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464327618"/>
        <c:axId val="78282048"/>
      </c:barChart>
      <c:catAx>
        <c:axId val="46432761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8282048"/>
        <c:crosses val="autoZero"/>
        <c:auto val="1"/>
        <c:lblAlgn val="ctr"/>
        <c:lblOffset val="100"/>
        <c:noMultiLvlLbl val="0"/>
      </c:catAx>
      <c:valAx>
        <c:axId val="782820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6432761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
        <c:rich>
          <a:bodyPr/>
          <a:lstStyle/>
          <a:p>
            <a:pPr>
              <a:defRPr/>
            </a:pPr>
          </a:p>
        </c:rich>
      </c:tx>
    </c:title>
    <c:autoTitleDeleted val="0"/>
    <c:plotArea>
      <c:layout/>
      <c:barChart>
        <c:barDir val="col"/>
        <c:grouping val="clustered"/>
        <c:varyColors val="0"/>
        <c:ser>
          <c:idx val="0"/>
          <c:order val="0"/>
          <c:tx>
            <c:strRef>
              <c:f>Sheet1!$B$1</c:f>
              <c:strCache>
                <c:ptCount val="1"/>
                <c:pt idx="0">
                  <c:v>一般预算</c:v>
                </c:pt>
              </c:strCache>
            </c:strRef>
          </c:tx>
          <c:spPr>
            <a:solidFill>
              <a:schemeClr val="accent1"/>
            </a:solidFill>
            <a:ln>
              <a:noFill/>
            </a:ln>
            <a:effectLst/>
          </c:spPr>
          <c:invertIfNegative val="0"/>
          <c:dLbls>
            <c:delete val="1"/>
          </c:dLbls>
          <c:cat>
            <c:strRef>
              <c:f>Sheet1!$A$2:$A$5</c:f>
              <c:strCache>
                <c:ptCount val="4"/>
                <c:pt idx="0">
                  <c:v>年初预算收入</c:v>
                </c:pt>
                <c:pt idx="1">
                  <c:v>实际收入</c:v>
                </c:pt>
                <c:pt idx="2">
                  <c:v>预算支出</c:v>
                </c:pt>
                <c:pt idx="3">
                  <c:v>实际支出</c:v>
                </c:pt>
              </c:strCache>
            </c:strRef>
          </c:cat>
          <c:val>
            <c:numRef>
              <c:f>Sheet1!$B$2:$B$5</c:f>
              <c:numCache>
                <c:formatCode>General</c:formatCode>
                <c:ptCount val="4"/>
                <c:pt idx="0">
                  <c:v>1552.46</c:v>
                </c:pt>
                <c:pt idx="1">
                  <c:v>1338.54</c:v>
                </c:pt>
                <c:pt idx="2">
                  <c:v>1552.46</c:v>
                </c:pt>
                <c:pt idx="3">
                  <c:v>1338.54</c:v>
                </c:pt>
              </c:numCache>
            </c:numRef>
          </c:val>
        </c:ser>
        <c:ser>
          <c:idx val="1"/>
          <c:order val="1"/>
          <c:tx>
            <c:strRef>
              <c:f>Sheet1!$C$1</c:f>
              <c:strCache>
                <c:ptCount val="1"/>
                <c:pt idx="0">
                  <c:v>政府性基金</c:v>
                </c:pt>
              </c:strCache>
            </c:strRef>
          </c:tx>
          <c:spPr>
            <a:solidFill>
              <a:schemeClr val="accent2"/>
            </a:solidFill>
            <a:ln>
              <a:noFill/>
            </a:ln>
            <a:effectLst/>
          </c:spPr>
          <c:invertIfNegative val="0"/>
          <c:dLbls>
            <c:delete val="1"/>
          </c:dLbls>
          <c:cat>
            <c:strRef>
              <c:f>Sheet1!$A$2:$A$5</c:f>
              <c:strCache>
                <c:ptCount val="4"/>
                <c:pt idx="0">
                  <c:v>年初预算收入</c:v>
                </c:pt>
                <c:pt idx="1">
                  <c:v>实际收入</c:v>
                </c:pt>
                <c:pt idx="2">
                  <c:v>预算支出</c:v>
                </c:pt>
                <c:pt idx="3">
                  <c:v>实际支出</c:v>
                </c:pt>
              </c:strCache>
            </c:strRef>
          </c:cat>
          <c:val>
            <c:numRef>
              <c:f>Sheet1!$C$2:$C$5</c:f>
              <c:numCache>
                <c:formatCode>General</c:formatCode>
                <c:ptCount val="4"/>
                <c:pt idx="0">
                  <c:v>2325.51</c:v>
                </c:pt>
                <c:pt idx="1">
                  <c:v>1346.25</c:v>
                </c:pt>
                <c:pt idx="2">
                  <c:v>2325.51</c:v>
                </c:pt>
                <c:pt idx="3">
                  <c:v>1199.25</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Sheet1!$A$2:$A$5</c:f>
              <c:strCache>
                <c:ptCount val="4"/>
                <c:pt idx="0">
                  <c:v>年初预算收入</c:v>
                </c:pt>
                <c:pt idx="1">
                  <c:v>实际收入</c:v>
                </c:pt>
                <c:pt idx="2">
                  <c:v>预算支出</c:v>
                </c:pt>
                <c:pt idx="3">
                  <c:v>实际支出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166103500"/>
        <c:axId val="816105520"/>
      </c:barChart>
      <c:catAx>
        <c:axId val="166103500"/>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6105520"/>
        <c:crosses val="autoZero"/>
        <c:auto val="1"/>
        <c:lblAlgn val="ctr"/>
        <c:lblOffset val="100"/>
        <c:noMultiLvlLbl val="0"/>
      </c:catAx>
      <c:valAx>
        <c:axId val="81610552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6103500"/>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支出</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delete val="1"/>
          </c:dLbls>
          <c:cat>
            <c:strRef>
              <c:f>Sheet1!$A$2:$A$7</c:f>
              <c:strCache>
                <c:ptCount val="6"/>
                <c:pt idx="0">
                  <c:v>一般公共服务</c:v>
                </c:pt>
                <c:pt idx="1">
                  <c:v>社保就业</c:v>
                </c:pt>
                <c:pt idx="2">
                  <c:v>卫生健康</c:v>
                </c:pt>
                <c:pt idx="3">
                  <c:v>城乡社区</c:v>
                </c:pt>
                <c:pt idx="4">
                  <c:v>农林水</c:v>
                </c:pt>
                <c:pt idx="5">
                  <c:v>防灾和应急</c:v>
                </c:pt>
              </c:strCache>
            </c:strRef>
          </c:cat>
          <c:val>
            <c:numRef>
              <c:f>Sheet1!$B$2:$B$7</c:f>
              <c:numCache>
                <c:formatCode>General</c:formatCode>
                <c:ptCount val="6"/>
                <c:pt idx="0">
                  <c:v>786.46</c:v>
                </c:pt>
                <c:pt idx="1">
                  <c:v>21.18</c:v>
                </c:pt>
                <c:pt idx="2">
                  <c:v>161.67</c:v>
                </c:pt>
                <c:pt idx="3">
                  <c:v>1236.75</c:v>
                </c:pt>
                <c:pt idx="4">
                  <c:v>344.12</c:v>
                </c:pt>
                <c:pt idx="5">
                  <c:v>7.6</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37</Pages>
  <Words>8528</Words>
  <Characters>11074</Characters>
  <Lines>78</Lines>
  <Paragraphs>22</Paragraphs>
  <TotalTime>1</TotalTime>
  <ScaleCrop>false</ScaleCrop>
  <LinksUpToDate>false</LinksUpToDate>
  <CharactersWithSpaces>11306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天道</cp:lastModifiedBy>
  <cp:lastPrinted>2020-07-30T02:37:00Z</cp:lastPrinted>
  <dcterms:modified xsi:type="dcterms:W3CDTF">2023-07-28T03:04:58Z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EFE92A66A8834C8AB9FD07DF63611217</vt:lpwstr>
  </property>
</Properties>
</file>