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pict>
          <v:shape id="椭圆 8" o:spid="_x0000_s105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bookmarkStart w:id="0" w:name="_GoBack"/>
      <w:bookmarkEnd w:id="0"/>
      <w:r>
        <w:pict>
          <v:group id="_x0000_s1053" o:spid="_x0000_s1053" o:spt="203" style="position:absolute;left:0pt;margin-left:-81.1pt;margin-top:12.7pt;height:308.5pt;width:600.25pt;z-index:-251620352;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54"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55" o:spid="_x0000_s105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lang w:val="en-US" w:eastAsia="zh-CN"/>
                      </w:rPr>
                      <w:t>大河</w:t>
                    </w:r>
                    <w:r>
                      <w:rPr>
                        <w:rFonts w:hint="eastAsia" w:ascii="思源黑体 HW Bold" w:hAnsi="思源黑体 HW Bold" w:eastAsia="思源黑体 HW Bold"/>
                        <w:color w:val="000000" w:themeColor="text1"/>
                        <w:kern w:val="24"/>
                        <w:sz w:val="92"/>
                        <w:szCs w:val="92"/>
                      </w:rPr>
                      <w:t>镇决算公开</w:t>
                    </w:r>
                  </w:p>
                </w:txbxContent>
              </v:textbox>
            </v:shape>
          </v:group>
        </w:pict>
      </w:r>
    </w:p>
    <w:p>
      <w:pPr>
        <w:jc w:val="center"/>
        <w:rPr>
          <w:rFonts w:ascii="黑体" w:hAnsi="黑体" w:eastAsia="黑体" w:cs="黑体"/>
          <w:sz w:val="56"/>
          <w:szCs w:val="72"/>
        </w:rPr>
      </w:pPr>
    </w:p>
    <w:p>
      <w:pPr>
        <w:rPr>
          <w:rFonts w:ascii="黑体" w:hAnsi="Times New Roman" w:eastAsia="黑体" w:cs="Times New Roman"/>
          <w:sz w:val="48"/>
          <w:szCs w:val="48"/>
        </w:rPr>
      </w:pPr>
      <w:r>
        <w:pict>
          <v:shape id="文本框 10" o:spid="_x0000_s1026" o:spt="202" type="#_x0000_t202" style="position:absolute;left:0pt;margin-left:29.7pt;margin-top:502.9pt;height:104.2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group id="_x0000_s1043" o:spid="_x0000_s1043" o:spt="203" style="position:absolute;left:0pt;margin-left:-65.35pt;margin-top:29.75pt;height:349.55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w:txbxContent>
                  <w:p>
                    <w:pPr>
                      <w:jc w:val="left"/>
                      <w:rPr>
                        <w:color w:val="000000" w:themeColor="text1"/>
                        <w:kern w:val="0"/>
                        <w:sz w:val="80"/>
                        <w:szCs w:val="80"/>
                      </w:rPr>
                    </w:pPr>
                    <w:r>
                      <w:rPr>
                        <w:rFonts w:hint="eastAsia" w:ascii="思源黑体 HW Bold" w:hAnsi="思源黑体 HW Bold" w:eastAsia="思源黑体 HW Bold"/>
                        <w:color w:val="000000" w:themeColor="text1"/>
                        <w:kern w:val="24"/>
                        <w:sz w:val="80"/>
                        <w:szCs w:val="80"/>
                      </w:rPr>
                      <w:t>李村镇部门决算公开</w:t>
                    </w:r>
                  </w:p>
                </w:txbxContent>
              </v:textbox>
            </v:shape>
          </v:group>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jc w:val="center"/>
        <w:rPr>
          <w:rFonts w:ascii="黑体" w:hAnsi="黑体" w:eastAsia="黑体" w:cs="黑体"/>
          <w:b/>
          <w:bCs/>
          <w:sz w:val="72"/>
          <w:szCs w:val="96"/>
        </w:rPr>
      </w:pPr>
      <w:r>
        <w:rPr>
          <w:rFonts w:hint="eastAsia" w:ascii="黑体" w:hAnsi="黑体" w:eastAsia="黑体" w:cs="黑体"/>
          <w:b/>
          <w:bCs/>
          <w:sz w:val="72"/>
          <w:szCs w:val="96"/>
          <w:lang w:val="en-US" w:eastAsia="zh-CN"/>
        </w:rPr>
        <w:t>大河</w:t>
      </w:r>
      <w:r>
        <w:rPr>
          <w:rFonts w:hint="eastAsia" w:ascii="黑体" w:hAnsi="黑体" w:eastAsia="黑体" w:cs="黑体"/>
          <w:b/>
          <w:bCs/>
          <w:sz w:val="72"/>
          <w:szCs w:val="96"/>
        </w:rPr>
        <w:t>镇</w:t>
      </w:r>
    </w:p>
    <w:p>
      <w:pPr>
        <w:jc w:val="center"/>
        <w:rPr>
          <w:rFonts w:ascii="黑体" w:hAnsi="黑体" w:eastAsia="黑体" w:cs="黑体"/>
          <w:b/>
          <w:bCs/>
          <w:sz w:val="72"/>
          <w:szCs w:val="96"/>
        </w:rPr>
      </w:pPr>
      <w:r>
        <w:rPr>
          <w:rFonts w:hint="eastAsia" w:ascii="黑体" w:hAnsi="黑体" w:eastAsia="黑体" w:cs="黑体"/>
          <w:b/>
          <w:bCs/>
          <w:sz w:val="72"/>
          <w:szCs w:val="96"/>
        </w:rPr>
        <w:t>2019年度部门决算公开</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tabs>
          <w:tab w:val="left" w:pos="2728"/>
        </w:tabs>
        <w:rPr>
          <w:rFonts w:ascii="黑体" w:hAnsi="黑体" w:eastAsia="黑体" w:cs="黑体"/>
          <w:sz w:val="56"/>
          <w:szCs w:val="72"/>
        </w:r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o:title="image2" focussize="0,0" r:id="rId25"/>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pict>
          <v:group id="_x0000_s1057" o:spid="_x0000_s1057" o:spt="203" style="position:absolute;left:0pt;margin-left:0pt;margin-top:53.75pt;height:31.5pt;width:594.8pt;mso-position-horizontal-relative:page;mso-position-vertical-relative:page;z-index:251697152;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1058"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1059"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1060"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rPr>
          <w:rFonts w:hint="eastAsia" w:ascii="黑体" w:eastAsia="黑体" w:cs="黑体"/>
          <w:b w:val="0"/>
          <w:bCs w:val="0"/>
          <w:kern w:val="0"/>
          <w:sz w:val="32"/>
          <w:szCs w:val="32"/>
        </w:rPr>
        <w:t>一、部门职责</w:t>
      </w:r>
    </w:p>
    <w:p>
      <w:pPr>
        <w:widowControl/>
        <w:spacing w:line="500" w:lineRule="exact"/>
        <w:ind w:firstLine="640"/>
        <w:jc w:val="left"/>
        <w:rPr>
          <w:rFonts w:ascii="仿宋" w:hAnsi="仿宋" w:eastAsia="仿宋"/>
          <w:color w:val="000000"/>
          <w:sz w:val="32"/>
          <w:szCs w:val="32"/>
        </w:rPr>
      </w:pPr>
      <w:r>
        <w:rPr>
          <w:rFonts w:hint="eastAsia" w:ascii="仿宋" w:hAnsi="仿宋" w:eastAsia="仿宋"/>
          <w:color w:val="000000"/>
          <w:sz w:val="32"/>
          <w:szCs w:val="32"/>
        </w:rPr>
        <w:t>一、各部门职责</w:t>
      </w:r>
    </w:p>
    <w:p>
      <w:pPr>
        <w:widowControl/>
        <w:spacing w:line="500" w:lineRule="exact"/>
        <w:ind w:firstLine="640"/>
        <w:jc w:val="left"/>
        <w:rPr>
          <w:rFonts w:ascii="仿宋" w:hAnsi="仿宋" w:eastAsia="仿宋"/>
          <w:sz w:val="32"/>
          <w:szCs w:val="32"/>
        </w:rPr>
      </w:pPr>
      <w:r>
        <w:rPr>
          <w:rFonts w:hint="eastAsia" w:ascii="仿宋" w:hAnsi="仿宋" w:eastAsia="仿宋"/>
          <w:color w:val="000000"/>
          <w:sz w:val="32"/>
          <w:szCs w:val="32"/>
        </w:rPr>
        <w:t>1</w:t>
      </w:r>
      <w:r>
        <w:rPr>
          <w:rFonts w:hint="eastAsia" w:ascii="仿宋" w:hAnsi="仿宋" w:eastAsia="仿宋"/>
          <w:sz w:val="32"/>
          <w:szCs w:val="32"/>
        </w:rPr>
        <w:t>、</w:t>
      </w:r>
      <w:r>
        <w:rPr>
          <w:rFonts w:hint="eastAsia" w:ascii="仿宋" w:hAnsi="仿宋" w:eastAsia="仿宋"/>
          <w:b/>
          <w:sz w:val="32"/>
          <w:szCs w:val="32"/>
        </w:rPr>
        <w:t>机关事务管理</w:t>
      </w:r>
      <w:r>
        <w:rPr>
          <w:rFonts w:hint="eastAsia" w:ascii="仿宋" w:hAnsi="仿宋" w:eastAsia="仿宋"/>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2、农业综合服务。</w:t>
      </w:r>
      <w:r>
        <w:rPr>
          <w:rFonts w:hint="eastAsia" w:ascii="仿宋" w:hAnsi="仿宋" w:eastAsia="仿宋"/>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3、卫生计生服务</w:t>
      </w:r>
      <w:r>
        <w:rPr>
          <w:rFonts w:hint="eastAsia" w:ascii="仿宋" w:hAnsi="仿宋" w:eastAsia="仿宋"/>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4、文化综治服务。</w:t>
      </w:r>
      <w:r>
        <w:rPr>
          <w:rFonts w:hint="eastAsia" w:ascii="仿宋" w:hAnsi="仿宋" w:eastAsia="仿宋"/>
          <w:sz w:val="32"/>
          <w:szCs w:val="32"/>
        </w:rPr>
        <w:t>负责群众文化娱乐、体育活动、广播电视村村通等工作。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5、社会保障服务。</w:t>
      </w:r>
      <w:r>
        <w:rPr>
          <w:rFonts w:hint="eastAsia" w:ascii="仿宋" w:hAnsi="仿宋" w:eastAsia="仿宋"/>
          <w:sz w:val="32"/>
          <w:szCs w:val="32"/>
        </w:rPr>
        <w:t>配合劳动保障部门做好劳动法的宣传贯彻、劳动就业、社会保障等工作。配合安全生产监督管理部门做好安全生产监督管理等工作。</w:t>
      </w:r>
    </w:p>
    <w:p>
      <w:pPr>
        <w:widowControl/>
        <w:shd w:val="clear" w:color="000000" w:fill="FFFFFF"/>
        <w:spacing w:line="500" w:lineRule="exact"/>
        <w:ind w:firstLine="643"/>
        <w:jc w:val="left"/>
        <w:rPr>
          <w:rFonts w:ascii="仿宋" w:hAnsi="仿宋" w:eastAsia="仿宋"/>
          <w:b/>
          <w:color w:val="3E3E3E"/>
          <w:sz w:val="32"/>
          <w:szCs w:val="32"/>
        </w:rPr>
      </w:pPr>
      <w:r>
        <w:rPr>
          <w:rFonts w:hint="eastAsia" w:ascii="仿宋" w:hAnsi="仿宋" w:eastAsia="仿宋"/>
          <w:b/>
          <w:color w:val="3E3E3E"/>
          <w:sz w:val="32"/>
          <w:szCs w:val="32"/>
        </w:rPr>
        <w:t>二、部门决算单位构成</w:t>
      </w:r>
    </w:p>
    <w:p>
      <w:pPr>
        <w:spacing w:line="500" w:lineRule="exact"/>
        <w:ind w:firstLine="64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、党政机构</w:t>
      </w:r>
      <w:r>
        <w:rPr>
          <w:rFonts w:ascii="仿宋" w:hAnsi="仿宋" w:eastAsia="仿宋"/>
          <w:sz w:val="32"/>
          <w:szCs w:val="32"/>
        </w:rPr>
        <w:t>6</w:t>
      </w:r>
      <w:r>
        <w:rPr>
          <w:rFonts w:hint="eastAsia" w:ascii="仿宋" w:hAnsi="仿宋" w:eastAsia="仿宋"/>
          <w:sz w:val="32"/>
          <w:szCs w:val="32"/>
        </w:rPr>
        <w:t>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、事业单位机构</w:t>
      </w:r>
      <w:r>
        <w:rPr>
          <w:rFonts w:ascii="仿宋" w:hAnsi="仿宋" w:eastAsia="仿宋"/>
          <w:sz w:val="32"/>
          <w:szCs w:val="32"/>
        </w:rPr>
        <w:t>3</w:t>
      </w:r>
      <w:r>
        <w:rPr>
          <w:rFonts w:hint="eastAsia" w:ascii="仿宋" w:hAnsi="仿宋" w:eastAsia="仿宋"/>
          <w:sz w:val="32"/>
          <w:szCs w:val="32"/>
        </w:rPr>
        <w:t>个，分别为：财政所、计划生育服务站、劳动和社会保障服务站。</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4395"/>
        <w:gridCol w:w="18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6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3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39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w:t>
            </w:r>
            <w:r>
              <w:rPr>
                <w:rFonts w:hint="eastAsia" w:ascii="仿宋_GB2312" w:hAnsi="Calibri" w:eastAsia="仿宋_GB2312" w:cs="ArialUnicodeMS"/>
                <w:kern w:val="0"/>
                <w:sz w:val="28"/>
                <w:szCs w:val="28"/>
                <w:lang w:val="en-US" w:eastAsia="zh-CN"/>
              </w:rPr>
              <w:t>大河</w:t>
            </w:r>
            <w:r>
              <w:rPr>
                <w:rFonts w:hint="eastAsia" w:ascii="仿宋_GB2312" w:hAnsi="Calibri" w:eastAsia="仿宋_GB2312" w:cs="ArialUnicodeMS"/>
                <w:kern w:val="0"/>
                <w:sz w:val="28"/>
                <w:szCs w:val="28"/>
              </w:rPr>
              <w:t>镇人民政府</w:t>
            </w:r>
          </w:p>
        </w:tc>
        <w:tc>
          <w:tcPr>
            <w:tcW w:w="184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395" w:type="dxa"/>
          </w:tcPr>
          <w:p>
            <w:pPr>
              <w:spacing w:line="560" w:lineRule="exact"/>
              <w:rPr>
                <w:rFonts w:ascii="仿宋_GB2312" w:hAnsi="Calibri" w:eastAsia="仿宋_GB2312" w:cs="ArialUnicodeMS"/>
                <w:kern w:val="0"/>
                <w:sz w:val="28"/>
                <w:szCs w:val="28"/>
              </w:rPr>
            </w:pPr>
          </w:p>
        </w:tc>
        <w:tc>
          <w:tcPr>
            <w:tcW w:w="18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6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4395" w:type="dxa"/>
          </w:tcPr>
          <w:p>
            <w:pPr>
              <w:spacing w:line="560" w:lineRule="exact"/>
              <w:rPr>
                <w:rFonts w:ascii="仿宋_GB2312" w:hAnsi="Calibri" w:eastAsia="仿宋_GB2312" w:cs="ArialUnicodeMS"/>
                <w:kern w:val="0"/>
                <w:sz w:val="28"/>
                <w:szCs w:val="28"/>
              </w:rPr>
            </w:pPr>
          </w:p>
        </w:tc>
        <w:tc>
          <w:tcPr>
            <w:tcW w:w="18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6" w:hRule="atLeast"/>
          <w:jc w:val="center"/>
        </w:trPr>
        <w:tc>
          <w:tcPr>
            <w:tcW w:w="67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439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18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2" w:type="first"/>
          <w:headerReference r:id="rId10"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9305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o:title="image2" focussize="0,0" r:id="rId25"/>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w:t>
      </w:r>
      <w:r>
        <w:rPr>
          <w:rFonts w:hint="eastAsia" w:ascii="仿宋_GB2312" w:hAnsi="Times New Roman" w:eastAsia="仿宋_GB2312" w:cs="DengXian-Regular"/>
          <w:sz w:val="32"/>
          <w:szCs w:val="32"/>
          <w:lang w:val="en-US" w:eastAsia="zh-CN"/>
        </w:rPr>
        <w:t>15063</w:t>
      </w:r>
      <w:r>
        <w:rPr>
          <w:rFonts w:hint="eastAsia" w:ascii="仿宋_GB2312" w:hAnsi="Times New Roman" w:eastAsia="仿宋_GB2312" w:cs="DengXian-Regular"/>
          <w:sz w:val="32"/>
          <w:szCs w:val="32"/>
        </w:rPr>
        <w:t>万元，支出</w:t>
      </w:r>
      <w:r>
        <w:rPr>
          <w:rFonts w:hint="eastAsia" w:ascii="仿宋_GB2312" w:hAnsi="Times New Roman" w:eastAsia="仿宋_GB2312" w:cs="DengXian-Regular"/>
          <w:sz w:val="32"/>
          <w:szCs w:val="32"/>
          <w:lang w:val="en-US" w:eastAsia="zh-CN"/>
        </w:rPr>
        <w:t>12601</w:t>
      </w:r>
      <w:r>
        <w:rPr>
          <w:rFonts w:hint="eastAsia" w:ascii="仿宋_GB2312" w:hAnsi="Times New Roman" w:eastAsia="仿宋_GB2312" w:cs="DengXian-Regular"/>
          <w:sz w:val="32"/>
          <w:szCs w:val="32"/>
        </w:rPr>
        <w:t>万元，结余</w:t>
      </w:r>
      <w:r>
        <w:rPr>
          <w:rFonts w:hint="eastAsia" w:ascii="仿宋_GB2312" w:hAnsi="Times New Roman" w:eastAsia="仿宋_GB2312" w:cs="DengXian-Regular"/>
          <w:sz w:val="32"/>
          <w:szCs w:val="32"/>
          <w:lang w:val="en-US" w:eastAsia="zh-CN"/>
        </w:rPr>
        <w:t>2462</w:t>
      </w:r>
      <w:r>
        <w:rPr>
          <w:rFonts w:hint="eastAsia" w:ascii="仿宋_GB2312" w:hAnsi="Times New Roman" w:eastAsia="仿宋_GB2312" w:cs="DengXian-Regular"/>
          <w:sz w:val="32"/>
          <w:szCs w:val="32"/>
        </w:rPr>
        <w:t>万元。与2018年度决算相比，收入</w:t>
      </w:r>
      <w:r>
        <w:rPr>
          <w:rFonts w:hint="eastAsia" w:ascii="仿宋_GB2312" w:hAnsi="Times New Roman" w:eastAsia="仿宋_GB2312" w:cs="DengXian-Regular"/>
          <w:sz w:val="32"/>
          <w:szCs w:val="32"/>
          <w:lang w:val="en-US" w:eastAsia="zh-CN"/>
        </w:rPr>
        <w:t>增加</w:t>
      </w:r>
      <w:r>
        <w:rPr>
          <w:rFonts w:hint="eastAsia" w:ascii="仿宋_GB2312" w:hAnsi="Times New Roman" w:eastAsia="仿宋_GB2312" w:cs="DengXian-Regular"/>
          <w:sz w:val="32"/>
          <w:szCs w:val="32"/>
        </w:rPr>
        <w:t>了</w:t>
      </w:r>
      <w:r>
        <w:rPr>
          <w:rFonts w:hint="eastAsia" w:ascii="仿宋_GB2312" w:hAnsi="Times New Roman" w:eastAsia="仿宋_GB2312" w:cs="DengXian-Regular"/>
          <w:sz w:val="32"/>
          <w:szCs w:val="32"/>
          <w:lang w:val="en-US" w:eastAsia="zh-CN"/>
        </w:rPr>
        <w:t>8002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w:t>
      </w:r>
      <w:r>
        <w:rPr>
          <w:rFonts w:hint="eastAsia" w:ascii="仿宋_GB2312" w:hAnsi="Times New Roman" w:eastAsia="仿宋_GB2312" w:cs="DengXian-Regular"/>
          <w:sz w:val="32"/>
          <w:szCs w:val="32"/>
        </w:rPr>
        <w:t>了</w:t>
      </w:r>
      <w:r>
        <w:rPr>
          <w:rFonts w:hint="eastAsia" w:ascii="仿宋_GB2312" w:hAnsi="Times New Roman" w:eastAsia="仿宋_GB2312" w:cs="DengXian-Regular"/>
          <w:sz w:val="32"/>
          <w:szCs w:val="32"/>
          <w:lang w:val="en-US" w:eastAsia="zh-CN"/>
        </w:rPr>
        <w:t>113</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w:t>
      </w:r>
      <w:r>
        <w:rPr>
          <w:rFonts w:hint="eastAsia" w:ascii="仿宋_GB2312" w:hAnsi="Times New Roman" w:eastAsia="仿宋_GB2312" w:cs="DengXian-Regular"/>
          <w:sz w:val="32"/>
          <w:szCs w:val="32"/>
        </w:rPr>
        <w:t>了</w:t>
      </w:r>
      <w:r>
        <w:rPr>
          <w:rFonts w:hint="eastAsia" w:ascii="仿宋_GB2312" w:hAnsi="Times New Roman" w:eastAsia="仿宋_GB2312" w:cs="DengXian-Regular"/>
          <w:sz w:val="32"/>
          <w:szCs w:val="32"/>
          <w:lang w:val="en-US" w:eastAsia="zh-CN"/>
        </w:rPr>
        <w:t>5540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w:t>
      </w:r>
      <w:r>
        <w:rPr>
          <w:rFonts w:hint="eastAsia" w:ascii="仿宋_GB2312" w:hAnsi="Times New Roman" w:eastAsia="仿宋_GB2312" w:cs="DengXian-Regular"/>
          <w:sz w:val="32"/>
          <w:szCs w:val="32"/>
        </w:rPr>
        <w:t>了</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一般公共预算财政拨款收入增加，南北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w:t>
      </w:r>
      <w:r>
        <w:rPr>
          <w:rFonts w:hint="eastAsia" w:ascii="仿宋_GB2312" w:eastAsia="仿宋_GB2312" w:cs="DengXian-Regular"/>
          <w:color w:val="auto"/>
          <w:sz w:val="32"/>
          <w:szCs w:val="32"/>
        </w:rPr>
        <w:t>支出增加</w:t>
      </w:r>
      <w:r>
        <w:rPr>
          <w:rFonts w:hint="eastAsia" w:ascii="仿宋_GB2312" w:hAnsi="Times New Roman" w:eastAsia="仿宋_GB2312" w:cs="DengXian-Regular"/>
          <w:sz w:val="32"/>
          <w:szCs w:val="32"/>
        </w:rPr>
        <w:t>。</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15063</w:t>
      </w:r>
      <w:r>
        <w:rPr>
          <w:rFonts w:hint="eastAsia" w:ascii="仿宋_GB2312" w:hAnsi="Times New Roman" w:eastAsia="仿宋_GB2312" w:cs="DengXian-Regular"/>
          <w:sz w:val="32"/>
          <w:szCs w:val="32"/>
        </w:rPr>
        <w:t>万元，其中：</w:t>
      </w:r>
      <w:r>
        <w:rPr>
          <w:rFonts w:hint="eastAsia" w:ascii="仿宋_GB2312" w:hAnsi="Times New Roman" w:eastAsia="仿宋_GB2312" w:cs="DengXian-Regular"/>
          <w:sz w:val="32"/>
          <w:szCs w:val="32"/>
          <w:lang w:val="en-US" w:eastAsia="zh-CN"/>
        </w:rPr>
        <w:t>一般公共预算</w:t>
      </w:r>
      <w:r>
        <w:rPr>
          <w:rFonts w:hint="eastAsia" w:ascii="仿宋_GB2312" w:hAnsi="Times New Roman" w:eastAsia="仿宋_GB2312" w:cs="DengXian-Regular"/>
          <w:sz w:val="32"/>
          <w:szCs w:val="32"/>
        </w:rPr>
        <w:t>财政拨款收入</w:t>
      </w:r>
      <w:r>
        <w:rPr>
          <w:rFonts w:hint="eastAsia" w:ascii="仿宋_GB2312" w:hAnsi="Times New Roman" w:eastAsia="仿宋_GB2312" w:cs="DengXian-Regular"/>
          <w:sz w:val="32"/>
          <w:szCs w:val="32"/>
          <w:lang w:val="en-US" w:eastAsia="zh-CN"/>
        </w:rPr>
        <w:t>14897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政府性基金预算财政拨款收入15万元，占0.1%;</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151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val="en-US" w:eastAsia="zh-CN"/>
        </w:rPr>
        <w:t xml:space="preserve"> </w:t>
      </w:r>
    </w:p>
    <w:p>
      <w:pPr>
        <w:rPr>
          <w:rFonts w:hint="eastAsia" w:ascii="仿宋_GB2312" w:hAnsi="Times New Roman" w:eastAsia="仿宋_GB2312" w:cs="DengXian-Regular"/>
          <w:sz w:val="32"/>
          <w:szCs w:val="32"/>
          <w:lang w:val="en-US" w:eastAsia="zh-CN"/>
        </w:rPr>
      </w:pPr>
    </w:p>
    <w:p>
      <w:pPr>
        <w:rPr>
          <w:rFonts w:hint="eastAsia" w:eastAsiaTheme="minorEastAsia"/>
          <w:lang w:eastAsia="zh-CN"/>
        </w:rPr>
      </w:pPr>
      <w:r>
        <w:rPr>
          <w:rFonts w:hint="eastAsia" w:ascii="仿宋_GB2312" w:hAnsi="Times New Roman" w:eastAsia="仿宋_GB2312" w:cs="DengXian-Regular"/>
          <w:sz w:val="32"/>
          <w:szCs w:val="32"/>
          <w:lang w:val="en-US" w:eastAsia="zh-CN"/>
        </w:rPr>
        <w:t xml:space="preserve">  </w:t>
      </w:r>
      <w:r>
        <w:rPr>
          <w:rFonts w:hint="eastAsia" w:eastAsiaTheme="minorEastAsia"/>
          <w:lang w:eastAsia="zh-CN"/>
        </w:rPr>
        <w:drawing>
          <wp:inline distT="0" distB="0" distL="114300" distR="114300">
            <wp:extent cx="5080000" cy="3810000"/>
            <wp:effectExtent l="4445" t="4445" r="8255" b="825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pPr>
        <w:adjustRightInd w:val="0"/>
        <w:snapToGrid w:val="0"/>
        <w:spacing w:line="540" w:lineRule="exact"/>
        <w:ind w:firstLine="640" w:firstLineChars="200"/>
        <w:rPr>
          <w:rFonts w:hint="eastAsia" w:ascii="仿宋_GB2312" w:hAnsi="Times New Roman" w:eastAsia="仿宋_GB2312" w:cs="DengXian-Regular"/>
          <w:sz w:val="32"/>
          <w:szCs w:val="32"/>
          <w:lang w:val="en-US" w:eastAsia="zh-CN"/>
        </w:rPr>
      </w:pPr>
    </w:p>
    <w:p>
      <w:pPr>
        <w:keepNext/>
        <w:keepLines/>
        <w:snapToGrid w:val="0"/>
        <w:spacing w:line="54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4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12601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1474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11127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88.3%</w:t>
      </w:r>
      <w:r>
        <w:rPr>
          <w:rFonts w:hint="eastAsia" w:ascii="仿宋_GB2312" w:hAnsi="Times New Roman" w:eastAsia="仿宋_GB2312" w:cs="DengXian-Regular"/>
          <w:sz w:val="32"/>
          <w:szCs w:val="32"/>
        </w:rPr>
        <w:t>。如图所示：</w:t>
      </w:r>
    </w:p>
    <w:p>
      <w:pPr>
        <w:adjustRightInd w:val="0"/>
        <w:snapToGrid w:val="0"/>
        <w:spacing w:line="540" w:lineRule="exact"/>
        <w:ind w:firstLine="640" w:firstLineChars="200"/>
        <w:rPr>
          <w:rFonts w:hint="eastAsia" w:ascii="仿宋_GB2312" w:hAnsi="Times New Roman" w:eastAsia="仿宋_GB2312" w:cs="DengXian-Regular"/>
          <w:sz w:val="32"/>
          <w:szCs w:val="32"/>
        </w:rPr>
      </w:pPr>
    </w:p>
    <w:p>
      <w:pPr>
        <w:rPr>
          <w:rFonts w:hint="eastAsia"/>
          <w:lang w:eastAsia="zh-CN"/>
        </w:rPr>
      </w:pPr>
      <w:r>
        <w:rPr>
          <w:rFonts w:hint="eastAsia"/>
          <w:lang w:val="en-US" w:eastAsia="zh-CN"/>
        </w:rPr>
        <w:t xml:space="preserve">     </w:t>
      </w:r>
      <w:r>
        <w:rPr>
          <w:rFonts w:hint="eastAsia"/>
          <w:lang w:eastAsia="zh-CN"/>
        </w:rPr>
        <w:drawing>
          <wp:inline distT="0" distB="0" distL="114300" distR="114300">
            <wp:extent cx="5080000" cy="3810000"/>
            <wp:effectExtent l="4445" t="4445" r="8255" b="825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adjustRightInd w:val="0"/>
        <w:snapToGrid w:val="0"/>
        <w:spacing w:line="540" w:lineRule="exact"/>
        <w:ind w:firstLine="640" w:firstLineChars="200"/>
        <w:rPr>
          <w:rFonts w:ascii="仿宋_GB2312" w:hAnsi="Times New Roman" w:eastAsia="仿宋_GB2312" w:cs="DengXian-Regular"/>
          <w:sz w:val="32"/>
          <w:szCs w:val="32"/>
        </w:rPr>
      </w:pP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40" w:lineRule="exact"/>
        <w:ind w:firstLine="641"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14912</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val="en-US" w:eastAsia="zh-CN"/>
        </w:rPr>
        <w:t>增加11279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增加310.5</w:t>
      </w:r>
      <w:r>
        <w:rPr>
          <w:rFonts w:hint="eastAsia" w:ascii="仿宋_GB2312" w:hAnsi="Times New Roman" w:eastAsia="仿宋_GB2312" w:cs="DengXian-Regular"/>
          <w:sz w:val="32"/>
          <w:szCs w:val="32"/>
        </w:rPr>
        <w:t>%，主要是水源保护区生态补贴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南北故城旧工业区拆迁补偿项目等资金增加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12450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增加8817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增加242.7</w:t>
      </w:r>
      <w:r>
        <w:rPr>
          <w:rFonts w:hint="eastAsia" w:ascii="仿宋_GB2312" w:hAnsi="Times New Roman" w:eastAsia="仿宋_GB2312" w:cs="DengXian-Regular"/>
          <w:sz w:val="32"/>
          <w:szCs w:val="32"/>
        </w:rPr>
        <w:t>%，主要是水源保护区生态补贴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拆迁补偿项目等资金</w:t>
      </w:r>
      <w:r>
        <w:rPr>
          <w:rFonts w:hint="eastAsia" w:ascii="仿宋_GB2312" w:eastAsia="仿宋_GB2312" w:cs="DengXian-Regular"/>
          <w:color w:val="auto"/>
          <w:sz w:val="32"/>
          <w:szCs w:val="32"/>
        </w:rPr>
        <w:t>支出增加</w:t>
      </w:r>
      <w:r>
        <w:rPr>
          <w:rFonts w:hint="eastAsia" w:ascii="仿宋_GB2312" w:hAnsi="Times New Roman" w:eastAsia="仿宋_GB2312" w:cs="DengXian-Regular"/>
          <w:sz w:val="32"/>
          <w:szCs w:val="32"/>
        </w:rPr>
        <w:t>。</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1"/>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14897</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12941</w:t>
      </w:r>
      <w:r>
        <w:rPr>
          <w:rFonts w:hint="eastAsia" w:ascii="仿宋_GB2312" w:hAnsi="Times New Roman" w:eastAsia="仿宋_GB2312" w:cs="DengXian-Regular"/>
          <w:sz w:val="32"/>
          <w:szCs w:val="32"/>
        </w:rPr>
        <w:t>万元；主要是增加了</w:t>
      </w:r>
      <w:r>
        <w:rPr>
          <w:rFonts w:hint="eastAsia" w:ascii="仿宋_GB2312" w:hAnsi="Times New Roman" w:eastAsia="仿宋_GB2312" w:cs="DengXian-Regular"/>
          <w:sz w:val="32"/>
          <w:szCs w:val="32"/>
          <w:lang w:val="en-US" w:eastAsia="zh-CN"/>
        </w:rPr>
        <w:t>一般公共预算财政</w:t>
      </w:r>
      <w:r>
        <w:rPr>
          <w:rFonts w:hint="eastAsia" w:ascii="仿宋_GB2312" w:hAnsi="Times New Roman" w:eastAsia="仿宋_GB2312" w:cs="DengXian-Regular"/>
          <w:sz w:val="32"/>
          <w:szCs w:val="32"/>
        </w:rPr>
        <w:t>拨款</w:t>
      </w:r>
      <w:r>
        <w:rPr>
          <w:rFonts w:hint="eastAsia" w:ascii="仿宋_GB2312" w:hAnsi="Times New Roman" w:eastAsia="仿宋_GB2312" w:cs="DengXian-Regular"/>
          <w:sz w:val="32"/>
          <w:szCs w:val="32"/>
          <w:lang w:val="en-US" w:eastAsia="zh-CN"/>
        </w:rPr>
        <w:t>收入</w:t>
      </w:r>
      <w:r>
        <w:rPr>
          <w:rFonts w:hint="eastAsia" w:ascii="仿宋_GB2312" w:hAnsi="Times New Roman" w:eastAsia="仿宋_GB2312" w:cs="DengXian-Regular"/>
          <w:sz w:val="32"/>
          <w:szCs w:val="32"/>
        </w:rPr>
        <w:t>（水源保护区生态补贴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拆迁补偿项目等资金</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减少了</w:t>
      </w:r>
      <w:r>
        <w:rPr>
          <w:rFonts w:hint="eastAsia" w:ascii="仿宋_GB2312" w:hAnsi="Times New Roman" w:eastAsia="仿宋_GB2312" w:cs="DengXian-Regular"/>
          <w:sz w:val="32"/>
          <w:szCs w:val="32"/>
          <w:lang w:val="en-US" w:eastAsia="zh-CN"/>
        </w:rPr>
        <w:t>政府性</w:t>
      </w:r>
      <w:r>
        <w:rPr>
          <w:rFonts w:hint="eastAsia" w:ascii="仿宋_GB2312" w:hAnsi="Times New Roman" w:eastAsia="仿宋_GB2312" w:cs="DengXian-Regular"/>
          <w:sz w:val="32"/>
          <w:szCs w:val="32"/>
        </w:rPr>
        <w:t>基金</w:t>
      </w:r>
      <w:r>
        <w:rPr>
          <w:rFonts w:hint="eastAsia" w:ascii="仿宋_GB2312" w:hAnsi="Times New Roman" w:eastAsia="仿宋_GB2312" w:cs="DengXian-Regular"/>
          <w:sz w:val="32"/>
          <w:szCs w:val="32"/>
          <w:lang w:val="en-US" w:eastAsia="zh-CN"/>
        </w:rPr>
        <w:t>预算财政</w:t>
      </w:r>
      <w:r>
        <w:rPr>
          <w:rFonts w:hint="eastAsia" w:ascii="仿宋_GB2312" w:hAnsi="Times New Roman" w:eastAsia="仿宋_GB2312" w:cs="DengXian-Regular"/>
          <w:sz w:val="32"/>
          <w:szCs w:val="32"/>
        </w:rPr>
        <w:t>拨款</w:t>
      </w:r>
      <w:r>
        <w:rPr>
          <w:rFonts w:hint="eastAsia" w:ascii="仿宋_GB2312" w:hAnsi="Times New Roman" w:eastAsia="仿宋_GB2312" w:cs="DengXian-Regular"/>
          <w:sz w:val="32"/>
          <w:szCs w:val="32"/>
          <w:lang w:val="en-US" w:eastAsia="zh-CN"/>
        </w:rPr>
        <w:t>收入</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一般公共预算财政拨款</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12450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10494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536.5</w:t>
      </w:r>
      <w:r>
        <w:rPr>
          <w:rFonts w:hint="eastAsia" w:ascii="仿宋_GB2312" w:hAnsi="Times New Roman" w:eastAsia="仿宋_GB2312" w:cs="DengXian-Regular"/>
          <w:sz w:val="32"/>
          <w:szCs w:val="32"/>
        </w:rPr>
        <w:t>%，主要是增加了</w:t>
      </w:r>
      <w:r>
        <w:rPr>
          <w:rFonts w:hint="eastAsia" w:ascii="仿宋_GB2312" w:hAnsi="Times New Roman" w:eastAsia="仿宋_GB2312" w:cs="DengXian-Regular"/>
          <w:sz w:val="32"/>
          <w:szCs w:val="32"/>
          <w:lang w:val="en-US" w:eastAsia="zh-CN"/>
        </w:rPr>
        <w:t>一般公共预算财政</w:t>
      </w:r>
      <w:r>
        <w:rPr>
          <w:rFonts w:hint="eastAsia" w:ascii="仿宋_GB2312" w:hAnsi="Times New Roman" w:eastAsia="仿宋_GB2312" w:cs="DengXian-Regular"/>
          <w:sz w:val="32"/>
          <w:szCs w:val="32"/>
        </w:rPr>
        <w:t>拨款</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（水源保护区生态补贴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拆迁补偿项目等资金</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减少了</w:t>
      </w:r>
      <w:r>
        <w:rPr>
          <w:rFonts w:hint="eastAsia" w:ascii="仿宋_GB2312" w:hAnsi="Times New Roman" w:eastAsia="仿宋_GB2312" w:cs="DengXian-Regular"/>
          <w:sz w:val="32"/>
          <w:szCs w:val="32"/>
          <w:lang w:val="en-US" w:eastAsia="zh-CN"/>
        </w:rPr>
        <w:t>政府性</w:t>
      </w:r>
      <w:r>
        <w:rPr>
          <w:rFonts w:hint="eastAsia" w:ascii="仿宋_GB2312" w:hAnsi="Times New Roman" w:eastAsia="仿宋_GB2312" w:cs="DengXian-Regular"/>
          <w:sz w:val="32"/>
          <w:szCs w:val="32"/>
        </w:rPr>
        <w:t>基金</w:t>
      </w:r>
      <w:r>
        <w:rPr>
          <w:rFonts w:hint="eastAsia" w:ascii="仿宋_GB2312" w:hAnsi="Times New Roman" w:eastAsia="仿宋_GB2312" w:cs="DengXian-Regular"/>
          <w:sz w:val="32"/>
          <w:szCs w:val="32"/>
          <w:lang w:val="en-US" w:eastAsia="zh-CN"/>
        </w:rPr>
        <w:t>预算财政</w:t>
      </w:r>
      <w:r>
        <w:rPr>
          <w:rFonts w:hint="eastAsia" w:ascii="仿宋_GB2312" w:hAnsi="Times New Roman" w:eastAsia="仿宋_GB2312" w:cs="DengXian-Regular"/>
          <w:sz w:val="32"/>
          <w:szCs w:val="32"/>
        </w:rPr>
        <w:t>拨款</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减少）。</w:t>
      </w:r>
    </w:p>
    <w:p>
      <w:pPr>
        <w:numPr>
          <w:ilvl w:val="0"/>
          <w:numId w:val="1"/>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1662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降低99.1</w:t>
      </w:r>
      <w:r>
        <w:rPr>
          <w:rFonts w:hint="eastAsia" w:ascii="仿宋_GB2312" w:hAnsi="Times New Roman" w:eastAsia="仿宋_GB2312" w:cs="DengXian-Regular"/>
          <w:sz w:val="32"/>
          <w:szCs w:val="32"/>
        </w:rPr>
        <w:t>%，主要原因是增加了预算拨款减少了基金拨款（</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政府性基金预算财政拨款本年</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rPr>
          <w:rFonts w:hint="eastAsia" w:ascii="仿宋_GB2312" w:hAnsi="Times New Roman" w:eastAsia="楷体_GB2312" w:cs="DengXian-Bold"/>
          <w:b/>
          <w:bCs/>
          <w:sz w:val="32"/>
          <w:szCs w:val="32"/>
          <w:lang w:val="en-US" w:eastAsia="zh-CN"/>
        </w:rPr>
      </w:pPr>
      <w:r>
        <w:rPr>
          <w:rFonts w:hint="eastAsia"/>
          <w:lang w:val="en-US" w:eastAsia="zh-CN"/>
        </w:rPr>
        <w:t xml:space="preserve">    </w:t>
      </w:r>
      <w:r>
        <w:rPr>
          <w:rFonts w:hint="eastAsia"/>
          <w:lang w:eastAsia="zh-CN"/>
        </w:rPr>
        <w:drawing>
          <wp:inline distT="0" distB="0" distL="114300" distR="114300">
            <wp:extent cx="5173980" cy="2882265"/>
            <wp:effectExtent l="4445" t="4445" r="15875" b="889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rFonts w:hint="eastAsia" w:ascii="楷体_GB2312" w:hAnsi="Times New Roman" w:eastAsia="楷体_GB2312" w:cs="DengXian-Bold"/>
          <w:b/>
          <w:bCs/>
          <w:sz w:val="32"/>
          <w:szCs w:val="32"/>
        </w:rPr>
        <w:t>（二）财政拨款收支与年初预算数对比情况</w:t>
      </w:r>
    </w:p>
    <w:p>
      <w:pPr>
        <w:adjustRightInd w:val="0"/>
        <w:snapToGrid w:val="0"/>
        <w:spacing w:line="54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2019年度财政拨款本年收入</w:t>
      </w:r>
      <w:r>
        <w:rPr>
          <w:rFonts w:hint="eastAsia" w:ascii="仿宋_GB2312" w:hAnsi="Times New Roman" w:eastAsia="仿宋_GB2312" w:cs="DengXian-Regular"/>
          <w:sz w:val="32"/>
          <w:szCs w:val="32"/>
          <w:lang w:val="en-US" w:eastAsia="zh-CN"/>
        </w:rPr>
        <w:t>14912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119.4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2428</w:t>
      </w:r>
      <w:r>
        <w:rPr>
          <w:rFonts w:hint="eastAsia" w:ascii="仿宋_GB2312" w:hAnsi="Times New Roman" w:eastAsia="仿宋_GB2312" w:cs="DengXian-Regular"/>
          <w:sz w:val="32"/>
          <w:szCs w:val="32"/>
        </w:rPr>
        <w:t>万元，决算数大于预算数主要原因是增加了预算拨款（水源保护区生态补贴</w:t>
      </w:r>
      <w:r>
        <w:rPr>
          <w:rFonts w:hint="eastAsia" w:ascii="仿宋_GB2312" w:hAnsi="Times New Roman" w:eastAsia="仿宋_GB2312" w:cs="DengXian-Regular"/>
          <w:sz w:val="32"/>
          <w:szCs w:val="32"/>
          <w:lang w:val="en-US" w:eastAsia="zh-CN"/>
        </w:rPr>
        <w:t>等</w:t>
      </w:r>
      <w:r>
        <w:rPr>
          <w:rFonts w:hint="eastAsia" w:ascii="仿宋_GB2312" w:hAnsi="Times New Roman" w:eastAsia="仿宋_GB2312" w:cs="DengXian-Regular"/>
          <w:sz w:val="32"/>
          <w:szCs w:val="32"/>
        </w:rPr>
        <w:t>资金增加）；本年支出</w:t>
      </w:r>
      <w:r>
        <w:rPr>
          <w:rFonts w:hint="eastAsia" w:ascii="仿宋_GB2312" w:hAnsi="Times New Roman" w:eastAsia="仿宋_GB2312" w:cs="DengXian-Regular"/>
          <w:sz w:val="32"/>
          <w:szCs w:val="32"/>
          <w:lang w:val="en-US" w:eastAsia="zh-CN"/>
        </w:rPr>
        <w:t>12450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99.7</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减少34</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val="en-US" w:eastAsia="zh-CN"/>
        </w:rPr>
        <w:t>小于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DengXian-Regular"/>
          <w:sz w:val="32"/>
          <w:szCs w:val="32"/>
          <w:lang w:val="en-US" w:eastAsia="zh-CN"/>
        </w:rPr>
        <w:t>减少</w:t>
      </w:r>
      <w:r>
        <w:rPr>
          <w:rFonts w:hint="eastAsia" w:ascii="仿宋_GB2312" w:hAnsi="Times New Roman" w:eastAsia="仿宋_GB2312" w:cs="DengXian-Regular"/>
          <w:sz w:val="32"/>
          <w:szCs w:val="32"/>
        </w:rPr>
        <w:t>了预算拨款</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拆迁补偿项目等资金</w:t>
      </w:r>
      <w:r>
        <w:rPr>
          <w:rFonts w:hint="eastAsia" w:ascii="仿宋_GB2312" w:hAnsi="Times New Roman" w:eastAsia="仿宋_GB2312" w:cs="DengXian-Regular"/>
          <w:sz w:val="32"/>
          <w:szCs w:val="32"/>
        </w:rPr>
        <w:t>减少）。</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2"/>
        </w:numPr>
        <w:adjustRightInd w:val="0"/>
        <w:snapToGrid w:val="0"/>
        <w:spacing w:line="540" w:lineRule="exact"/>
        <w:ind w:firstLine="640" w:firstLineChars="200"/>
        <w:rPr>
          <w:sz w:val="32"/>
          <w:szCs w:val="32"/>
          <w:lang w:val="en-US" w:eastAsia="zh-CN"/>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518.2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12022</w:t>
      </w:r>
      <w:r>
        <w:rPr>
          <w:rFonts w:hint="eastAsia" w:ascii="仿宋_GB2312" w:hAnsi="Times New Roman" w:eastAsia="仿宋_GB2312" w:cs="DengXian-Regular"/>
          <w:sz w:val="32"/>
          <w:szCs w:val="32"/>
        </w:rPr>
        <w:t>万元，主要是增加了预算拨款（水源保护区生态补贴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拆迁补偿等</w:t>
      </w:r>
      <w:r>
        <w:rPr>
          <w:rFonts w:hint="eastAsia" w:ascii="仿宋_GB2312" w:hAnsi="Times New Roman" w:eastAsia="仿宋_GB2312" w:cs="DengXian-Regular"/>
          <w:sz w:val="32"/>
          <w:szCs w:val="32"/>
        </w:rPr>
        <w:t>资金增加）减少了基金拨款（</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减少）；支出完成年初预算</w:t>
      </w:r>
      <w:r>
        <w:rPr>
          <w:rFonts w:hint="eastAsia" w:ascii="仿宋_GB2312" w:hAnsi="Times New Roman" w:eastAsia="仿宋_GB2312" w:cs="DengXian-Regular"/>
          <w:sz w:val="32"/>
          <w:szCs w:val="32"/>
          <w:lang w:val="en-US" w:eastAsia="zh-CN"/>
        </w:rPr>
        <w:t>433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9575</w:t>
      </w:r>
      <w:r>
        <w:rPr>
          <w:rFonts w:hint="eastAsia" w:ascii="仿宋_GB2312" w:hAnsi="Times New Roman" w:eastAsia="仿宋_GB2312" w:cs="DengXian-Regular"/>
          <w:sz w:val="32"/>
          <w:szCs w:val="32"/>
        </w:rPr>
        <w:t>万元，主要是增加了预算拨款（水源保护区生态补贴资金</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拆迁补偿项目等资金</w:t>
      </w:r>
      <w:r>
        <w:rPr>
          <w:rFonts w:hint="eastAsia" w:ascii="仿宋_GB2312" w:hAnsi="Times New Roman" w:eastAsia="仿宋_GB2312" w:cs="DengXian-Regular"/>
          <w:sz w:val="32"/>
          <w:szCs w:val="32"/>
        </w:rPr>
        <w:t>增加）减少了基金拨款（</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减少）。</w:t>
      </w:r>
    </w:p>
    <w:p>
      <w:pPr>
        <w:numPr>
          <w:ilvl w:val="0"/>
          <w:numId w:val="2"/>
        </w:num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9594</w:t>
      </w:r>
      <w:r>
        <w:rPr>
          <w:rFonts w:hint="eastAsia" w:ascii="仿宋_GB2312" w:hAnsi="Times New Roman" w:eastAsia="仿宋_GB2312" w:cs="DengXian-Regular"/>
          <w:sz w:val="32"/>
          <w:szCs w:val="32"/>
        </w:rPr>
        <w:t>万元，主要是增加了预算拨款减少了基金拨款（</w:t>
      </w:r>
      <w:r>
        <w:rPr>
          <w:rFonts w:hint="eastAsia" w:ascii="仿宋_GB2312" w:hAnsi="Times New Roman" w:eastAsia="仿宋_GB2312" w:cs="DengXian-Regular"/>
          <w:sz w:val="32"/>
          <w:szCs w:val="32"/>
          <w:lang w:val="en-US" w:eastAsia="zh-CN"/>
        </w:rPr>
        <w:t>南北</w:t>
      </w:r>
      <w:r>
        <w:rPr>
          <w:rFonts w:hint="eastAsia" w:ascii="仿宋_GB2312" w:eastAsia="仿宋_GB2312" w:cs="DengXian-Regular"/>
          <w:color w:val="auto"/>
          <w:sz w:val="32"/>
          <w:szCs w:val="32"/>
        </w:rPr>
        <w:t>故城</w:t>
      </w:r>
      <w:r>
        <w:rPr>
          <w:rFonts w:hint="eastAsia" w:ascii="仿宋_GB2312" w:eastAsia="仿宋_GB2312" w:cs="DengXian-Regular"/>
          <w:color w:val="auto"/>
          <w:sz w:val="32"/>
          <w:szCs w:val="32"/>
          <w:lang w:val="en-US" w:eastAsia="zh-CN"/>
        </w:rPr>
        <w:t>旧</w:t>
      </w:r>
      <w:r>
        <w:rPr>
          <w:rFonts w:hint="eastAsia" w:ascii="仿宋_GB2312" w:eastAsia="仿宋_GB2312" w:cs="DengXian-Regular"/>
          <w:color w:val="auto"/>
          <w:sz w:val="32"/>
          <w:szCs w:val="32"/>
        </w:rPr>
        <w:t>工业区</w:t>
      </w:r>
      <w:r>
        <w:rPr>
          <w:rFonts w:hint="eastAsia" w:ascii="仿宋_GB2312" w:eastAsia="仿宋_GB2312" w:cs="DengXian-Regular"/>
          <w:color w:val="auto"/>
          <w:sz w:val="32"/>
          <w:szCs w:val="32"/>
          <w:lang w:val="en-US" w:eastAsia="zh-CN"/>
        </w:rPr>
        <w:t>拆迁补偿项目资金</w:t>
      </w:r>
      <w:r>
        <w:rPr>
          <w:rFonts w:hint="eastAsia" w:ascii="仿宋_GB2312" w:hAnsi="Times New Roman" w:eastAsia="仿宋_GB2312" w:cs="DengXian-Regular"/>
          <w:sz w:val="32"/>
          <w:szCs w:val="32"/>
        </w:rPr>
        <w:t>的减少）；</w:t>
      </w:r>
      <w:r>
        <w:rPr>
          <w:rFonts w:hint="eastAsia" w:ascii="仿宋_GB2312" w:hAnsi="Times New Roman" w:eastAsia="仿宋_GB2312" w:cs="DengXian-Regular"/>
          <w:sz w:val="32"/>
          <w:szCs w:val="32"/>
          <w:lang w:val="en-US" w:eastAsia="zh-CN"/>
        </w:rPr>
        <w:t>本年</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0万元。</w:t>
      </w:r>
    </w:p>
    <w:p>
      <w:pPr>
        <w:widowControl w:val="0"/>
        <w:numPr>
          <w:ilvl w:val="0"/>
          <w:numId w:val="0"/>
        </w:numPr>
        <w:adjustRightInd w:val="0"/>
        <w:snapToGrid w:val="0"/>
        <w:spacing w:line="540" w:lineRule="exact"/>
        <w:jc w:val="both"/>
        <w:rPr>
          <w:rFonts w:hint="eastAsia" w:ascii="仿宋_GB2312" w:hAnsi="Times New Roman" w:eastAsia="仿宋_GB2312" w:cs="DengXian-Regular"/>
          <w:sz w:val="32"/>
          <w:szCs w:val="32"/>
          <w:lang w:val="en-US" w:eastAsia="zh-CN"/>
        </w:rPr>
      </w:pPr>
    </w:p>
    <w:p>
      <w:pPr>
        <w:widowControl w:val="0"/>
        <w:numPr>
          <w:ilvl w:val="0"/>
          <w:numId w:val="0"/>
        </w:numPr>
        <w:adjustRightInd w:val="0"/>
        <w:snapToGrid w:val="0"/>
        <w:spacing w:line="540" w:lineRule="exact"/>
        <w:jc w:val="both"/>
        <w:rPr>
          <w:rFonts w:hint="eastAsia" w:ascii="仿宋_GB2312" w:hAnsi="Times New Roman" w:eastAsia="仿宋_GB2312" w:cs="DengXian-Regular"/>
          <w:sz w:val="32"/>
          <w:szCs w:val="32"/>
          <w:lang w:val="en-US" w:eastAsia="zh-CN"/>
        </w:rPr>
      </w:pPr>
    </w:p>
    <w:p>
      <w:pPr>
        <w:rPr>
          <w:rFonts w:hint="eastAsia"/>
          <w:lang w:eastAsia="zh-CN"/>
        </w:rPr>
      </w:pPr>
      <w:r>
        <w:rPr>
          <w:rFonts w:hint="eastAsia"/>
          <w:lang w:eastAsia="zh-CN"/>
        </w:rPr>
        <w:drawing>
          <wp:inline distT="0" distB="0" distL="114300" distR="114300">
            <wp:extent cx="5080000" cy="3816350"/>
            <wp:effectExtent l="4445" t="4445" r="8255" b="1460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adjustRightInd w:val="0"/>
        <w:snapToGrid w:val="0"/>
        <w:spacing w:line="54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adjustRightInd w:val="0"/>
        <w:snapToGrid w:val="0"/>
        <w:spacing w:line="540" w:lineRule="exact"/>
        <w:ind w:firstLine="800" w:firstLineChars="25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12450</w:t>
      </w:r>
      <w:r>
        <w:rPr>
          <w:rFonts w:hint="eastAsia" w:ascii="仿宋_GB2312" w:hAnsi="Times New Roman" w:eastAsia="仿宋_GB2312" w:cs="DengXian-Regular"/>
          <w:sz w:val="32"/>
          <w:szCs w:val="32"/>
        </w:rPr>
        <w:t>万元，主要用于以下方面一般公共服务支出</w:t>
      </w:r>
      <w:r>
        <w:rPr>
          <w:rFonts w:hint="eastAsia" w:ascii="仿宋_GB2312" w:hAnsi="Times New Roman" w:eastAsia="仿宋_GB2312" w:cs="DengXian-Regular"/>
          <w:sz w:val="32"/>
          <w:szCs w:val="32"/>
          <w:lang w:val="en-US" w:eastAsia="zh-CN"/>
        </w:rPr>
        <w:t>1515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12.17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公共安全支出6万元，占0.05%；</w:t>
      </w:r>
      <w:r>
        <w:rPr>
          <w:rFonts w:hint="eastAsia" w:ascii="仿宋_GB2312" w:hAnsi="Times New Roman" w:eastAsia="仿宋_GB2312" w:cs="DengXian-Regular"/>
          <w:sz w:val="32"/>
          <w:szCs w:val="32"/>
        </w:rPr>
        <w:t>教育支出</w:t>
      </w:r>
      <w:r>
        <w:rPr>
          <w:rFonts w:hint="eastAsia" w:ascii="仿宋_GB2312" w:hAnsi="Times New Roman" w:eastAsia="仿宋_GB2312" w:cs="DengXian-Regular"/>
          <w:sz w:val="32"/>
          <w:szCs w:val="32"/>
          <w:lang w:val="en-US" w:eastAsia="zh-CN"/>
        </w:rPr>
        <w:t>159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文化旅游体育与传媒支出33万元，占0.26%；</w:t>
      </w:r>
      <w:r>
        <w:rPr>
          <w:rFonts w:hint="eastAsia" w:ascii="仿宋_GB2312" w:hAnsi="Times New Roman" w:eastAsia="仿宋_GB2312" w:cs="DengXian-Regular"/>
          <w:sz w:val="32"/>
          <w:szCs w:val="32"/>
        </w:rPr>
        <w:t>社会保障和就业支出</w:t>
      </w:r>
      <w:r>
        <w:rPr>
          <w:rFonts w:hint="eastAsia" w:ascii="仿宋_GB2312" w:hAnsi="Times New Roman" w:eastAsia="仿宋_GB2312" w:cs="DengXian-Regular"/>
          <w:sz w:val="32"/>
          <w:szCs w:val="32"/>
          <w:lang w:val="en-US" w:eastAsia="zh-CN"/>
        </w:rPr>
        <w:t>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0.39</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0.16</w:t>
      </w:r>
      <w:r>
        <w:rPr>
          <w:rFonts w:hint="eastAsia" w:ascii="仿宋_GB2312" w:hAnsi="Times New Roman" w:eastAsia="仿宋_GB2312" w:cs="DengXian-Regular"/>
          <w:sz w:val="32"/>
          <w:szCs w:val="32"/>
        </w:rPr>
        <w:t>%；节能环保支出</w:t>
      </w:r>
      <w:r>
        <w:rPr>
          <w:rFonts w:hint="eastAsia" w:ascii="仿宋_GB2312" w:hAnsi="Times New Roman" w:eastAsia="仿宋_GB2312" w:cs="DengXian-Regular"/>
          <w:sz w:val="32"/>
          <w:szCs w:val="32"/>
          <w:lang w:val="en-US" w:eastAsia="zh-CN"/>
        </w:rPr>
        <w:t>85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0.68</w:t>
      </w:r>
      <w:r>
        <w:rPr>
          <w:rFonts w:hint="eastAsia" w:ascii="仿宋_GB2312" w:hAnsi="Times New Roman" w:eastAsia="仿宋_GB2312" w:cs="DengXian-Regular"/>
          <w:sz w:val="32"/>
          <w:szCs w:val="32"/>
        </w:rPr>
        <w:t>%；城乡社区支出</w:t>
      </w:r>
      <w:r>
        <w:rPr>
          <w:rFonts w:hint="eastAsia" w:ascii="仿宋_GB2312" w:hAnsi="Times New Roman" w:eastAsia="仿宋_GB2312" w:cs="DengXian-Regular"/>
          <w:sz w:val="32"/>
          <w:szCs w:val="32"/>
          <w:lang w:val="en-US" w:eastAsia="zh-CN"/>
        </w:rPr>
        <w:t>9865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79.24</w:t>
      </w:r>
      <w:r>
        <w:rPr>
          <w:rFonts w:hint="eastAsia" w:ascii="仿宋_GB2312" w:hAnsi="Times New Roman" w:eastAsia="仿宋_GB2312" w:cs="DengXian-Regular"/>
          <w:sz w:val="32"/>
          <w:szCs w:val="32"/>
        </w:rPr>
        <w:t>%；农林水支出</w:t>
      </w:r>
      <w:r>
        <w:rPr>
          <w:rFonts w:hint="eastAsia" w:ascii="仿宋_GB2312" w:hAnsi="Times New Roman" w:eastAsia="仿宋_GB2312" w:cs="DengXian-Regular"/>
          <w:sz w:val="32"/>
          <w:szCs w:val="32"/>
          <w:lang w:val="en-US" w:eastAsia="zh-CN"/>
        </w:rPr>
        <w:t>711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5.71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资源勘探信息等、灾害防治及应急管理支出7万元，占0.06%</w:t>
      </w:r>
      <w:r>
        <w:rPr>
          <w:rFonts w:hint="eastAsia" w:ascii="仿宋_GB2312" w:hAnsi="Times New Roman" w:eastAsia="仿宋_GB2312" w:cs="DengXian-Regular"/>
          <w:sz w:val="32"/>
          <w:szCs w:val="32"/>
        </w:rPr>
        <w:t>。</w:t>
      </w:r>
    </w:p>
    <w:p>
      <w:pPr>
        <w:adjustRightInd w:val="0"/>
        <w:snapToGrid w:val="0"/>
        <w:spacing w:line="540" w:lineRule="exact"/>
        <w:ind w:firstLine="800" w:firstLineChars="250"/>
        <w:rPr>
          <w:rFonts w:hint="eastAsia" w:ascii="仿宋_GB2312" w:hAnsi="Times New Roman" w:eastAsia="仿宋_GB2312" w:cs="DengXian-Regular"/>
          <w:sz w:val="32"/>
          <w:szCs w:val="32"/>
        </w:rPr>
      </w:pPr>
    </w:p>
    <w:p>
      <w:pPr>
        <w:adjustRightInd w:val="0"/>
        <w:snapToGrid w:val="0"/>
        <w:spacing w:line="540" w:lineRule="exact"/>
        <w:ind w:firstLine="800" w:firstLineChars="250"/>
        <w:rPr>
          <w:rFonts w:hint="eastAsia" w:ascii="仿宋_GB2312" w:hAnsi="Times New Roman" w:eastAsia="仿宋_GB2312" w:cs="DengXian-Regular"/>
          <w:sz w:val="32"/>
          <w:szCs w:val="32"/>
        </w:rPr>
      </w:pPr>
    </w:p>
    <w:p>
      <w:pPr>
        <w:adjustRightInd w:val="0"/>
        <w:snapToGrid w:val="0"/>
        <w:spacing w:line="540" w:lineRule="exact"/>
        <w:ind w:firstLine="1104" w:firstLineChars="250"/>
        <w:jc w:val="center"/>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b/>
          <w:bCs/>
          <w:sz w:val="44"/>
          <w:szCs w:val="44"/>
          <w:lang w:val="en-US" w:eastAsia="zh-CN"/>
        </w:rPr>
        <w:t>支出决算结构</w:t>
      </w:r>
    </w:p>
    <w:p>
      <w:pPr>
        <w:rPr>
          <w:rFonts w:hint="eastAsia"/>
          <w:lang w:eastAsia="zh-CN"/>
        </w:rPr>
      </w:pPr>
      <w:r>
        <w:rPr>
          <w:rFonts w:hint="eastAsia"/>
          <w:lang w:eastAsia="zh-CN"/>
        </w:rPr>
        <w:drawing>
          <wp:inline distT="0" distB="0" distL="114300" distR="114300">
            <wp:extent cx="5688965" cy="3809365"/>
            <wp:effectExtent l="4445" t="4445" r="8890" b="889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spacing w:line="540" w:lineRule="exact"/>
        <w:ind w:firstLine="641"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1474</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1038</w:t>
      </w:r>
      <w:r>
        <w:rPr>
          <w:rFonts w:hint="eastAsia" w:ascii="仿宋_GB2312" w:hAnsi="Times New Roman" w:eastAsia="仿宋_GB2312" w:cs="DengXian-Regular"/>
          <w:sz w:val="32"/>
          <w:szCs w:val="32"/>
        </w:rPr>
        <w:t>万元，主要包括基本工资</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万元、津贴补贴</w:t>
      </w:r>
      <w:r>
        <w:rPr>
          <w:rFonts w:hint="eastAsia" w:ascii="仿宋_GB2312" w:hAnsi="Times New Roman" w:eastAsia="仿宋_GB2312" w:cs="DengXian-Regular"/>
          <w:sz w:val="32"/>
          <w:szCs w:val="32"/>
          <w:lang w:val="en-US" w:eastAsia="zh-CN"/>
        </w:rPr>
        <w:t>104</w:t>
      </w:r>
      <w:r>
        <w:rPr>
          <w:rFonts w:hint="eastAsia" w:ascii="仿宋_GB2312" w:hAnsi="Times New Roman" w:eastAsia="仿宋_GB2312" w:cs="DengXian-Regular"/>
          <w:sz w:val="32"/>
          <w:szCs w:val="32"/>
        </w:rPr>
        <w:t>万元、奖金</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万元、绩效工资</w:t>
      </w:r>
      <w:r>
        <w:rPr>
          <w:rFonts w:hint="eastAsia" w:ascii="仿宋_GB2312" w:hAnsi="Times New Roman" w:eastAsia="仿宋_GB2312" w:cs="DengXian-Regular"/>
          <w:sz w:val="32"/>
          <w:szCs w:val="32"/>
          <w:lang w:val="en-US" w:eastAsia="zh-CN"/>
        </w:rPr>
        <w:t>130</w:t>
      </w:r>
      <w:r>
        <w:rPr>
          <w:rFonts w:hint="eastAsia" w:ascii="仿宋_GB2312" w:hAnsi="Times New Roman" w:eastAsia="仿宋_GB2312" w:cs="DengXian-Regular"/>
          <w:sz w:val="32"/>
          <w:szCs w:val="32"/>
        </w:rPr>
        <w:t>万元、机关事业单位基本养老保险缴费</w:t>
      </w:r>
      <w:r>
        <w:rPr>
          <w:rFonts w:hint="eastAsia" w:ascii="仿宋_GB2312" w:hAnsi="Times New Roman" w:eastAsia="仿宋_GB2312" w:cs="DengXian-Regular"/>
          <w:sz w:val="32"/>
          <w:szCs w:val="32"/>
          <w:lang w:val="en-US" w:eastAsia="zh-CN"/>
        </w:rPr>
        <w:t>81</w:t>
      </w:r>
      <w:r>
        <w:rPr>
          <w:rFonts w:hint="eastAsia" w:ascii="仿宋_GB2312" w:hAnsi="Times New Roman" w:eastAsia="仿宋_GB2312" w:cs="DengXian-Regular"/>
          <w:sz w:val="32"/>
          <w:szCs w:val="32"/>
        </w:rPr>
        <w:t>万元、职工基本医疗保险缴费</w:t>
      </w:r>
      <w:r>
        <w:rPr>
          <w:rFonts w:hint="eastAsia" w:ascii="仿宋_GB2312" w:hAnsi="Times New Roman" w:eastAsia="仿宋_GB2312" w:cs="DengXian-Regular"/>
          <w:sz w:val="32"/>
          <w:szCs w:val="32"/>
          <w:lang w:val="en-US" w:eastAsia="zh-CN"/>
        </w:rPr>
        <w:t>63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其他社会保障缴费5万元、</w:t>
      </w:r>
      <w:r>
        <w:rPr>
          <w:rFonts w:hint="eastAsia" w:ascii="仿宋_GB2312" w:hAnsi="Times New Roman" w:eastAsia="仿宋_GB2312" w:cs="DengXian-Regular"/>
          <w:sz w:val="32"/>
          <w:szCs w:val="32"/>
        </w:rPr>
        <w:t>住房公积金</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对个人和家庭的</w:t>
      </w:r>
      <w:r>
        <w:rPr>
          <w:rFonts w:hint="eastAsia" w:ascii="仿宋_GB2312" w:hAnsi="Times New Roman" w:eastAsia="仿宋_GB2312" w:cs="DengXian-Regular"/>
          <w:sz w:val="32"/>
          <w:szCs w:val="32"/>
        </w:rPr>
        <w:t>生活补助</w:t>
      </w:r>
      <w:r>
        <w:rPr>
          <w:rFonts w:hint="eastAsia" w:ascii="仿宋_GB2312" w:hAnsi="Times New Roman" w:eastAsia="仿宋_GB2312" w:cs="DengXian-Regular"/>
          <w:sz w:val="32"/>
          <w:szCs w:val="32"/>
          <w:lang w:val="en-US" w:eastAsia="zh-CN"/>
        </w:rPr>
        <w:t>216</w:t>
      </w:r>
      <w:r>
        <w:rPr>
          <w:rFonts w:hint="eastAsia" w:ascii="仿宋_GB2312" w:hAnsi="Times New Roman" w:eastAsia="仿宋_GB2312" w:cs="DengXian-Regular"/>
          <w:sz w:val="32"/>
          <w:szCs w:val="32"/>
        </w:rPr>
        <w:t>万元；公用经费</w:t>
      </w:r>
      <w:r>
        <w:rPr>
          <w:rFonts w:hint="eastAsia" w:ascii="仿宋_GB2312" w:hAnsi="Times New Roman" w:eastAsia="仿宋_GB2312" w:cs="DengXian-Regular"/>
          <w:sz w:val="32"/>
          <w:szCs w:val="32"/>
          <w:lang w:val="en-US" w:eastAsia="zh-CN"/>
        </w:rPr>
        <w:t>436</w:t>
      </w:r>
      <w:r>
        <w:rPr>
          <w:rFonts w:hint="eastAsia" w:ascii="仿宋_GB2312" w:hAnsi="Times New Roman" w:eastAsia="仿宋_GB2312" w:cs="DengXian-Regular"/>
          <w:sz w:val="32"/>
          <w:szCs w:val="32"/>
        </w:rPr>
        <w:t>万元，主要包括办公费</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万元、电费</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万元、邮电费</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万元、取暖费</w:t>
      </w:r>
      <w:r>
        <w:rPr>
          <w:rFonts w:hint="eastAsia" w:ascii="仿宋_GB2312" w:hAnsi="Times New Roman" w:eastAsia="仿宋_GB2312" w:cs="DengXian-Regular"/>
          <w:sz w:val="32"/>
          <w:szCs w:val="32"/>
          <w:lang w:val="en-US" w:eastAsia="zh-CN"/>
        </w:rPr>
        <w:t>21</w:t>
      </w:r>
      <w:r>
        <w:rPr>
          <w:rFonts w:hint="eastAsia" w:ascii="仿宋_GB2312" w:hAnsi="Times New Roman" w:eastAsia="仿宋_GB2312" w:cs="DengXian-Regular"/>
          <w:sz w:val="32"/>
          <w:szCs w:val="32"/>
        </w:rPr>
        <w:t>万元、物业管理费</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万元、差旅费</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万元、维护费</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租赁费3万元、</w:t>
      </w:r>
      <w:r>
        <w:rPr>
          <w:rFonts w:hint="eastAsia" w:ascii="仿宋_GB2312" w:hAnsi="Times New Roman" w:eastAsia="仿宋_GB2312" w:cs="DengXian-Regular"/>
          <w:sz w:val="32"/>
          <w:szCs w:val="32"/>
        </w:rPr>
        <w:t>劳务费</w:t>
      </w:r>
      <w:r>
        <w:rPr>
          <w:rFonts w:hint="eastAsia" w:ascii="仿宋_GB2312" w:hAnsi="Times New Roman" w:eastAsia="仿宋_GB2312" w:cs="DengXian-Regular"/>
          <w:sz w:val="32"/>
          <w:szCs w:val="32"/>
          <w:lang w:val="en-US" w:eastAsia="zh-CN"/>
        </w:rPr>
        <w:t>151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委托业务费141万元、工会经费1万元、</w:t>
      </w:r>
      <w:r>
        <w:rPr>
          <w:rFonts w:hint="eastAsia" w:ascii="仿宋_GB2312" w:hAnsi="Times New Roman" w:eastAsia="仿宋_GB2312" w:cs="DengXian-Regular"/>
          <w:sz w:val="32"/>
          <w:szCs w:val="32"/>
        </w:rPr>
        <w:t>福利费</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万元、公务用车运行维护费</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万元、其他交通费用</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办公设备购置6万元</w:t>
      </w:r>
      <w:r>
        <w:rPr>
          <w:rFonts w:hint="eastAsia" w:ascii="仿宋_GB2312" w:hAnsi="Times New Roman" w:eastAsia="仿宋_GB2312" w:cs="DengXian-Regular"/>
          <w:sz w:val="32"/>
          <w:szCs w:val="32"/>
        </w:rPr>
        <w:t>。</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spacing w:line="540" w:lineRule="exact"/>
        <w:ind w:firstLine="640" w:firstLineChars="200"/>
        <w:rPr>
          <w:rFonts w:ascii="仿宋_GB2312" w:hAnsi="仿宋" w:eastAsia="仿宋_GB2312"/>
          <w:sz w:val="32"/>
          <w:szCs w:val="32"/>
        </w:rPr>
      </w:pPr>
      <w:r>
        <w:rPr>
          <w:rFonts w:hint="eastAsia" w:ascii="仿宋_GB2312" w:hAnsi="仿宋" w:eastAsia="仿宋_GB2312"/>
          <w:sz w:val="32"/>
          <w:szCs w:val="32"/>
        </w:rPr>
        <w:t>2019年度“三公”经费支出共计</w:t>
      </w:r>
      <w:r>
        <w:rPr>
          <w:rFonts w:hint="eastAsia" w:ascii="仿宋_GB2312" w:hAnsi="仿宋" w:eastAsia="仿宋_GB2312"/>
          <w:sz w:val="32"/>
          <w:szCs w:val="32"/>
          <w:lang w:val="en-US" w:eastAsia="zh-CN"/>
        </w:rPr>
        <w:t>4.31</w:t>
      </w:r>
      <w:r>
        <w:rPr>
          <w:rFonts w:hint="eastAsia" w:ascii="仿宋_GB2312" w:hAnsi="仿宋" w:eastAsia="仿宋_GB2312"/>
          <w:sz w:val="32"/>
          <w:szCs w:val="32"/>
        </w:rPr>
        <w:t>万元，完成预算的</w:t>
      </w:r>
      <w:r>
        <w:rPr>
          <w:rFonts w:hint="eastAsia" w:ascii="仿宋_GB2312" w:hAnsi="仿宋" w:eastAsia="仿宋_GB2312"/>
          <w:sz w:val="32"/>
          <w:szCs w:val="32"/>
          <w:lang w:val="en-US" w:eastAsia="zh-CN"/>
        </w:rPr>
        <w:t>32.9</w:t>
      </w:r>
      <w:r>
        <w:rPr>
          <w:rFonts w:hint="eastAsia" w:ascii="仿宋_GB2312" w:hAnsi="仿宋" w:eastAsia="仿宋_GB2312"/>
          <w:sz w:val="32"/>
          <w:szCs w:val="32"/>
        </w:rPr>
        <w:t>%,较预算减少</w:t>
      </w:r>
      <w:r>
        <w:rPr>
          <w:rFonts w:hint="eastAsia" w:ascii="仿宋_GB2312" w:hAnsi="仿宋" w:eastAsia="仿宋_GB2312"/>
          <w:sz w:val="32"/>
          <w:szCs w:val="32"/>
          <w:lang w:val="en-US" w:eastAsia="zh-CN"/>
        </w:rPr>
        <w:t>8.79</w:t>
      </w:r>
      <w:r>
        <w:rPr>
          <w:rFonts w:hint="eastAsia" w:ascii="仿宋_GB2312" w:hAnsi="仿宋" w:eastAsia="仿宋_GB2312"/>
          <w:sz w:val="32"/>
          <w:szCs w:val="32"/>
        </w:rPr>
        <w:t>万元，降低</w:t>
      </w:r>
      <w:r>
        <w:rPr>
          <w:rFonts w:hint="eastAsia" w:ascii="仿宋_GB2312" w:hAnsi="仿宋" w:eastAsia="仿宋_GB2312"/>
          <w:sz w:val="32"/>
          <w:szCs w:val="32"/>
          <w:lang w:val="en-US" w:eastAsia="zh-CN"/>
        </w:rPr>
        <w:t>67.1</w:t>
      </w:r>
      <w:r>
        <w:rPr>
          <w:rFonts w:hint="eastAsia" w:ascii="仿宋_GB2312" w:hAnsi="仿宋" w:eastAsia="仿宋_GB2312"/>
          <w:sz w:val="32"/>
          <w:szCs w:val="32"/>
        </w:rPr>
        <w:t>%，主要是认真</w:t>
      </w:r>
      <w:r>
        <w:rPr>
          <w:rFonts w:hint="default" w:ascii="仿宋_GB2312" w:hAnsi="仿宋" w:eastAsia="仿宋_GB2312"/>
          <w:sz w:val="32"/>
          <w:szCs w:val="32"/>
        </w:rPr>
        <w:t>贯彻落实中央八项规定</w:t>
      </w:r>
      <w:r>
        <w:rPr>
          <w:rFonts w:hint="eastAsia" w:ascii="仿宋_GB2312" w:hAnsi="仿宋" w:eastAsia="仿宋_GB2312"/>
          <w:sz w:val="32"/>
          <w:szCs w:val="32"/>
        </w:rPr>
        <w:t>精神和厉行节约要求，从严控制“三公”经费开支，全年实际支出比预算有所节约；较2018年度减少</w:t>
      </w:r>
      <w:r>
        <w:rPr>
          <w:rFonts w:hint="eastAsia" w:ascii="仿宋_GB2312" w:hAnsi="仿宋" w:eastAsia="仿宋_GB2312"/>
          <w:sz w:val="32"/>
          <w:szCs w:val="32"/>
          <w:lang w:val="en-US" w:eastAsia="zh-CN"/>
        </w:rPr>
        <w:t>1.83</w:t>
      </w:r>
      <w:r>
        <w:rPr>
          <w:rFonts w:hint="eastAsia" w:ascii="仿宋_GB2312" w:hAnsi="仿宋" w:eastAsia="仿宋_GB2312"/>
          <w:sz w:val="32"/>
          <w:szCs w:val="32"/>
        </w:rPr>
        <w:t>万元，降低</w:t>
      </w:r>
      <w:r>
        <w:rPr>
          <w:rFonts w:hint="eastAsia" w:ascii="仿宋_GB2312" w:hAnsi="仿宋" w:eastAsia="仿宋_GB2312"/>
          <w:sz w:val="32"/>
          <w:szCs w:val="32"/>
          <w:lang w:val="en-US" w:eastAsia="zh-CN"/>
        </w:rPr>
        <w:t>29.8</w:t>
      </w:r>
      <w:r>
        <w:rPr>
          <w:rFonts w:hint="eastAsia" w:ascii="仿宋_GB2312" w:hAnsi="仿宋" w:eastAsia="仿宋_GB2312"/>
          <w:sz w:val="32"/>
          <w:szCs w:val="32"/>
        </w:rPr>
        <w:t>%，主要是加强对公务车辆的管理。规范和控制公务用车修理、用油等行为，最大限度提高单车使用效率。具体情况如下：</w:t>
      </w:r>
    </w:p>
    <w:p>
      <w:pPr>
        <w:adjustRightInd w:val="0"/>
        <w:snapToGrid w:val="0"/>
        <w:spacing w:line="540" w:lineRule="exact"/>
        <w:ind w:firstLine="628" w:firstLineChars="196"/>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2019年度因公出国（境）团组0个、共0人，参加其他单位组织的因公出国（境）团组0个、共0人，无本单位组织的出国（境）团组。因公出国（境）费支出较年初预算无增减变化，较2018年决算无增减变化。</w:t>
      </w:r>
    </w:p>
    <w:p>
      <w:pPr>
        <w:adjustRightInd w:val="0"/>
        <w:snapToGrid w:val="0"/>
        <w:spacing w:line="540" w:lineRule="exact"/>
        <w:ind w:firstLine="630" w:firstLineChars="196"/>
        <w:rPr>
          <w:rFonts w:ascii="仿宋_GB2312" w:hAnsi="Times New Roman" w:eastAsia="仿宋_GB2312" w:cs="DengXian-Bold"/>
          <w:b/>
          <w:bCs/>
          <w:sz w:val="32"/>
          <w:szCs w:val="32"/>
        </w:rPr>
      </w:pPr>
      <w:r>
        <w:rPr>
          <w:rFonts w:hint="eastAsia" w:ascii="仿宋_GB2312" w:hAnsi="Times New Roman" w:eastAsia="仿宋_GB2312" w:cs="DengXian-Regular"/>
          <w:b/>
          <w:sz w:val="32"/>
          <w:szCs w:val="32"/>
        </w:rPr>
        <w:t>（二）公务用车购置及运行维护费支出</w:t>
      </w:r>
      <w:r>
        <w:rPr>
          <w:rFonts w:hint="eastAsia" w:ascii="仿宋_GB2312" w:hAnsi="Times New Roman" w:eastAsia="仿宋_GB2312" w:cs="DengXian-Regular"/>
          <w:b/>
          <w:sz w:val="32"/>
          <w:szCs w:val="32"/>
          <w:lang w:val="en-US" w:eastAsia="zh-CN"/>
        </w:rPr>
        <w:t>4.31</w:t>
      </w:r>
      <w:r>
        <w:rPr>
          <w:rFonts w:hint="eastAsia" w:ascii="仿宋_GB2312" w:hAnsi="Times New Roman" w:eastAsia="仿宋_GB2312" w:cs="DengXian-Regular"/>
          <w:b/>
          <w:sz w:val="32"/>
          <w:szCs w:val="32"/>
        </w:rPr>
        <w:t>万元。</w:t>
      </w:r>
      <w:r>
        <w:rPr>
          <w:rFonts w:hint="eastAsia" w:ascii="仿宋_GB2312" w:hAnsi="Times New Roman" w:eastAsia="仿宋_GB2312" w:cs="DengXian-Regular"/>
          <w:sz w:val="32"/>
          <w:szCs w:val="32"/>
        </w:rPr>
        <w:t>2019年度公务用车购置及运行维护费较预算减少</w:t>
      </w:r>
      <w:r>
        <w:rPr>
          <w:rFonts w:hint="eastAsia" w:ascii="仿宋_GB2312" w:hAnsi="Times New Roman" w:eastAsia="仿宋_GB2312" w:cs="DengXian-Regular"/>
          <w:sz w:val="32"/>
          <w:szCs w:val="32"/>
          <w:lang w:val="en-US" w:eastAsia="zh-CN"/>
        </w:rPr>
        <w:t>3.79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46.8</w:t>
      </w:r>
      <w:r>
        <w:rPr>
          <w:rFonts w:hint="eastAsia" w:ascii="仿宋_GB2312" w:hAnsi="Times New Roman" w:eastAsia="仿宋_GB2312" w:cs="DengXian-Regular"/>
          <w:sz w:val="32"/>
          <w:szCs w:val="32"/>
        </w:rPr>
        <w:t>%,</w:t>
      </w:r>
      <w:r>
        <w:rPr>
          <w:rFonts w:hint="eastAsia" w:ascii="仿宋_GB2312" w:hAnsi="仿宋" w:eastAsia="仿宋_GB2312"/>
          <w:sz w:val="32"/>
          <w:szCs w:val="32"/>
        </w:rPr>
        <w:t>主要是加强对公务车辆的管理。规范和控制公务用车修理、用油等行为，最大限度提高单车使用效率</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1.83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29.8</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40" w:lineRule="exact"/>
        <w:ind w:firstLine="797" w:firstLineChars="248"/>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本部门2019年度公务用车购置量0辆，发生“公务用车购置”经费支出0万元。公务用车购置费支出较预算增加0万元，无增减变化；较2018年增加0万元，无增减变化。</w:t>
      </w:r>
    </w:p>
    <w:p>
      <w:pPr>
        <w:adjustRightInd w:val="0"/>
        <w:snapToGrid w:val="0"/>
        <w:spacing w:line="54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b w:val="0"/>
          <w:bCs/>
          <w:sz w:val="32"/>
          <w:szCs w:val="32"/>
          <w:lang w:val="en-US" w:eastAsia="zh-CN"/>
        </w:rPr>
        <w:t>本部门</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3.79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46.8</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；较2018年</w:t>
      </w:r>
      <w:r>
        <w:rPr>
          <w:rFonts w:hint="eastAsia" w:ascii="仿宋_GB2312" w:hAnsi="Times New Roman" w:eastAsia="仿宋_GB2312" w:cs="DengXian-Regular"/>
          <w:sz w:val="32"/>
          <w:szCs w:val="32"/>
          <w:lang w:val="en-US" w:eastAsia="zh-CN"/>
        </w:rPr>
        <w:t>减少1.83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29.8</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p>
    <w:p>
      <w:pPr>
        <w:adjustRightInd w:val="0"/>
        <w:snapToGrid w:val="0"/>
        <w:spacing w:line="540" w:lineRule="exact"/>
        <w:ind w:firstLine="641"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b w:val="0"/>
          <w:bCs/>
          <w:sz w:val="32"/>
          <w:szCs w:val="32"/>
          <w:lang w:val="en-US" w:eastAsia="zh-CN"/>
        </w:rPr>
        <w:t>本部门</w:t>
      </w:r>
      <w:r>
        <w:rPr>
          <w:rFonts w:hint="eastAsia" w:ascii="仿宋_GB2312" w:hAnsi="Times New Roman" w:eastAsia="仿宋_GB2312" w:cs="DengXian-Regular"/>
          <w:sz w:val="32"/>
          <w:szCs w:val="32"/>
        </w:rPr>
        <w:t>2019年度公务接待共0批次、0人次。公务接待费支出较年初预算无增减变化，较2018年度无增减变化。</w:t>
      </w:r>
    </w:p>
    <w:p>
      <w:pPr>
        <w:adjustRightInd w:val="0"/>
        <w:snapToGrid w:val="0"/>
        <w:spacing w:line="54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4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00" w:lineRule="exact"/>
        <w:ind w:firstLine="640"/>
        <w:rPr>
          <w:rFonts w:hint="eastAsia" w:ascii="仿宋" w:hAnsi="仿宋" w:eastAsia="仿宋" w:cs="仿宋"/>
          <w:sz w:val="32"/>
          <w:szCs w:val="32"/>
        </w:rPr>
      </w:pPr>
      <w:r>
        <w:rPr>
          <w:rFonts w:hint="eastAsia" w:ascii="仿宋" w:hAnsi="仿宋" w:eastAsia="仿宋" w:cs="仿宋"/>
          <w:sz w:val="32"/>
          <w:szCs w:val="32"/>
        </w:rPr>
        <w:t>（一）绩效管理工作开展情况，根据《关于开展2018年度财政专项资金部门绩效自评价工作的通知》（石财绩[2019]1号），</w:t>
      </w:r>
      <w:r>
        <w:rPr>
          <w:rFonts w:hint="eastAsia" w:ascii="仿宋" w:hAnsi="仿宋" w:eastAsia="仿宋" w:cs="仿宋"/>
          <w:sz w:val="32"/>
          <w:szCs w:val="32"/>
          <w:lang w:eastAsia="zh-CN"/>
        </w:rPr>
        <w:t>大河</w:t>
      </w:r>
      <w:r>
        <w:rPr>
          <w:rFonts w:hint="eastAsia" w:ascii="仿宋" w:hAnsi="仿宋" w:eastAsia="仿宋" w:cs="仿宋"/>
          <w:sz w:val="32"/>
          <w:szCs w:val="32"/>
        </w:rPr>
        <w:t>镇认真开展了预算绩效管理改革开展情况自查，对部门全面规范绩效预算编制、严格预算执行管理、推进绩效评价工作、推进预决算信息公开等方面进行了自评，考核结果为优秀/良好/一般。</w:t>
      </w:r>
    </w:p>
    <w:p>
      <w:pPr>
        <w:widowControl/>
        <w:shd w:val="clear" w:color="000000" w:fill="FFFFFF"/>
        <w:spacing w:line="500" w:lineRule="exact"/>
        <w:ind w:firstLine="640"/>
        <w:jc w:val="left"/>
        <w:rPr>
          <w:rFonts w:hint="eastAsia" w:ascii="仿宋" w:hAnsi="仿宋" w:eastAsia="仿宋" w:cs="仿宋"/>
          <w:color w:val="000000"/>
          <w:sz w:val="32"/>
          <w:szCs w:val="32"/>
        </w:rPr>
      </w:pPr>
      <w:r>
        <w:rPr>
          <w:rFonts w:hint="eastAsia" w:ascii="仿宋" w:hAnsi="仿宋" w:eastAsia="仿宋" w:cs="仿宋"/>
          <w:sz w:val="32"/>
          <w:szCs w:val="32"/>
        </w:rPr>
        <w:t>（二）预算项目绩效评价开展情况，根据预算绩效管理要求，</w:t>
      </w:r>
      <w:r>
        <w:rPr>
          <w:rFonts w:hint="eastAsia" w:ascii="仿宋" w:hAnsi="仿宋" w:eastAsia="仿宋" w:cs="仿宋"/>
          <w:sz w:val="32"/>
          <w:szCs w:val="32"/>
          <w:lang w:eastAsia="zh-CN"/>
        </w:rPr>
        <w:t>201</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年大河镇绩效预算指标分优（ 95%）、良（90%）、中（ 85%）、差（ 80%）四个档次。一年来，在镇党委、政府的领导下，各部门通力协作，按着各自绩效活动目标，努力工作，年度考核，工作完成率均达到90%以上。</w:t>
      </w:r>
    </w:p>
    <w:p>
      <w:pPr>
        <w:adjustRightInd w:val="0"/>
        <w:snapToGrid w:val="0"/>
        <w:spacing w:line="540" w:lineRule="exact"/>
        <w:ind w:firstLine="643" w:firstLineChars="200"/>
        <w:rPr>
          <w:rFonts w:hint="eastAsia" w:ascii="仿宋_GB2312" w:hAnsi="仿宋_GB2312" w:eastAsia="仿宋_GB2312" w:cs="仿宋_GB2312"/>
          <w:b/>
          <w:bCs/>
          <w:sz w:val="32"/>
          <w:szCs w:val="32"/>
        </w:rPr>
      </w:pPr>
    </w:p>
    <w:p>
      <w:pPr>
        <w:adjustRightInd w:val="0"/>
        <w:snapToGrid w:val="0"/>
        <w:spacing w:line="54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（一）大河</w:t>
      </w:r>
      <w:r>
        <w:rPr>
          <w:rFonts w:hint="eastAsia" w:ascii="仿宋_GB2312" w:hAnsi="仿宋_GB2312" w:eastAsia="仿宋_GB2312" w:cs="仿宋_GB2312"/>
          <w:sz w:val="32"/>
          <w:szCs w:val="32"/>
        </w:rPr>
        <w:t>镇在2019年部门决算公开中反映对</w:t>
      </w:r>
      <w:r>
        <w:rPr>
          <w:rFonts w:hint="eastAsia" w:ascii="仿宋_GB2312" w:hAnsi="仿宋_GB2312" w:eastAsia="仿宋_GB2312" w:cs="仿宋_GB2312"/>
          <w:sz w:val="32"/>
          <w:szCs w:val="32"/>
          <w:lang w:val="en-US" w:eastAsia="zh-CN"/>
        </w:rPr>
        <w:t>大河镇创卫工程</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大河路路灯工程</w:t>
      </w:r>
      <w:r>
        <w:rPr>
          <w:rFonts w:hint="eastAsia" w:ascii="仿宋_GB2312" w:hAnsi="仿宋_GB2312" w:eastAsia="仿宋_GB2312" w:cs="仿宋_GB2312"/>
          <w:sz w:val="32"/>
          <w:szCs w:val="32"/>
        </w:rPr>
        <w:t>等项目开展了部门评价项目绩效自评结果。</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）项目绩效自评综述：</w:t>
      </w:r>
      <w:r>
        <w:rPr>
          <w:rFonts w:hint="eastAsia" w:ascii="仿宋_GB2312" w:eastAsia="仿宋_GB2312"/>
          <w:sz w:val="32"/>
          <w:szCs w:val="32"/>
        </w:rPr>
        <w:t>根据项目执行情况和项目绩效情况，项目的经济效益、社会效益、生态效益好、可持续影响明显，社会公众满意度高，经分析项目综合绩效评价分为90分，良好</w:t>
      </w:r>
      <w:r>
        <w:rPr>
          <w:rFonts w:hint="eastAsia" w:ascii="仿宋_GB2312" w:hAnsi="仿宋_GB2312" w:eastAsia="仿宋_GB2312" w:cs="仿宋_GB2312"/>
          <w:sz w:val="32"/>
          <w:szCs w:val="32"/>
        </w:rPr>
        <w:t>。</w:t>
      </w:r>
    </w:p>
    <w:p>
      <w:pPr>
        <w:spacing w:line="540" w:lineRule="exact"/>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3.财政评价项目绩效评价结果</w:t>
      </w:r>
      <w:r>
        <w:rPr>
          <w:rFonts w:hint="eastAsia" w:ascii="仿宋_GB2312" w:hAnsi="仿宋_GB2312" w:eastAsia="仿宋_GB2312" w:cs="仿宋_GB2312"/>
          <w:b/>
          <w:bCs/>
          <w:sz w:val="32"/>
          <w:szCs w:val="32"/>
          <w:lang w:eastAsia="zh-CN"/>
        </w:rPr>
        <w:t>。</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项目管理制度健全、资金使用合规、财务监控有效，经分析项目实施过程分值为 90分。</w:t>
      </w:r>
    </w:p>
    <w:p>
      <w:pPr>
        <w:keepNext/>
        <w:keepLines/>
        <w:snapToGrid w:val="0"/>
        <w:spacing w:line="54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40" w:lineRule="exact"/>
        <w:ind w:firstLine="641"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4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本部门</w:t>
      </w:r>
      <w:r>
        <w:rPr>
          <w:rFonts w:hint="eastAsia" w:ascii="仿宋_GB2312" w:hAnsi="Times New Roman" w:eastAsia="仿宋_GB2312" w:cs="DengXian-Regular"/>
          <w:sz w:val="32"/>
          <w:szCs w:val="32"/>
        </w:rPr>
        <w:t>2019年度机关运行经费支出</w:t>
      </w:r>
      <w:r>
        <w:rPr>
          <w:rFonts w:hint="eastAsia" w:ascii="仿宋_GB2312" w:hAnsi="Times New Roman" w:eastAsia="仿宋_GB2312" w:cs="DengXian-Regular"/>
          <w:sz w:val="32"/>
          <w:szCs w:val="32"/>
          <w:lang w:val="en-US" w:eastAsia="zh-CN"/>
        </w:rPr>
        <w:t>436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134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44.4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机关综合执法人员劳务</w:t>
      </w:r>
      <w:r>
        <w:rPr>
          <w:rFonts w:hint="eastAsia" w:ascii="仿宋_GB2312" w:hAnsi="Times New Roman" w:eastAsia="仿宋_GB2312" w:cs="DengXian-Regular"/>
          <w:sz w:val="32"/>
          <w:szCs w:val="32"/>
        </w:rPr>
        <w:t>费用的增加。</w:t>
      </w:r>
    </w:p>
    <w:p>
      <w:pPr>
        <w:keepNext/>
        <w:keepLines/>
        <w:snapToGrid w:val="0"/>
        <w:spacing w:line="540" w:lineRule="exact"/>
        <w:ind w:firstLine="641"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line="580" w:lineRule="exact"/>
        <w:ind w:firstLine="640"/>
        <w:jc w:val="left"/>
        <w:rPr>
          <w:rFonts w:ascii="仿宋_GB2312" w:eastAsia="仿宋_GB2312" w:cs="DengXian-Regular"/>
          <w:color w:val="auto"/>
          <w:sz w:val="32"/>
          <w:szCs w:val="32"/>
        </w:rPr>
      </w:pPr>
      <w:r>
        <w:rPr>
          <w:rFonts w:hint="eastAsia" w:ascii="仿宋_GB2312" w:hAnsi="仿宋_GB2312" w:eastAsia="仿宋_GB2312" w:cs="仿宋_GB2312"/>
          <w:color w:val="auto"/>
          <w:kern w:val="0"/>
          <w:sz w:val="32"/>
          <w:szCs w:val="32"/>
          <w:lang w:val="en-US" w:eastAsia="zh-CN"/>
        </w:rPr>
        <w:t>本部门</w:t>
      </w:r>
      <w:r>
        <w:rPr>
          <w:rFonts w:hint="eastAsia" w:ascii="仿宋_GB2312" w:hAnsi="仿宋_GB2312" w:eastAsia="仿宋_GB2312" w:cs="仿宋_GB2312"/>
          <w:color w:val="auto"/>
          <w:kern w:val="0"/>
          <w:sz w:val="32"/>
          <w:szCs w:val="32"/>
        </w:rPr>
        <w:t>20</w:t>
      </w:r>
      <w:r>
        <w:rPr>
          <w:rFonts w:hint="eastAsia" w:ascii="仿宋_GB2312" w:eastAsia="仿宋_GB2312" w:cs="DengXian-Regular"/>
          <w:color w:val="auto"/>
          <w:sz w:val="32"/>
          <w:szCs w:val="32"/>
        </w:rPr>
        <w:t>1</w:t>
      </w:r>
      <w:r>
        <w:rPr>
          <w:rFonts w:hint="eastAsia" w:ascii="仿宋_GB2312" w:eastAsia="仿宋_GB2312" w:cs="DengXian-Regular"/>
          <w:color w:val="auto"/>
          <w:sz w:val="32"/>
          <w:szCs w:val="32"/>
          <w:lang w:val="en-US" w:eastAsia="zh-CN"/>
        </w:rPr>
        <w:t>9</w:t>
      </w:r>
      <w:r>
        <w:rPr>
          <w:rFonts w:hint="eastAsia" w:ascii="仿宋_GB2312" w:eastAsia="仿宋_GB2312" w:cs="DengXian-Regular"/>
          <w:color w:val="auto"/>
          <w:sz w:val="32"/>
          <w:szCs w:val="32"/>
        </w:rPr>
        <w:t>年度政府采购支出总额</w:t>
      </w:r>
      <w:r>
        <w:rPr>
          <w:rFonts w:hint="eastAsia" w:ascii="仿宋_GB2312" w:eastAsia="仿宋_GB2312" w:cs="DengXian-Regular"/>
          <w:color w:val="auto"/>
          <w:sz w:val="32"/>
          <w:szCs w:val="32"/>
          <w:lang w:val="en-US" w:eastAsia="zh-CN"/>
        </w:rPr>
        <w:t>0</w:t>
      </w:r>
      <w:r>
        <w:rPr>
          <w:rFonts w:hint="eastAsia" w:ascii="仿宋_GB2312" w:eastAsia="仿宋_GB2312" w:cs="DengXian-Regular"/>
          <w:color w:val="auto"/>
          <w:sz w:val="32"/>
          <w:szCs w:val="32"/>
        </w:rPr>
        <w:t>万元，从采购类型来看，</w:t>
      </w:r>
      <w:r>
        <w:rPr>
          <w:rFonts w:ascii="仿宋_GB2312" w:hAnsi="仿宋_GB2312" w:eastAsia="仿宋_GB2312" w:cs="仿宋_GB2312"/>
          <w:color w:val="auto"/>
          <w:kern w:val="0"/>
          <w:sz w:val="32"/>
          <w:szCs w:val="32"/>
        </w:rPr>
        <w:t>政府采购工程支出</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万元。授予中小企业合同金</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万元，占政府采购支出总额的</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w:t>
      </w:r>
      <w:r>
        <w:rPr>
          <w:rFonts w:ascii="仿宋_GB2312" w:hAnsi="仿宋_GB2312" w:eastAsia="仿宋_GB2312" w:cs="仿宋_GB2312"/>
          <w:color w:val="auto"/>
          <w:kern w:val="0"/>
          <w:sz w:val="32"/>
          <w:szCs w:val="32"/>
        </w:rPr>
        <w:t>。</w:t>
      </w:r>
    </w:p>
    <w:p>
      <w:pPr>
        <w:keepNext/>
        <w:keepLines/>
        <w:snapToGrid w:val="0"/>
        <w:spacing w:line="540" w:lineRule="exact"/>
        <w:ind w:firstLine="641"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本部门共有车辆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辆，比2018年增加0辆，无增减变化；单位价值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万元以上通用设备1台，比2018年增加1台，主要是鹿泉区综合执法大队调拨的大型清扫车一辆价值</w:t>
      </w:r>
      <w:r>
        <w:rPr>
          <w:rFonts w:hint="eastAsia" w:ascii="仿宋_GB2312" w:hAnsi="Times New Roman" w:eastAsia="仿宋_GB2312" w:cs="DengXian-Regular"/>
          <w:sz w:val="32"/>
          <w:szCs w:val="32"/>
          <w:lang w:val="en-US" w:eastAsia="zh-CN"/>
        </w:rPr>
        <w:t>72.5</w:t>
      </w:r>
      <w:r>
        <w:rPr>
          <w:rFonts w:hint="eastAsia" w:ascii="仿宋_GB2312" w:hAnsi="Times New Roman" w:eastAsia="仿宋_GB2312" w:cs="DengXian-Regular"/>
          <w:sz w:val="32"/>
          <w:szCs w:val="32"/>
        </w:rPr>
        <w:t>万元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万元以上专用设备0台比2018年无增减变化。</w:t>
      </w:r>
    </w:p>
    <w:p>
      <w:pPr>
        <w:keepNext/>
        <w:keepLines/>
        <w:snapToGrid w:val="0"/>
        <w:spacing w:line="540" w:lineRule="exact"/>
        <w:ind w:firstLine="641"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4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1. 2019年</w:t>
      </w:r>
      <w:r>
        <w:rPr>
          <w:rFonts w:hint="eastAsia" w:ascii="仿宋" w:hAnsi="仿宋" w:eastAsia="仿宋" w:cs="仿宋"/>
          <w:sz w:val="32"/>
          <w:szCs w:val="32"/>
          <w:lang w:val="en-US" w:eastAsia="zh-CN"/>
        </w:rPr>
        <w:t>大河</w:t>
      </w:r>
      <w:r>
        <w:rPr>
          <w:rFonts w:hint="eastAsia" w:ascii="仿宋" w:hAnsi="仿宋" w:eastAsia="仿宋" w:cs="仿宋"/>
          <w:sz w:val="32"/>
          <w:szCs w:val="32"/>
        </w:rPr>
        <w:t>镇没有国有资产经营预算财政拨款收入支出情况，故以空表列示。</w:t>
      </w:r>
    </w:p>
    <w:p>
      <w:pPr>
        <w:adjustRightInd w:val="0"/>
        <w:snapToGrid w:val="0"/>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 由于决算公开表格中金额数值应当保留两位小数，公开数据为四舍五入计算结果，个别数据合计项与分项之和存在小数点后差额，特此说明。</w:t>
      </w:r>
    </w:p>
    <w:p>
      <w:pPr>
        <w:widowControl/>
        <w:spacing w:line="540" w:lineRule="exact"/>
        <w:ind w:firstLine="643" w:firstLineChars="200"/>
        <w:jc w:val="left"/>
        <w:rPr>
          <w:rFonts w:hint="eastAsia" w:ascii="仿宋" w:hAnsi="仿宋" w:eastAsia="仿宋" w:cs="仿宋"/>
          <w:b/>
          <w:bCs/>
          <w:kern w:val="0"/>
          <w:sz w:val="32"/>
          <w:szCs w:val="32"/>
        </w:rPr>
        <w:sectPr>
          <w:type w:val="continuous"/>
          <w:pgSz w:w="11906" w:h="16838"/>
          <w:pgMar w:top="2098" w:right="1474" w:bottom="1984" w:left="1588" w:header="851" w:footer="992" w:gutter="0"/>
          <w:pgNumType w:fmt="numberInDash"/>
          <w:cols w:space="0" w:num="1"/>
          <w:docGrid w:type="lines" w:linePitch="312" w:charSpace="0"/>
        </w:sectPr>
      </w:pPr>
    </w:p>
    <w:p>
      <w:pPr>
        <w:spacing w:line="540" w:lineRule="exact"/>
        <w:jc w:val="center"/>
        <w:rPr>
          <w:rFonts w:ascii="黑体" w:hAnsi="黑体" w:eastAsia="黑体" w:cs="黑体"/>
          <w:sz w:val="56"/>
          <w:szCs w:val="72"/>
        </w:rPr>
      </w:pPr>
    </w:p>
    <w:p>
      <w:pPr>
        <w:spacing w:line="540" w:lineRule="exact"/>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spacing w:line="540" w:lineRule="exact"/>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9408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o:title="image2" focussize="0,0" r:id="rId25"/>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510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o:title="image2" focussize="0,0" r:id="rId25"/>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7"/>
        <w:tblpPr w:leftFromText="180" w:rightFromText="180" w:vertAnchor="text" w:horzAnchor="page" w:tblpX="965" w:tblpY="243"/>
        <w:tblOverlap w:val="never"/>
        <w:tblW w:w="10090" w:type="dxa"/>
        <w:tblInd w:w="0" w:type="dxa"/>
        <w:shd w:val="clear" w:color="auto" w:fill="auto"/>
        <w:tblLayout w:type="fixed"/>
        <w:tblCellMar>
          <w:top w:w="0" w:type="dxa"/>
          <w:left w:w="0" w:type="dxa"/>
          <w:bottom w:w="0" w:type="dxa"/>
          <w:right w:w="0" w:type="dxa"/>
        </w:tblCellMar>
      </w:tblPr>
      <w:tblGrid>
        <w:gridCol w:w="3450"/>
        <w:gridCol w:w="430"/>
        <w:gridCol w:w="1010"/>
        <w:gridCol w:w="3320"/>
        <w:gridCol w:w="460"/>
        <w:gridCol w:w="1420"/>
      </w:tblGrid>
      <w:tr>
        <w:trPr>
          <w:trHeight w:val="572" w:hRule="atLeast"/>
        </w:trPr>
        <w:tc>
          <w:tcPr>
            <w:tcW w:w="8210" w:type="dxa"/>
            <w:gridSpan w:val="4"/>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收入支出决算总表</w:t>
            </w:r>
          </w:p>
        </w:tc>
        <w:tc>
          <w:tcPr>
            <w:tcW w:w="4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r>
      <w:tr>
        <w:tblPrEx>
          <w:shd w:val="clear" w:color="auto" w:fill="auto"/>
        </w:tblPrEx>
        <w:trPr>
          <w:trHeight w:val="282" w:hRule="atLeast"/>
        </w:trPr>
        <w:tc>
          <w:tcPr>
            <w:tcW w:w="345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4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3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4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20" w:type="dxa"/>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rPr>
          <w:trHeight w:val="327" w:hRule="atLeast"/>
        </w:trPr>
        <w:tc>
          <w:tcPr>
            <w:tcW w:w="3450" w:type="dxa"/>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4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3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4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20" w:type="dxa"/>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rPr>
          <w:trHeight w:val="250" w:hRule="atLeast"/>
        </w:trPr>
        <w:tc>
          <w:tcPr>
            <w:tcW w:w="4890"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5200" w:type="dxa"/>
            <w:gridSpan w:val="3"/>
            <w:tcBorders>
              <w:top w:val="single" w:color="000000" w:sz="4" w:space="0"/>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rPr>
          <w:trHeight w:val="404"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0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rPr>
          <w:trHeight w:val="232"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4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rPr>
          <w:trHeight w:val="35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14,897.00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1,514.95</w:t>
            </w:r>
          </w:p>
        </w:tc>
      </w:tr>
      <w:tr>
        <w:trPr>
          <w:trHeight w:val="31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r>
      <w:tr>
        <w:trPr>
          <w:trHeight w:val="35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40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151.16</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154.53</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716.51</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2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3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2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15,063.16</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12,600.71</w:t>
            </w:r>
          </w:p>
        </w:tc>
      </w:tr>
      <w:tr>
        <w:trPr>
          <w:trHeight w:val="36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28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2,462.45</w:t>
            </w:r>
          </w:p>
        </w:tc>
      </w:tr>
      <w:tr>
        <w:trPr>
          <w:trHeight w:val="230"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r>
      <w:tr>
        <w:trPr>
          <w:trHeight w:val="487" w:hRule="atLeast"/>
        </w:trPr>
        <w:tc>
          <w:tcPr>
            <w:tcW w:w="345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15,063.16</w:t>
            </w:r>
          </w:p>
        </w:tc>
        <w:tc>
          <w:tcPr>
            <w:tcW w:w="3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4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15,063.16</w:t>
            </w:r>
          </w:p>
        </w:tc>
      </w:tr>
      <w:tr>
        <w:trPr>
          <w:trHeight w:val="360" w:hRule="atLeast"/>
        </w:trPr>
        <w:tc>
          <w:tcPr>
            <w:tcW w:w="10090" w:type="dxa"/>
            <w:gridSpan w:val="6"/>
            <w:tcBorders>
              <w:top w:val="nil"/>
              <w:left w:val="nil"/>
              <w:bottom w:val="nil"/>
              <w:right w:val="nil"/>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tbl>
      <w:tblPr>
        <w:tblStyle w:val="7"/>
        <w:tblW w:w="9092" w:type="dxa"/>
        <w:tblInd w:w="0" w:type="dxa"/>
        <w:shd w:val="clear" w:color="auto" w:fill="auto"/>
        <w:tblLayout w:type="fixed"/>
        <w:tblCellMar>
          <w:top w:w="0" w:type="dxa"/>
          <w:left w:w="0" w:type="dxa"/>
          <w:bottom w:w="0" w:type="dxa"/>
          <w:right w:w="0" w:type="dxa"/>
        </w:tblCellMar>
      </w:tblPr>
      <w:tblGrid>
        <w:gridCol w:w="1369"/>
        <w:gridCol w:w="149"/>
        <w:gridCol w:w="149"/>
        <w:gridCol w:w="3382"/>
        <w:gridCol w:w="1878"/>
        <w:gridCol w:w="1260"/>
        <w:gridCol w:w="905"/>
      </w:tblGrid>
      <w:tr>
        <w:trPr>
          <w:trHeight w:val="624" w:hRule="atLeast"/>
        </w:trPr>
        <w:tc>
          <w:tcPr>
            <w:tcW w:w="1369" w:type="dxa"/>
            <w:tcBorders>
              <w:top w:val="nil"/>
              <w:left w:val="nil"/>
              <w:bottom w:val="nil"/>
              <w:right w:val="nil"/>
            </w:tcBorders>
            <w:shd w:val="clear" w:color="auto" w:fill="auto"/>
            <w:noWrap/>
            <w:tcMar>
              <w:top w:w="10" w:type="dxa"/>
              <w:left w:w="10" w:type="dxa"/>
              <w:right w:w="10" w:type="dxa"/>
            </w:tcMar>
            <w:vAlign w:val="bottom"/>
          </w:tcPr>
          <w:p>
            <w:pPr>
              <w:rPr>
                <w:rFonts w:hint="eastAsia" w:ascii="Arial" w:hAnsi="Arial" w:cs="Arial"/>
                <w:i w:val="0"/>
                <w:color w:val="000000"/>
                <w:sz w:val="20"/>
                <w:szCs w:val="20"/>
                <w:u w:val="none"/>
              </w:rPr>
            </w:pPr>
          </w:p>
        </w:tc>
        <w:tc>
          <w:tcPr>
            <w:tcW w:w="14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425" w:type="dxa"/>
            <w:gridSpan w:val="4"/>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ind w:firstLine="961" w:firstLineChars="300"/>
              <w:jc w:val="both"/>
              <w:textAlignment w:val="bottom"/>
              <w:rPr>
                <w:rFonts w:hint="eastAsia" w:ascii="宋体" w:hAnsi="宋体" w:eastAsia="宋体" w:cs="宋体"/>
                <w:i w:val="0"/>
                <w:color w:val="000000"/>
                <w:sz w:val="30"/>
                <w:szCs w:val="30"/>
                <w:u w:val="none"/>
              </w:rPr>
            </w:pPr>
            <w:r>
              <w:rPr>
                <w:rFonts w:hint="eastAsia" w:ascii="宋体" w:hAnsi="宋体" w:eastAsia="宋体" w:cs="宋体"/>
                <w:b/>
                <w:bCs/>
                <w:i w:val="0"/>
                <w:color w:val="000000"/>
                <w:kern w:val="0"/>
                <w:sz w:val="32"/>
                <w:szCs w:val="32"/>
                <w:u w:val="none"/>
                <w:lang w:val="en-US" w:eastAsia="zh-CN" w:bidi="ar"/>
              </w:rPr>
              <w:t>收入决算表</w:t>
            </w:r>
          </w:p>
        </w:tc>
      </w:tr>
      <w:tr>
        <w:tblPrEx>
          <w:shd w:val="clear" w:color="auto" w:fill="auto"/>
        </w:tblPrEx>
        <w:trPr>
          <w:trHeight w:val="192" w:hRule="atLeast"/>
        </w:trPr>
        <w:tc>
          <w:tcPr>
            <w:tcW w:w="136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382"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878"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165"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rPr>
          <w:trHeight w:val="374" w:hRule="atLeast"/>
        </w:trPr>
        <w:tc>
          <w:tcPr>
            <w:tcW w:w="5049" w:type="dxa"/>
            <w:gridSpan w:val="4"/>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1878"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165"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rPr>
          <w:trHeight w:val="308" w:hRule="atLeast"/>
        </w:trPr>
        <w:tc>
          <w:tcPr>
            <w:tcW w:w="5049"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878"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26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905"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rPr>
          <w:trHeight w:val="308" w:hRule="atLeast"/>
        </w:trPr>
        <w:tc>
          <w:tcPr>
            <w:tcW w:w="1667" w:type="dxa"/>
            <w:gridSpan w:val="3"/>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382" w:type="dxa"/>
            <w:vMerge w:val="restart"/>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878"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0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rPr>
          <w:trHeight w:val="308" w:hRule="atLeast"/>
        </w:trPr>
        <w:tc>
          <w:tcPr>
            <w:tcW w:w="166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382"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878"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0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rPr>
          <w:trHeight w:val="308" w:hRule="atLeast"/>
        </w:trPr>
        <w:tc>
          <w:tcPr>
            <w:tcW w:w="166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382"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878"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0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rPr>
          <w:trHeight w:val="308" w:hRule="atLeast"/>
        </w:trPr>
        <w:tc>
          <w:tcPr>
            <w:tcW w:w="5049"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878"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05"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rPr>
          <w:trHeight w:val="308" w:hRule="atLeast"/>
        </w:trPr>
        <w:tc>
          <w:tcPr>
            <w:tcW w:w="5049"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15,063.16</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14,912.00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151.16</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2,721.11</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2,721.11</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2,719.11</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2,719.11</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2,647.84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2,647.84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2010308</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信访事务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71.26</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71.26</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其他公共安全支出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其他公共安全支出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499.42</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423.27</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76.16</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499.42</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423.27</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76.16</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499.42</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423.27</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76.16</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基层医疗卫生机构</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乡镇卫生院</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2100799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其他计划生育事务支出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249.60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179.60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129.60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129.60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129.60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129.60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10,006.68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10,006.68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9,926.35</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9,926.35</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9,926.35</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9,926.35</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1,471.45</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1,466.45</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232.23</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227.23</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2130152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林业和草原</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2130299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其他林业和草原支出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765.14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765.14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765.14</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765.14</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资源勘探信息等支出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工业和信息产业监管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2150599</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其他工业和信息产业监管支出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森林消防事务</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166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2240304</w:t>
            </w:r>
          </w:p>
        </w:tc>
        <w:tc>
          <w:tcPr>
            <w:tcW w:w="3382"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87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90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9092" w:type="dxa"/>
            <w:gridSpan w:val="7"/>
            <w:tcBorders>
              <w:top w:val="nil"/>
              <w:left w:val="nil"/>
              <w:bottom w:val="nil"/>
              <w:right w:val="nil"/>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tabs>
          <w:tab w:val="left" w:pos="886"/>
        </w:tabs>
        <w:jc w:val="left"/>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p>
      <w:pPr>
        <w:rPr>
          <w:rFonts w:hint="eastAsia" w:ascii="仿宋" w:hAnsi="仿宋" w:eastAsia="仿宋"/>
        </w:rPr>
      </w:pPr>
    </w:p>
    <w:tbl>
      <w:tblPr>
        <w:tblStyle w:val="7"/>
        <w:tblW w:w="9092" w:type="dxa"/>
        <w:tblInd w:w="0" w:type="dxa"/>
        <w:shd w:val="clear" w:color="auto" w:fill="auto"/>
        <w:tblLayout w:type="fixed"/>
        <w:tblCellMar>
          <w:top w:w="0" w:type="dxa"/>
          <w:left w:w="0" w:type="dxa"/>
          <w:bottom w:w="0" w:type="dxa"/>
          <w:right w:w="0" w:type="dxa"/>
        </w:tblCellMar>
      </w:tblPr>
      <w:tblGrid>
        <w:gridCol w:w="240"/>
        <w:gridCol w:w="240"/>
        <w:gridCol w:w="807"/>
        <w:gridCol w:w="3770"/>
        <w:gridCol w:w="1380"/>
        <w:gridCol w:w="1200"/>
        <w:gridCol w:w="1455"/>
      </w:tblGrid>
      <w:tr>
        <w:tblPrEx>
          <w:shd w:val="clear" w:color="auto" w:fill="auto"/>
        </w:tblPrEx>
        <w:trPr>
          <w:trHeight w:val="370" w:hRule="atLeast"/>
        </w:trPr>
        <w:tc>
          <w:tcPr>
            <w:tcW w:w="9092" w:type="dxa"/>
            <w:gridSpan w:val="7"/>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支出决算表</w:t>
            </w:r>
          </w:p>
        </w:tc>
      </w:tr>
      <w:tr>
        <w:tblPrEx>
          <w:shd w:val="clear" w:color="auto" w:fill="auto"/>
        </w:tblPrEx>
        <w:trPr>
          <w:trHeight w:val="260" w:hRule="atLeast"/>
        </w:trPr>
        <w:tc>
          <w:tcPr>
            <w:tcW w:w="2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07"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77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38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655"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shd w:val="clear" w:color="auto" w:fill="auto"/>
        </w:tblPrEx>
        <w:trPr>
          <w:trHeight w:val="260" w:hRule="atLeast"/>
        </w:trPr>
        <w:tc>
          <w:tcPr>
            <w:tcW w:w="5057" w:type="dxa"/>
            <w:gridSpan w:val="4"/>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138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655"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PrEx>
        <w:trPr>
          <w:trHeight w:val="308" w:hRule="atLeast"/>
        </w:trPr>
        <w:tc>
          <w:tcPr>
            <w:tcW w:w="5057"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38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20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55"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PrEx>
        <w:trPr>
          <w:trHeight w:val="308" w:hRule="atLeast"/>
        </w:trPr>
        <w:tc>
          <w:tcPr>
            <w:tcW w:w="1287" w:type="dxa"/>
            <w:gridSpan w:val="3"/>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70" w:type="dxa"/>
            <w:vMerge w:val="restart"/>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8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28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12" w:hRule="atLeast"/>
        </w:trPr>
        <w:tc>
          <w:tcPr>
            <w:tcW w:w="128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5057"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38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55"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shd w:val="clear" w:color="auto" w:fill="auto"/>
        </w:tblPrEx>
        <w:trPr>
          <w:trHeight w:val="308" w:hRule="atLeast"/>
        </w:trPr>
        <w:tc>
          <w:tcPr>
            <w:tcW w:w="5057"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12,600.71</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1,473.63</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11,127.08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1,514.95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41.32</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1,512.95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2010308</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信访事务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其他公共安全支出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其他公共安全支出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235.25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基层医疗卫生机构</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乡镇卫生院</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2100799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其他计划生育事务支出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154.53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154.53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716.51</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716.51</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232.23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232.23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2130152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林业和草原</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2130299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其他林业和草原支出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资源勘探信息等支出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工业和信息产业监管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2150599</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其他工业和信息产业监管支出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森林消防事务</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12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2240304</w:t>
            </w:r>
          </w:p>
        </w:tc>
        <w:tc>
          <w:tcPr>
            <w:tcW w:w="37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3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2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9092" w:type="dxa"/>
            <w:gridSpan w:val="7"/>
            <w:tcBorders>
              <w:top w:val="nil"/>
              <w:left w:val="nil"/>
              <w:bottom w:val="nil"/>
              <w:right w:val="nil"/>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rPr>
          <w:rFonts w:hint="eastAsia" w:ascii="仿宋" w:hAnsi="仿宋" w:eastAsia="仿宋"/>
        </w:rPr>
      </w:pPr>
    </w:p>
    <w:p>
      <w:pPr>
        <w:rPr>
          <w:rFonts w:hint="eastAsia"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bl>
      <w:tblPr>
        <w:tblStyle w:val="7"/>
        <w:tblW w:w="9907" w:type="dxa"/>
        <w:tblInd w:w="0" w:type="dxa"/>
        <w:shd w:val="clear" w:color="auto" w:fill="auto"/>
        <w:tblLayout w:type="fixed"/>
        <w:tblCellMar>
          <w:top w:w="0" w:type="dxa"/>
          <w:left w:w="0" w:type="dxa"/>
          <w:bottom w:w="0" w:type="dxa"/>
          <w:right w:w="0" w:type="dxa"/>
        </w:tblCellMar>
      </w:tblPr>
      <w:tblGrid>
        <w:gridCol w:w="2007"/>
        <w:gridCol w:w="350"/>
        <w:gridCol w:w="1320"/>
        <w:gridCol w:w="1970"/>
        <w:gridCol w:w="620"/>
        <w:gridCol w:w="1040"/>
        <w:gridCol w:w="1170"/>
        <w:gridCol w:w="1430"/>
      </w:tblGrid>
      <w:tr>
        <w:trPr>
          <w:trHeight w:val="370" w:hRule="atLeast"/>
        </w:trPr>
        <w:tc>
          <w:tcPr>
            <w:tcW w:w="9907" w:type="dxa"/>
            <w:gridSpan w:val="8"/>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财政拨款收入支出决算总表</w:t>
            </w:r>
          </w:p>
        </w:tc>
      </w:tr>
      <w:tr>
        <w:trPr>
          <w:trHeight w:val="260" w:hRule="atLeast"/>
        </w:trPr>
        <w:tc>
          <w:tcPr>
            <w:tcW w:w="2007"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5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3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97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6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600"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rPr>
          <w:trHeight w:val="260" w:hRule="atLeast"/>
        </w:trPr>
        <w:tc>
          <w:tcPr>
            <w:tcW w:w="3677" w:type="dxa"/>
            <w:gridSpan w:val="3"/>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197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62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600"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rPr>
          <w:trHeight w:val="308" w:hRule="atLeast"/>
        </w:trPr>
        <w:tc>
          <w:tcPr>
            <w:tcW w:w="3677"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6230" w:type="dxa"/>
            <w:gridSpan w:val="5"/>
            <w:tcBorders>
              <w:top w:val="single" w:color="000000" w:sz="4" w:space="0"/>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rPr>
          <w:trHeight w:val="292" w:hRule="atLeast"/>
        </w:trPr>
        <w:tc>
          <w:tcPr>
            <w:tcW w:w="2007" w:type="dxa"/>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5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32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197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2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040" w:type="dxa"/>
            <w:vMerge w:val="restart"/>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7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43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rPr>
          <w:trHeight w:val="312" w:hRule="atLeast"/>
        </w:trPr>
        <w:tc>
          <w:tcPr>
            <w:tcW w:w="2007" w:type="dxa"/>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5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97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62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40"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17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43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rPr>
          <w:trHeight w:val="252"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3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14,897.00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1,514.95</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1,514.95</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84.53</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84.53</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711.51</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711.51</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14,912.00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12,449.55</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12,449.55</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2,462.45</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2,447.45</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rPr>
          <w:trHeight w:val="308" w:hRule="atLeast"/>
        </w:trPr>
        <w:tc>
          <w:tcPr>
            <w:tcW w:w="2007"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35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32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14,912.00</w:t>
            </w:r>
          </w:p>
        </w:tc>
        <w:tc>
          <w:tcPr>
            <w:tcW w:w="1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62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04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14,912.00</w:t>
            </w:r>
          </w:p>
        </w:tc>
        <w:tc>
          <w:tcPr>
            <w:tcW w:w="11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14,897.00</w:t>
            </w:r>
          </w:p>
        </w:tc>
        <w:tc>
          <w:tcPr>
            <w:tcW w:w="14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rPr>
          <w:trHeight w:val="308" w:hRule="atLeast"/>
        </w:trPr>
        <w:tc>
          <w:tcPr>
            <w:tcW w:w="9907" w:type="dxa"/>
            <w:gridSpan w:val="8"/>
            <w:tcBorders>
              <w:top w:val="nil"/>
              <w:left w:val="nil"/>
              <w:bottom w:val="nil"/>
              <w:right w:val="nil"/>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bl>
      <w:tblPr>
        <w:tblStyle w:val="7"/>
        <w:tblW w:w="9092" w:type="dxa"/>
        <w:tblInd w:w="0" w:type="dxa"/>
        <w:shd w:val="clear" w:color="auto" w:fill="auto"/>
        <w:tblLayout w:type="fixed"/>
        <w:tblCellMar>
          <w:top w:w="0" w:type="dxa"/>
          <w:left w:w="0" w:type="dxa"/>
          <w:bottom w:w="0" w:type="dxa"/>
          <w:right w:w="0" w:type="dxa"/>
        </w:tblCellMar>
      </w:tblPr>
      <w:tblGrid>
        <w:gridCol w:w="42"/>
        <w:gridCol w:w="43"/>
        <w:gridCol w:w="902"/>
        <w:gridCol w:w="4685"/>
        <w:gridCol w:w="1169"/>
        <w:gridCol w:w="1043"/>
        <w:gridCol w:w="1208"/>
      </w:tblGrid>
      <w:tr>
        <w:tblPrEx>
          <w:shd w:val="clear" w:color="auto" w:fill="auto"/>
        </w:tblPrEx>
        <w:trPr>
          <w:trHeight w:val="370" w:hRule="atLeast"/>
        </w:trPr>
        <w:tc>
          <w:tcPr>
            <w:tcW w:w="9092" w:type="dxa"/>
            <w:gridSpan w:val="7"/>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一般公共预算财政拨款支出决算表</w:t>
            </w:r>
          </w:p>
        </w:tc>
      </w:tr>
      <w:tr>
        <w:tblPrEx>
          <w:shd w:val="clear" w:color="auto" w:fill="auto"/>
        </w:tblPrEx>
        <w:trPr>
          <w:trHeight w:val="260" w:hRule="atLeast"/>
        </w:trPr>
        <w:tc>
          <w:tcPr>
            <w:tcW w:w="42"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43"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02"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4685"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16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251"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shd w:val="clear" w:color="auto" w:fill="auto"/>
        </w:tblPrEx>
        <w:trPr>
          <w:trHeight w:val="260" w:hRule="atLeast"/>
        </w:trPr>
        <w:tc>
          <w:tcPr>
            <w:tcW w:w="5672" w:type="dxa"/>
            <w:gridSpan w:val="4"/>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116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251"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PrEx>
        <w:trPr>
          <w:trHeight w:val="308" w:hRule="atLeast"/>
        </w:trPr>
        <w:tc>
          <w:tcPr>
            <w:tcW w:w="5672"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420" w:type="dxa"/>
            <w:gridSpan w:val="3"/>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shd w:val="clear" w:color="auto" w:fill="auto"/>
        </w:tblPrEx>
        <w:trPr>
          <w:trHeight w:val="308" w:hRule="atLeast"/>
        </w:trPr>
        <w:tc>
          <w:tcPr>
            <w:tcW w:w="987" w:type="dxa"/>
            <w:gridSpan w:val="3"/>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685" w:type="dxa"/>
            <w:vMerge w:val="restart"/>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69"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43"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208"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PrEx>
        <w:trPr>
          <w:trHeight w:val="277" w:hRule="atLeast"/>
        </w:trPr>
        <w:tc>
          <w:tcPr>
            <w:tcW w:w="98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4685"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169"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43"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08"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12" w:hRule="atLeast"/>
        </w:trPr>
        <w:tc>
          <w:tcPr>
            <w:tcW w:w="987"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4685"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169"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43"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08"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5672"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169"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43"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08"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shd w:val="clear" w:color="auto" w:fill="auto"/>
        </w:tblPrEx>
        <w:trPr>
          <w:trHeight w:val="308" w:hRule="atLeast"/>
        </w:trPr>
        <w:tc>
          <w:tcPr>
            <w:tcW w:w="5672"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12,449.55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1,473.63</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10,975.92</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1,514.95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41.32</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1,512.95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1,473.63</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2010308</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信访事务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39.32</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其他公共安全支出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2049901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其他公共安全支出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5.81</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文化旅游体育与传媒支出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文化和旅游</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群众文化</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40.24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19.95</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基层医疗卫生机构</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2100302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乡镇卫生院</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2100799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其他计划生育事务支出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16.26</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84.53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84.53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9,864.57</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城乡社区规划与管理</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2120201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14.48</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9,799.25</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711.51</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711.51</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227.23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227.23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2130152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23.14</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林业和草原</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2130299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其他林业和草原支出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469.09</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资源勘探信息等支出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工业和信息产业监管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2150599</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其他工业和信息产业监管支出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森林消防事务</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2240304</w:t>
            </w:r>
          </w:p>
        </w:tc>
        <w:tc>
          <w:tcPr>
            <w:tcW w:w="4685"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169"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4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08"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bl>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bl>
      <w:tblPr>
        <w:tblStyle w:val="7"/>
        <w:tblW w:w="10650" w:type="dxa"/>
        <w:tblInd w:w="-773" w:type="dxa"/>
        <w:shd w:val="clear" w:color="auto" w:fill="auto"/>
        <w:tblLayout w:type="fixed"/>
        <w:tblCellMar>
          <w:top w:w="0" w:type="dxa"/>
          <w:left w:w="0" w:type="dxa"/>
          <w:bottom w:w="0" w:type="dxa"/>
          <w:right w:w="0" w:type="dxa"/>
        </w:tblCellMar>
      </w:tblPr>
      <w:tblGrid>
        <w:gridCol w:w="630"/>
        <w:gridCol w:w="1730"/>
        <w:gridCol w:w="830"/>
        <w:gridCol w:w="740"/>
        <w:gridCol w:w="1756"/>
        <w:gridCol w:w="844"/>
        <w:gridCol w:w="710"/>
        <w:gridCol w:w="2157"/>
        <w:gridCol w:w="1253"/>
      </w:tblGrid>
      <w:tr>
        <w:tblPrEx>
          <w:shd w:val="clear" w:color="auto" w:fill="auto"/>
        </w:tblPrEx>
        <w:trPr>
          <w:trHeight w:val="370" w:hRule="atLeast"/>
        </w:trPr>
        <w:tc>
          <w:tcPr>
            <w:tcW w:w="10650" w:type="dxa"/>
            <w:gridSpan w:val="9"/>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一般公共预算财政拨款基本支出决算表</w:t>
            </w:r>
          </w:p>
        </w:tc>
      </w:tr>
      <w:tr>
        <w:tblPrEx>
          <w:shd w:val="clear" w:color="auto" w:fill="auto"/>
        </w:tblPrEx>
        <w:trPr>
          <w:trHeight w:val="250" w:hRule="atLeast"/>
        </w:trPr>
        <w:tc>
          <w:tcPr>
            <w:tcW w:w="6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7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756"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44"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410"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shd w:val="clear" w:color="auto" w:fill="auto"/>
        </w:tblPrEx>
        <w:trPr>
          <w:trHeight w:val="260" w:hRule="atLeast"/>
        </w:trPr>
        <w:tc>
          <w:tcPr>
            <w:tcW w:w="5686" w:type="dxa"/>
            <w:gridSpan w:val="5"/>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844"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410" w:type="dxa"/>
            <w:gridSpan w:val="2"/>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PrEx>
        <w:trPr>
          <w:trHeight w:val="308" w:hRule="atLeast"/>
        </w:trPr>
        <w:tc>
          <w:tcPr>
            <w:tcW w:w="3190"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7460" w:type="dxa"/>
            <w:gridSpan w:val="6"/>
            <w:tcBorders>
              <w:top w:val="single" w:color="000000" w:sz="4" w:space="0"/>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shd w:val="clear" w:color="auto" w:fill="auto"/>
        </w:tblPrEx>
        <w:trPr>
          <w:trHeight w:val="308" w:hRule="atLeast"/>
        </w:trPr>
        <w:tc>
          <w:tcPr>
            <w:tcW w:w="630" w:type="dxa"/>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73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3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74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756"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44"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71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157"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53"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shd w:val="clear" w:color="auto" w:fill="auto"/>
        </w:tblPrEx>
        <w:trPr>
          <w:trHeight w:val="308" w:hRule="atLeast"/>
        </w:trPr>
        <w:tc>
          <w:tcPr>
            <w:tcW w:w="630" w:type="dxa"/>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73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83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74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756"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844"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71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2157"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253"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822.01</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430.01</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基本工资</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218.37</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办公费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13.44</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国内债务付息</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津贴补贴</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104.20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印刷费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国外债务付息</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奖金</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123.85</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咨询费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5.79</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伙食补助费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手续费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房屋建筑物购建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绩效工资</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130.38</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办公设备购置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5.79</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机关事业单位基本养老保险缴费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81.15</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电费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7.09</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专用设备购置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职业年金缴费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邮电费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37.54</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基础设施建设</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职工基本医疗保险缴费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62.89</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取暖费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大型修缮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公务员医疗补助缴费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物业管理费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11.64</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信息网络及软件购置更新</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其他社会保障缴费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差旅费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物资储备</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住房公积金</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96.31</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因公出国（境）费用</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土地补偿</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维修（护）费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8.15</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安置补助</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其他工资福利支出</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租赁费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2.67</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地上附着物和青苗补偿</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494"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215.82</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会议费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拆迁补偿</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离休费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退休费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其他交通工具购置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退职（役）费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专用材料费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文物和陈列品购置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抚恤金</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被装购置费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无形资产购置</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生活补助</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203.62</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专用燃料费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其他资本性支出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救济费</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劳务费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150.54</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医疗费补助</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委托业务费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141.24</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赠与</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助学金</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0.49</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国家赔偿费用支出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奖励金</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福利费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对民间非营利组织和群众性自治组织补贴</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个人农业生产补贴</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公务用车运行维护费</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4.31</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630" w:type="dxa"/>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7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4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756"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844"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2157"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2360" w:type="dxa"/>
            <w:gridSpan w:val="2"/>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8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1,037.83</w:t>
            </w:r>
          </w:p>
        </w:tc>
        <w:tc>
          <w:tcPr>
            <w:tcW w:w="6207" w:type="dxa"/>
            <w:gridSpan w:val="5"/>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125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435.80</w:t>
            </w:r>
          </w:p>
        </w:tc>
      </w:tr>
    </w:tbl>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bl>
      <w:tblPr>
        <w:tblStyle w:val="7"/>
        <w:tblW w:w="10790" w:type="dxa"/>
        <w:tblInd w:w="-813" w:type="dxa"/>
        <w:shd w:val="clear" w:color="auto" w:fill="auto"/>
        <w:tblLayout w:type="fixed"/>
        <w:tblCellMar>
          <w:top w:w="0" w:type="dxa"/>
          <w:left w:w="0" w:type="dxa"/>
          <w:bottom w:w="0" w:type="dxa"/>
          <w:right w:w="0" w:type="dxa"/>
        </w:tblCellMar>
      </w:tblPr>
      <w:tblGrid>
        <w:gridCol w:w="960"/>
        <w:gridCol w:w="1000"/>
        <w:gridCol w:w="660"/>
        <w:gridCol w:w="1160"/>
        <w:gridCol w:w="1270"/>
        <w:gridCol w:w="860"/>
        <w:gridCol w:w="590"/>
        <w:gridCol w:w="980"/>
        <w:gridCol w:w="873"/>
        <w:gridCol w:w="777"/>
        <w:gridCol w:w="660"/>
        <w:gridCol w:w="1000"/>
      </w:tblGrid>
      <w:tr>
        <w:tblPrEx>
          <w:shd w:val="clear" w:color="auto" w:fill="auto"/>
        </w:tblPrEx>
        <w:trPr>
          <w:trHeight w:val="550" w:hRule="atLeast"/>
        </w:trPr>
        <w:tc>
          <w:tcPr>
            <w:tcW w:w="10790" w:type="dxa"/>
            <w:gridSpan w:val="12"/>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b/>
                <w:bCs/>
                <w:i w:val="0"/>
                <w:color w:val="000000"/>
                <w:kern w:val="0"/>
                <w:sz w:val="32"/>
                <w:szCs w:val="32"/>
                <w:u w:val="none"/>
                <w:lang w:val="en-US" w:eastAsia="zh-CN" w:bidi="ar"/>
              </w:rPr>
              <w:t>一般公共预算财政拨款“三公”经费支出决算表</w:t>
            </w:r>
          </w:p>
        </w:tc>
      </w:tr>
      <w:tr>
        <w:tblPrEx>
          <w:shd w:val="clear" w:color="auto" w:fill="auto"/>
        </w:tblPrEx>
        <w:trPr>
          <w:trHeight w:val="260" w:hRule="atLeast"/>
        </w:trPr>
        <w:tc>
          <w:tcPr>
            <w:tcW w:w="9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0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6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1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27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59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8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73"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77"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6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00" w:type="dxa"/>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shd w:val="clear" w:color="auto" w:fill="auto"/>
        </w:tblPrEx>
        <w:trPr>
          <w:trHeight w:val="260" w:hRule="atLeast"/>
        </w:trPr>
        <w:tc>
          <w:tcPr>
            <w:tcW w:w="5050" w:type="dxa"/>
            <w:gridSpan w:val="5"/>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8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59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8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873"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437" w:type="dxa"/>
            <w:gridSpan w:val="3"/>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PrEx>
        <w:trPr>
          <w:trHeight w:val="308" w:hRule="atLeast"/>
        </w:trPr>
        <w:tc>
          <w:tcPr>
            <w:tcW w:w="5910" w:type="dxa"/>
            <w:gridSpan w:val="6"/>
            <w:tcBorders>
              <w:top w:val="single" w:color="000000" w:sz="4" w:space="0"/>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4880" w:type="dxa"/>
            <w:gridSpan w:val="6"/>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shd w:val="clear" w:color="auto" w:fill="auto"/>
        </w:tblPrEx>
        <w:trPr>
          <w:trHeight w:val="308" w:hRule="atLeast"/>
        </w:trPr>
        <w:tc>
          <w:tcPr>
            <w:tcW w:w="960" w:type="dxa"/>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0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090" w:type="dxa"/>
            <w:gridSpan w:val="3"/>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86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59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8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310" w:type="dxa"/>
            <w:gridSpan w:val="3"/>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0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shd w:val="clear" w:color="auto" w:fill="auto"/>
        </w:tblPrEx>
        <w:trPr>
          <w:trHeight w:val="615" w:hRule="atLeast"/>
        </w:trPr>
        <w:tc>
          <w:tcPr>
            <w:tcW w:w="960" w:type="dxa"/>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0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27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86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59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8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873"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777"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6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0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960" w:type="dxa"/>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0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7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9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98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73"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777"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66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00" w:type="dxa"/>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shd w:val="clear" w:color="auto" w:fill="auto"/>
        </w:tblPrEx>
        <w:trPr>
          <w:trHeight w:val="308" w:hRule="atLeast"/>
        </w:trPr>
        <w:tc>
          <w:tcPr>
            <w:tcW w:w="960" w:type="dxa"/>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13.10</w:t>
            </w:r>
          </w:p>
        </w:tc>
        <w:tc>
          <w:tcPr>
            <w:tcW w:w="10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11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8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59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4.31</w:t>
            </w:r>
          </w:p>
        </w:tc>
        <w:tc>
          <w:tcPr>
            <w:tcW w:w="98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3"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4.31</w:t>
            </w:r>
          </w:p>
        </w:tc>
        <w:tc>
          <w:tcPr>
            <w:tcW w:w="777"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4.31</w:t>
            </w:r>
          </w:p>
        </w:tc>
        <w:tc>
          <w:tcPr>
            <w:tcW w:w="100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Pr>
        <w:rPr>
          <w:rFonts w:ascii="仿宋" w:hAnsi="仿宋" w:eastAsia="仿宋"/>
        </w:rPr>
      </w:pPr>
      <w:r>
        <w:rPr>
          <w:rFonts w:hint="eastAsia"/>
          <w:szCs w:val="21"/>
        </w:rPr>
        <w:t>注：本表反映部门本年度“三公”经费支出预决算情况。其中：预算数为“三公”经费</w:t>
      </w:r>
      <w:r>
        <w:rPr>
          <w:rFonts w:hint="eastAsia"/>
          <w:szCs w:val="21"/>
          <w:lang w:val="en-US" w:eastAsia="zh-CN"/>
        </w:rPr>
        <w:t>全年</w:t>
      </w:r>
      <w:r>
        <w:rPr>
          <w:rFonts w:hint="eastAsia"/>
          <w:szCs w:val="21"/>
        </w:rPr>
        <w:t>预算数，</w:t>
      </w:r>
      <w:r>
        <w:rPr>
          <w:rFonts w:hint="eastAsia"/>
          <w:szCs w:val="21"/>
          <w:lang w:val="en-US" w:eastAsia="zh-CN"/>
        </w:rPr>
        <w:t>反映按规定程序调整后的预算数；</w:t>
      </w:r>
      <w:r>
        <w:rPr>
          <w:rFonts w:hint="eastAsia"/>
          <w:szCs w:val="21"/>
        </w:rPr>
        <w:t>决算数是包括当年一般公共预算财政拨款和以前年度结转资金安排的实际支出。</w:t>
      </w: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bl>
      <w:tblPr>
        <w:tblStyle w:val="7"/>
        <w:tblW w:w="10240" w:type="dxa"/>
        <w:tblInd w:w="-663" w:type="dxa"/>
        <w:shd w:val="clear" w:color="auto" w:fill="auto"/>
        <w:tblLayout w:type="fixed"/>
        <w:tblCellMar>
          <w:top w:w="0" w:type="dxa"/>
          <w:left w:w="0" w:type="dxa"/>
          <w:bottom w:w="0" w:type="dxa"/>
          <w:right w:w="0" w:type="dxa"/>
        </w:tblCellMar>
      </w:tblPr>
      <w:tblGrid>
        <w:gridCol w:w="899"/>
        <w:gridCol w:w="235"/>
        <w:gridCol w:w="240"/>
        <w:gridCol w:w="3176"/>
        <w:gridCol w:w="1010"/>
        <w:gridCol w:w="910"/>
        <w:gridCol w:w="760"/>
        <w:gridCol w:w="930"/>
        <w:gridCol w:w="1110"/>
        <w:gridCol w:w="970"/>
      </w:tblGrid>
      <w:tr>
        <w:tblPrEx>
          <w:shd w:val="clear" w:color="auto" w:fill="auto"/>
        </w:tblPrEx>
        <w:trPr>
          <w:trHeight w:val="370" w:hRule="atLeast"/>
        </w:trPr>
        <w:tc>
          <w:tcPr>
            <w:tcW w:w="10240" w:type="dxa"/>
            <w:gridSpan w:val="10"/>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b/>
                <w:bCs/>
                <w:i w:val="0"/>
                <w:color w:val="000000"/>
                <w:kern w:val="0"/>
                <w:sz w:val="32"/>
                <w:szCs w:val="32"/>
                <w:u w:val="none"/>
                <w:lang w:val="en-US" w:eastAsia="zh-CN" w:bidi="ar"/>
              </w:rPr>
              <w:t>政府性基金预算财政拨款收入支出决算表</w:t>
            </w:r>
          </w:p>
        </w:tc>
      </w:tr>
      <w:tr>
        <w:tblPrEx>
          <w:shd w:val="clear" w:color="auto" w:fill="auto"/>
        </w:tblPrEx>
        <w:trPr>
          <w:trHeight w:val="262" w:hRule="atLeast"/>
        </w:trPr>
        <w:tc>
          <w:tcPr>
            <w:tcW w:w="89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35"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176"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0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3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1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70" w:type="dxa"/>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shd w:val="clear" w:color="auto" w:fill="auto"/>
        </w:tblPrEx>
        <w:trPr>
          <w:trHeight w:val="260" w:hRule="atLeast"/>
        </w:trPr>
        <w:tc>
          <w:tcPr>
            <w:tcW w:w="4550" w:type="dxa"/>
            <w:gridSpan w:val="4"/>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10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91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76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3010" w:type="dxa"/>
            <w:gridSpan w:val="3"/>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PrEx>
        <w:trPr>
          <w:trHeight w:val="502" w:hRule="atLeast"/>
        </w:trPr>
        <w:tc>
          <w:tcPr>
            <w:tcW w:w="4550"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1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91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800" w:type="dxa"/>
            <w:gridSpan w:val="3"/>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970" w:type="dxa"/>
            <w:vMerge w:val="restart"/>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shd w:val="clear" w:color="auto" w:fill="auto"/>
        </w:tblPrEx>
        <w:trPr>
          <w:trHeight w:val="308" w:hRule="atLeast"/>
        </w:trPr>
        <w:tc>
          <w:tcPr>
            <w:tcW w:w="1374" w:type="dxa"/>
            <w:gridSpan w:val="3"/>
            <w:vMerge w:val="restart"/>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176" w:type="dxa"/>
            <w:vMerge w:val="restart"/>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76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3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110" w:type="dxa"/>
            <w:vMerge w:val="restart"/>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97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374"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176"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76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3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7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12" w:hRule="atLeast"/>
        </w:trPr>
        <w:tc>
          <w:tcPr>
            <w:tcW w:w="1374" w:type="dxa"/>
            <w:gridSpan w:val="3"/>
            <w:vMerge w:val="continue"/>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3176" w:type="dxa"/>
            <w:vMerge w:val="continue"/>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0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76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3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c>
          <w:tcPr>
            <w:tcW w:w="970" w:type="dxa"/>
            <w:vMerge w:val="continue"/>
            <w:tcBorders>
              <w:top w:val="single" w:color="000000" w:sz="4" w:space="0"/>
              <w:left w:val="nil"/>
              <w:bottom w:val="single" w:color="000000" w:sz="4" w:space="0"/>
              <w:right w:val="single" w:color="000000" w:sz="4" w:space="0"/>
            </w:tcBorders>
            <w:shd w:val="clear" w:color="FFFFFF" w:fill="C0C0C0"/>
            <w:tcMar>
              <w:top w:w="10" w:type="dxa"/>
              <w:left w:w="10" w:type="dxa"/>
              <w:right w:w="10"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550"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6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3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1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70"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shd w:val="clear" w:color="auto" w:fill="auto"/>
        </w:tblPrEx>
        <w:trPr>
          <w:trHeight w:val="308" w:hRule="atLeast"/>
        </w:trPr>
        <w:tc>
          <w:tcPr>
            <w:tcW w:w="4550" w:type="dxa"/>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15.00</w:t>
            </w: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15.00</w:t>
            </w: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1374"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3176"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0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76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3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970" w:type="dxa"/>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bl>
    <w:p>
      <w:pPr>
        <w:rPr>
          <w:rFonts w:hint="default" w:ascii="仿宋" w:hAnsi="仿宋" w:eastAsia="仿宋"/>
          <w:lang w:val="en-US" w:eastAsia="zh-CN"/>
        </w:rPr>
      </w:pPr>
      <w:r>
        <w:rPr>
          <w:rFonts w:hint="eastAsia" w:ascii="仿宋" w:hAnsi="仿宋" w:eastAsia="仿宋"/>
          <w:lang w:val="en-US" w:eastAsia="zh-CN"/>
        </w:rPr>
        <w:t>注：本表反映部门本年度政府性基金预算财政拨款收入、支出及结转和结余情况。</w:t>
      </w:r>
    </w:p>
    <w:p>
      <w:pPr>
        <w:rPr>
          <w:rFonts w:ascii="仿宋" w:hAnsi="仿宋" w:eastAsia="仿宋"/>
        </w:rPr>
      </w:pPr>
    </w:p>
    <w:tbl>
      <w:tblPr>
        <w:tblStyle w:val="7"/>
        <w:tblW w:w="9092" w:type="dxa"/>
        <w:tblInd w:w="0" w:type="dxa"/>
        <w:shd w:val="clear" w:color="auto" w:fill="auto"/>
        <w:tblLayout w:type="autofit"/>
        <w:tblCellMar>
          <w:top w:w="0" w:type="dxa"/>
          <w:left w:w="0" w:type="dxa"/>
          <w:bottom w:w="0" w:type="dxa"/>
          <w:right w:w="0" w:type="dxa"/>
        </w:tblCellMar>
      </w:tblPr>
      <w:tblGrid>
        <w:gridCol w:w="3954"/>
        <w:gridCol w:w="30"/>
        <w:gridCol w:w="278"/>
        <w:gridCol w:w="1692"/>
        <w:gridCol w:w="519"/>
        <w:gridCol w:w="1016"/>
        <w:gridCol w:w="1603"/>
      </w:tblGrid>
      <w:tr>
        <w:tblPrEx>
          <w:shd w:val="clear" w:color="auto" w:fill="auto"/>
        </w:tblPrEx>
        <w:trPr>
          <w:trHeight w:val="550" w:hRule="atLeast"/>
        </w:trPr>
        <w:tc>
          <w:tcPr>
            <w:tcW w:w="9092" w:type="dxa"/>
            <w:gridSpan w:val="7"/>
            <w:tcBorders>
              <w:top w:val="nil"/>
              <w:left w:val="nil"/>
              <w:bottom w:val="nil"/>
              <w:right w:val="nil"/>
            </w:tcBorders>
            <w:shd w:val="clear" w:color="auto" w:fill="auto"/>
            <w:noWrap/>
            <w:tcMar>
              <w:top w:w="10" w:type="dxa"/>
              <w:left w:w="10" w:type="dxa"/>
              <w:right w:w="10" w:type="dxa"/>
            </w:tcMar>
            <w:vAlign w:val="bottom"/>
          </w:tcPr>
          <w:p>
            <w:pPr>
              <w:jc w:val="center"/>
              <w:rPr>
                <w:rFonts w:hint="default" w:ascii="Arial" w:hAnsi="Arial" w:cs="Arial"/>
                <w:b/>
                <w:bCs/>
                <w:i w:val="0"/>
                <w:color w:val="000000"/>
                <w:sz w:val="32"/>
                <w:szCs w:val="32"/>
                <w:u w:val="none"/>
              </w:rPr>
            </w:pPr>
            <w:r>
              <w:rPr>
                <w:rFonts w:hint="eastAsia" w:ascii="宋体" w:hAnsi="宋体" w:eastAsia="宋体" w:cs="宋体"/>
                <w:b/>
                <w:bCs/>
                <w:i w:val="0"/>
                <w:color w:val="000000"/>
                <w:kern w:val="0"/>
                <w:sz w:val="32"/>
                <w:szCs w:val="32"/>
                <w:u w:val="none"/>
                <w:lang w:val="en-US" w:eastAsia="zh-CN" w:bidi="ar"/>
              </w:rPr>
              <w:t>国有资本经营预算财政拨款支出决算表</w:t>
            </w:r>
          </w:p>
        </w:tc>
      </w:tr>
      <w:tr>
        <w:tblPrEx>
          <w:shd w:val="clear" w:color="auto" w:fill="auto"/>
        </w:tblPrEx>
        <w:trPr>
          <w:trHeight w:val="260" w:hRule="atLeast"/>
        </w:trPr>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9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shd w:val="clear" w:color="auto" w:fill="auto"/>
        </w:tblPrEx>
        <w:trPr>
          <w:trHeight w:val="260" w:hRule="atLeast"/>
        </w:trPr>
        <w:tc>
          <w:tcPr>
            <w:tcW w:w="0" w:type="auto"/>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部门：石家庄市鹿泉区大河镇人民政府</w:t>
            </w: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1499" w:type="dxa"/>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0" w:type="dxa"/>
              <w:left w:w="10" w:type="dxa"/>
              <w:right w:w="10"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w:t>
            </w:r>
          </w:p>
        </w:tc>
        <w:tc>
          <w:tcPr>
            <w:tcW w:w="0" w:type="auto"/>
            <w:gridSpan w:val="3"/>
            <w:tcBorders>
              <w:top w:val="single" w:color="000000" w:sz="4" w:space="0"/>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shd w:val="clear" w:color="auto" w:fill="auto"/>
        </w:tblPrEx>
        <w:trPr>
          <w:trHeight w:val="615" w:hRule="atLeast"/>
        </w:trPr>
        <w:tc>
          <w:tcPr>
            <w:tcW w:w="4310" w:type="dxa"/>
            <w:gridSpan w:val="3"/>
            <w:tcBorders>
              <w:top w:val="nil"/>
              <w:left w:val="single" w:color="000000" w:sz="4" w:space="0"/>
              <w:bottom w:val="single" w:color="000000" w:sz="4" w:space="0"/>
              <w:right w:val="single" w:color="000000" w:sz="4" w:space="0"/>
            </w:tcBorders>
            <w:shd w:val="clear" w:color="FFFFFF" w:fill="C0C0C0"/>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1499" w:type="dxa"/>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shd w:val="clear" w:color="auto" w:fill="auto"/>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b/>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PrEx>
        <w:trPr>
          <w:trHeight w:val="308" w:hRule="atLeast"/>
        </w:trPr>
        <w:tc>
          <w:tcPr>
            <w:tcW w:w="4310" w:type="dxa"/>
            <w:gridSpan w:val="3"/>
            <w:tcBorders>
              <w:top w:val="nil"/>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1499"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0" w:type="dxa"/>
              <w:left w:w="10" w:type="dxa"/>
              <w:right w:w="10" w:type="dxa"/>
            </w:tcMar>
            <w:vAlign w:val="center"/>
          </w:tcPr>
          <w:p>
            <w:pPr>
              <w:jc w:val="right"/>
              <w:rPr>
                <w:rFonts w:hint="eastAsia" w:ascii="宋体" w:hAnsi="宋体" w:eastAsia="宋体" w:cs="宋体"/>
                <w:i w:val="0"/>
                <w:color w:val="000000"/>
                <w:sz w:val="22"/>
                <w:szCs w:val="22"/>
                <w:u w:val="none"/>
              </w:rPr>
            </w:pPr>
          </w:p>
        </w:tc>
      </w:tr>
    </w:tbl>
    <w:p>
      <w:pPr>
        <w:rPr>
          <w:rFonts w:hint="default" w:ascii="仿宋" w:hAnsi="仿宋" w:eastAsia="仿宋"/>
          <w:lang w:val="en-US" w:eastAsia="zh-CN"/>
        </w:rPr>
      </w:pPr>
      <w:r>
        <w:rPr>
          <w:rFonts w:hint="eastAsia" w:ascii="仿宋" w:hAnsi="仿宋" w:eastAsia="仿宋"/>
          <w:lang w:val="en-US" w:eastAsia="zh-CN"/>
        </w:rPr>
        <w:t xml:space="preserve">    注：本表反映部门本年度国有资本经营预算财政拨款支出情况。</w:t>
      </w: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00000000" w:usb1="00000000" w:usb2="00000000" w:usb3="00000000" w:csb0="00160000"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 w:name="仿宋_GB2312">
    <w:altName w:val="方正仿宋_GBK"/>
    <w:panose1 w:val="02010609030101010101"/>
    <w:charset w:val="86"/>
    <w:family w:val="modern"/>
    <w:pitch w:val="default"/>
    <w:sig w:usb0="00000000" w:usb1="00000000" w:usb2="00000000" w:usb3="00000000" w:csb0="00000000" w:csb1="00000000"/>
  </w:font>
  <w:font w:name="方正仿宋_GBK">
    <w:panose1 w:val="02000000000000000000"/>
    <w:charset w:val="86"/>
    <w:family w:val="auto"/>
    <w:pitch w:val="default"/>
    <w:sig w:usb0="00000000" w:usb1="00000000" w:usb2="00000000" w:usb3="00000000" w:csb0="00160000" w:csb1="00000000"/>
  </w:font>
  <w:font w:name="Yu Gothic UI Semibold">
    <w:altName w:val="YuGothic"/>
    <w:panose1 w:val="020B0700000000000000"/>
    <w:charset w:val="80"/>
    <w:family w:val="swiss"/>
    <w:pitch w:val="default"/>
    <w:sig w:usb0="00000000" w:usb1="00000000" w:usb2="00000016" w:usb3="00000000" w:csb0="2002009F" w:csb1="00000000"/>
  </w:font>
  <w:font w:name="YuGothic">
    <w:panose1 w:val="020B0500000000000000"/>
    <w:charset w:val="86"/>
    <w:family w:val="auto"/>
    <w:pitch w:val="default"/>
    <w:sig w:usb0="00000000" w:usb1="00000000" w:usb2="00000000" w:usb3="00000000" w:csb0="00160000" w:csb1="00000000"/>
  </w:font>
  <w:font w:name="微软雅黑">
    <w:altName w:val="汉仪旗黑"/>
    <w:panose1 w:val="020B0503020204020204"/>
    <w:charset w:val="86"/>
    <w:family w:val="swiss"/>
    <w:pitch w:val="default"/>
    <w:sig w:usb0="00000000" w:usb1="00000000" w:usb2="00000016" w:usb3="00000000" w:csb0="0004001F" w:csb1="00000000"/>
  </w:font>
  <w:font w:name="汉仪旗黑">
    <w:panose1 w:val="00020600040101010101"/>
    <w:charset w:val="86"/>
    <w:family w:val="auto"/>
    <w:pitch w:val="default"/>
    <w:sig w:usb0="00000000" w:usb1="00000000" w:usb2="00000000" w:usb3="00000000" w:csb0="00060000" w:csb1="00000000"/>
  </w:font>
  <w:font w:name="汉仪中黑KW">
    <w:panose1 w:val="00020600040101010101"/>
    <w:charset w:val="86"/>
    <w:family w:val="auto"/>
    <w:pitch w:val="default"/>
    <w:sig w:usb0="00000000" w:usb1="00000000" w:usb2="00000000" w:usb3="00000000" w:csb0="00160000" w:csb1="00000000"/>
  </w:font>
  <w:font w:name="思源黑体 HW Bold">
    <w:altName w:val="汉仪中黑KW"/>
    <w:panose1 w:val="00000000000000000000"/>
    <w:charset w:val="86"/>
    <w:family w:val="swiss"/>
    <w:pitch w:val="default"/>
    <w:sig w:usb0="00000000" w:usb1="00000000" w:usb2="00000016" w:usb3="00000000" w:csb0="002E0107" w:csb1="00000000"/>
  </w:font>
  <w:font w:name="楷体_GB2312">
    <w:altName w:val="汉仪楷体简"/>
    <w:panose1 w:val="02010609030101010101"/>
    <w:charset w:val="86"/>
    <w:family w:val="modern"/>
    <w:pitch w:val="default"/>
    <w:sig w:usb0="00000000" w:usb1="00000000" w:usb2="00000000" w:usb3="00000000" w:csb0="00000000" w:csb1="00000000"/>
  </w:font>
  <w:font w:name="汉仪楷体简">
    <w:panose1 w:val="02010600000101010101"/>
    <w:charset w:val="86"/>
    <w:family w:val="auto"/>
    <w:pitch w:val="default"/>
    <w:sig w:usb0="00000000" w:usb1="00000000" w:usb2="00000000" w:usb3="00000000" w:csb0="00060000" w:csb1="00000000"/>
  </w:font>
  <w:font w:name="仿宋">
    <w:altName w:val="方正仿宋_GBK"/>
    <w:panose1 w:val="02010609060101010101"/>
    <w:charset w:val="86"/>
    <w:family w:val="modern"/>
    <w:pitch w:val="default"/>
    <w:sig w:usb0="00000000" w:usb1="00000000" w:usb2="00000016" w:usb3="00000000" w:csb0="00040001" w:csb1="00000000"/>
  </w:font>
  <w:font w:name="ArialUnicodeMS">
    <w:panose1 w:val="020B0604020202020204"/>
    <w:charset w:val="81"/>
    <w:family w:val="auto"/>
    <w:pitch w:val="default"/>
    <w:sig w:usb0="00000000" w:usb1="00000000" w:usb2="00000000" w:usb3="00000000" w:csb0="003E0000" w:csb1="00000000"/>
  </w:font>
  <w:font w:name="Cambria">
    <w:altName w:val="苹方-简"/>
    <w:panose1 w:val="02040503050406030204"/>
    <w:charset w:val="00"/>
    <w:family w:val="roman"/>
    <w:pitch w:val="default"/>
    <w:sig w:usb0="00000000" w:usb1="00000000" w:usb2="02000000" w:usb3="00000000" w:csb0="2000019F" w:csb1="00000000"/>
  </w:font>
  <w:font w:name="苹方-简">
    <w:panose1 w:val="020B0400000000000000"/>
    <w:charset w:val="86"/>
    <w:family w:val="auto"/>
    <w:pitch w:val="default"/>
    <w:sig w:usb0="00000000" w:usb1="00000000" w:usb2="00000000" w:usb3="00000000" w:csb0="00160000" w:csb1="00000000"/>
  </w:font>
  <w:font w:name="DengXian-Regular">
    <w:altName w:val="苹方-简"/>
    <w:panose1 w:val="00000000000000000000"/>
    <w:charset w:val="86"/>
    <w:family w:val="auto"/>
    <w:pitch w:val="default"/>
    <w:sig w:usb0="00000000" w:usb1="00000000" w:usb2="00000010" w:usb3="00000000" w:csb0="00040001" w:csb1="00000000"/>
  </w:font>
  <w:font w:name="DengXian-Bold">
    <w:altName w:val="苹方-简"/>
    <w:panose1 w:val="00000000000000000000"/>
    <w:charset w:val="86"/>
    <w:family w:val="auto"/>
    <w:pitch w:val="default"/>
    <w:sig w:usb0="00000000" w:usb1="00000000" w:usb2="00000010" w:usb3="00000000" w:csb0="00040001" w:csb1="00000000"/>
  </w:font>
  <w:font w:name="TimesNewRomanPSMT">
    <w:panose1 w:val="02020603050405020304"/>
    <w:charset w:val="00"/>
    <w:family w:val="swiss"/>
    <w:pitch w:val="default"/>
    <w:sig w:usb0="00000000" w:usb1="00000000" w:usb2="00000000" w:usb3="00000000" w:csb0="00000000" w:csb1="00000000"/>
  </w:font>
  <w:font w:name="宋体-简">
    <w:panose1 w:val="02010600040101010101"/>
    <w:charset w:val="86"/>
    <w:family w:val="auto"/>
    <w:pitch w:val="default"/>
    <w:sig w:usb0="00000000" w:usb1="00000000" w:usb2="00000000" w:usb3="00000000" w:csb0="0016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29" o:spid="_x0000_s2129" o:spt="203" style="position:absolute;left:0pt;margin-left:24pt;margin-top:74.1pt;height:31.5pt;width:594.8pt;mso-position-horizontal-relative:page;mso-position-vertical-relative:page;z-index:25169100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30"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31"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32"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rPr>
        <w:b/>
        <w:sz w:val="32"/>
        <w:szCs w:val="32"/>
      </w:rPr>
    </w:pPr>
    <w:r>
      <w:rPr>
        <w:b/>
        <w:sz w:val="32"/>
        <w:szCs w:val="32"/>
      </w:rPr>
      <w:pict>
        <v:group id="_x0000_s2133" o:spid="_x0000_s2133" o:spt="203" style="position:absolute;left:0pt;margin-left:36pt;margin-top:86.1pt;height:31.5pt;width:594.8pt;mso-position-horizontal-relative:page;mso-position-vertical-relative:page;z-index:25169203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34"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35"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3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r>
      <w:rPr>
        <w:b/>
        <w:sz w:val="32"/>
        <w:szCs w:val="32"/>
      </w:rPr>
      <w:t>第四部分</w:t>
    </w:r>
    <w:r>
      <w:rPr>
        <w:rFonts w:hint="eastAsia"/>
        <w:b/>
        <w:sz w:val="32"/>
        <w:szCs w:val="32"/>
      </w:rPr>
      <w:t>2019年度部门决算报表</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jc w:val="both"/>
      <w:rPr>
        <w:b/>
        <w:sz w:val="32"/>
        <w:szCs w:val="32"/>
      </w:rPr>
    </w:pPr>
    <w:r>
      <w:rPr>
        <w:b/>
        <w:sz w:val="32"/>
        <w:szCs w:val="32"/>
      </w:rPr>
      <w:pict>
        <v:group id="_x0000_s2121" o:spid="_x0000_s2121" o:spt="203" style="position:absolute;left:0pt;margin-left:0pt;margin-top:50.1pt;height:31.5pt;width:594.8pt;mso-position-horizontal-relative:page;mso-position-vertical-relative:page;z-index:25168896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22"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23"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24"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rPr>
        <w:b/>
        <w:sz w:val="32"/>
        <w:szCs w:val="32"/>
      </w:rPr>
      <w:t>第一部分</w:t>
    </w:r>
    <w:r>
      <w:rPr>
        <w:rFonts w:hint="eastAsia"/>
        <w:b/>
        <w:sz w:val="32"/>
        <w:szCs w:val="32"/>
      </w:rPr>
      <w:t>：</w:t>
    </w:r>
    <w:r>
      <w:rPr>
        <w:b/>
        <w:sz w:val="32"/>
        <w:szCs w:val="32"/>
      </w:rPr>
      <w:t>部门概况</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rPr>
        <w:b/>
        <w:sz w:val="32"/>
        <w:szCs w:val="32"/>
      </w:rPr>
    </w:pPr>
    <w:r>
      <w:rPr>
        <w:b/>
        <w:sz w:val="32"/>
        <w:szCs w:val="32"/>
      </w:rPr>
      <w:pict>
        <v:group id="_x0000_s2125" o:spid="_x0000_s2125" o:spt="203" style="position:absolute;left:0pt;margin-left:12pt;margin-top:62.1pt;height:31.5pt;width:594.8pt;mso-position-horizontal-relative:page;mso-position-vertical-relative:page;z-index:25168998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27"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28"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rPr>
        <w:b/>
        <w:sz w:val="32"/>
        <w:szCs w:val="32"/>
      </w:rP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rPr>
        <w:b/>
        <w:sz w:val="32"/>
        <w:szCs w:val="32"/>
      </w:rP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joinstyle="miter"/>
            <v:imagedata o:title=""/>
            <o:lock v:ext="edit"/>
          </v:shape>
        </v:group>
      </w:pict>
    </w:r>
    <w:r>
      <w:rPr>
        <w:b/>
        <w:sz w:val="32"/>
        <w:szCs w:val="32"/>
      </w:rPr>
      <w:t>第二部分</w:t>
    </w:r>
    <w:r>
      <w:rPr>
        <w:rFonts w:hint="eastAsia"/>
        <w:b/>
        <w:sz w:val="32"/>
        <w:szCs w:val="32"/>
      </w:rPr>
      <w:t>：</w:t>
    </w:r>
    <w:r>
      <w:rPr>
        <w:b/>
        <w:sz w:val="32"/>
        <w:szCs w:val="32"/>
      </w:rPr>
      <w:t>部门决算情况说明</w:t>
    </w:r>
  </w:p>
  <w:p>
    <w:pPr>
      <w:pStyle w:val="6"/>
      <w:jc w:val="center"/>
      <w:rPr>
        <w:rFonts w:hint="eastAsia"/>
        <w:b/>
        <w:sz w:val="32"/>
        <w:szCs w:val="32"/>
        <w:lang w:val="en-US" w:eastAsia="zh-CN"/>
      </w:rPr>
    </w:pPr>
  </w:p>
  <w:p>
    <w:pPr>
      <w:pStyle w:val="6"/>
      <w:jc w:val="center"/>
      <w:rPr>
        <w:rFonts w:hint="default"/>
        <w:b/>
        <w:sz w:val="32"/>
        <w:szCs w:val="32"/>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950409"/>
    <w:multiLevelType w:val="singleLevel"/>
    <w:tmpl w:val="59950409"/>
    <w:lvl w:ilvl="0" w:tentative="0">
      <w:start w:val="1"/>
      <w:numFmt w:val="decimal"/>
      <w:suff w:val="space"/>
      <w:lvlText w:val="%1."/>
      <w:lvlJc w:val="left"/>
    </w:lvl>
  </w:abstractNum>
  <w:abstractNum w:abstractNumId="1">
    <w:nsid w:val="78C1413D"/>
    <w:multiLevelType w:val="singleLevel"/>
    <w:tmpl w:val="78C1413D"/>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09C8"/>
    <w:rsid w:val="00012784"/>
    <w:rsid w:val="00033182"/>
    <w:rsid w:val="00036331"/>
    <w:rsid w:val="000365DC"/>
    <w:rsid w:val="00041819"/>
    <w:rsid w:val="000618E2"/>
    <w:rsid w:val="00064E18"/>
    <w:rsid w:val="000667BB"/>
    <w:rsid w:val="0007063E"/>
    <w:rsid w:val="00073392"/>
    <w:rsid w:val="00073F4E"/>
    <w:rsid w:val="00086C89"/>
    <w:rsid w:val="000A39FB"/>
    <w:rsid w:val="000C68B2"/>
    <w:rsid w:val="00117746"/>
    <w:rsid w:val="00121ABC"/>
    <w:rsid w:val="00142190"/>
    <w:rsid w:val="00163F95"/>
    <w:rsid w:val="00180A9A"/>
    <w:rsid w:val="001829C0"/>
    <w:rsid w:val="00184809"/>
    <w:rsid w:val="00192112"/>
    <w:rsid w:val="001971DD"/>
    <w:rsid w:val="001B0127"/>
    <w:rsid w:val="001C12D5"/>
    <w:rsid w:val="001C69F7"/>
    <w:rsid w:val="001D6F97"/>
    <w:rsid w:val="001E4DAC"/>
    <w:rsid w:val="001F0914"/>
    <w:rsid w:val="002172A8"/>
    <w:rsid w:val="002374BE"/>
    <w:rsid w:val="002650EC"/>
    <w:rsid w:val="002A6C46"/>
    <w:rsid w:val="002B1D32"/>
    <w:rsid w:val="002C19B5"/>
    <w:rsid w:val="003945F7"/>
    <w:rsid w:val="003A4EE8"/>
    <w:rsid w:val="003F6484"/>
    <w:rsid w:val="00442CC2"/>
    <w:rsid w:val="00446244"/>
    <w:rsid w:val="0046687E"/>
    <w:rsid w:val="00470F77"/>
    <w:rsid w:val="00473C20"/>
    <w:rsid w:val="00497E80"/>
    <w:rsid w:val="004D61CB"/>
    <w:rsid w:val="004E196F"/>
    <w:rsid w:val="005011D6"/>
    <w:rsid w:val="00503F2E"/>
    <w:rsid w:val="00515D77"/>
    <w:rsid w:val="00552226"/>
    <w:rsid w:val="00552CCF"/>
    <w:rsid w:val="00566120"/>
    <w:rsid w:val="00582E6D"/>
    <w:rsid w:val="00587C84"/>
    <w:rsid w:val="005954D5"/>
    <w:rsid w:val="005A53FA"/>
    <w:rsid w:val="005B4118"/>
    <w:rsid w:val="005D1293"/>
    <w:rsid w:val="00612F15"/>
    <w:rsid w:val="0061528C"/>
    <w:rsid w:val="00635A3D"/>
    <w:rsid w:val="00644D5F"/>
    <w:rsid w:val="00647A51"/>
    <w:rsid w:val="00657F86"/>
    <w:rsid w:val="00664EE7"/>
    <w:rsid w:val="006727AD"/>
    <w:rsid w:val="00677380"/>
    <w:rsid w:val="00685C7C"/>
    <w:rsid w:val="00691425"/>
    <w:rsid w:val="006A516E"/>
    <w:rsid w:val="006B0830"/>
    <w:rsid w:val="006C7876"/>
    <w:rsid w:val="006E5D61"/>
    <w:rsid w:val="007057F5"/>
    <w:rsid w:val="00716390"/>
    <w:rsid w:val="00716E2B"/>
    <w:rsid w:val="0076442D"/>
    <w:rsid w:val="00770F18"/>
    <w:rsid w:val="00773B74"/>
    <w:rsid w:val="0078290C"/>
    <w:rsid w:val="007A6FDE"/>
    <w:rsid w:val="007C06CA"/>
    <w:rsid w:val="007E1152"/>
    <w:rsid w:val="008036F9"/>
    <w:rsid w:val="00811D30"/>
    <w:rsid w:val="008163FB"/>
    <w:rsid w:val="0082605B"/>
    <w:rsid w:val="00855C36"/>
    <w:rsid w:val="00857DBE"/>
    <w:rsid w:val="00867C3A"/>
    <w:rsid w:val="008701BC"/>
    <w:rsid w:val="0088176F"/>
    <w:rsid w:val="00883D92"/>
    <w:rsid w:val="008846EB"/>
    <w:rsid w:val="008A5362"/>
    <w:rsid w:val="008E2DB9"/>
    <w:rsid w:val="008F21F1"/>
    <w:rsid w:val="008F221B"/>
    <w:rsid w:val="008F5A2D"/>
    <w:rsid w:val="00906A18"/>
    <w:rsid w:val="00913DBA"/>
    <w:rsid w:val="00917C05"/>
    <w:rsid w:val="00921602"/>
    <w:rsid w:val="00956350"/>
    <w:rsid w:val="00957EA1"/>
    <w:rsid w:val="00966E5B"/>
    <w:rsid w:val="00975686"/>
    <w:rsid w:val="009B114D"/>
    <w:rsid w:val="009B4EF0"/>
    <w:rsid w:val="009D0F26"/>
    <w:rsid w:val="009D271F"/>
    <w:rsid w:val="00A06B70"/>
    <w:rsid w:val="00A768B3"/>
    <w:rsid w:val="00A929C2"/>
    <w:rsid w:val="00AC5701"/>
    <w:rsid w:val="00AD097F"/>
    <w:rsid w:val="00B04D3B"/>
    <w:rsid w:val="00B34990"/>
    <w:rsid w:val="00B410F7"/>
    <w:rsid w:val="00B4433C"/>
    <w:rsid w:val="00B5102F"/>
    <w:rsid w:val="00B844F4"/>
    <w:rsid w:val="00BA06A1"/>
    <w:rsid w:val="00BA770A"/>
    <w:rsid w:val="00C0499C"/>
    <w:rsid w:val="00C054DE"/>
    <w:rsid w:val="00C4661F"/>
    <w:rsid w:val="00C506F6"/>
    <w:rsid w:val="00C54339"/>
    <w:rsid w:val="00C679A9"/>
    <w:rsid w:val="00C7541C"/>
    <w:rsid w:val="00CA0416"/>
    <w:rsid w:val="00CB5A1E"/>
    <w:rsid w:val="00CC0FAA"/>
    <w:rsid w:val="00CD0736"/>
    <w:rsid w:val="00CD7197"/>
    <w:rsid w:val="00D03484"/>
    <w:rsid w:val="00D1570F"/>
    <w:rsid w:val="00D32830"/>
    <w:rsid w:val="00D56357"/>
    <w:rsid w:val="00D66887"/>
    <w:rsid w:val="00D97021"/>
    <w:rsid w:val="00DA047F"/>
    <w:rsid w:val="00DB7153"/>
    <w:rsid w:val="00DB7F05"/>
    <w:rsid w:val="00DC24B0"/>
    <w:rsid w:val="00DD745D"/>
    <w:rsid w:val="00DE2332"/>
    <w:rsid w:val="00DE79AC"/>
    <w:rsid w:val="00DE7FED"/>
    <w:rsid w:val="00DF27A5"/>
    <w:rsid w:val="00E028C3"/>
    <w:rsid w:val="00E11347"/>
    <w:rsid w:val="00E14F77"/>
    <w:rsid w:val="00E15D03"/>
    <w:rsid w:val="00E21860"/>
    <w:rsid w:val="00E3063D"/>
    <w:rsid w:val="00E3076B"/>
    <w:rsid w:val="00E36978"/>
    <w:rsid w:val="00E36E4E"/>
    <w:rsid w:val="00E408EC"/>
    <w:rsid w:val="00E44747"/>
    <w:rsid w:val="00E82A1E"/>
    <w:rsid w:val="00EA05EC"/>
    <w:rsid w:val="00EC06F4"/>
    <w:rsid w:val="00EE4E36"/>
    <w:rsid w:val="00EF2C9E"/>
    <w:rsid w:val="00EF510E"/>
    <w:rsid w:val="00EF7576"/>
    <w:rsid w:val="00F01E64"/>
    <w:rsid w:val="00F10156"/>
    <w:rsid w:val="00F570E4"/>
    <w:rsid w:val="00F664FA"/>
    <w:rsid w:val="00F665F4"/>
    <w:rsid w:val="00F75C25"/>
    <w:rsid w:val="00FA33FA"/>
    <w:rsid w:val="00FD225F"/>
    <w:rsid w:val="00FD3E70"/>
    <w:rsid w:val="02764E9F"/>
    <w:rsid w:val="02A44BC7"/>
    <w:rsid w:val="05B00A30"/>
    <w:rsid w:val="08770961"/>
    <w:rsid w:val="0A152B32"/>
    <w:rsid w:val="0A8D7F53"/>
    <w:rsid w:val="0B011416"/>
    <w:rsid w:val="0B3659CD"/>
    <w:rsid w:val="0D2728DE"/>
    <w:rsid w:val="0F9A7001"/>
    <w:rsid w:val="157C75D4"/>
    <w:rsid w:val="15B65EDF"/>
    <w:rsid w:val="16A73CCB"/>
    <w:rsid w:val="17B87137"/>
    <w:rsid w:val="1D1C053E"/>
    <w:rsid w:val="1E114D88"/>
    <w:rsid w:val="1EE05436"/>
    <w:rsid w:val="201415AC"/>
    <w:rsid w:val="20CD75F1"/>
    <w:rsid w:val="216C2ED0"/>
    <w:rsid w:val="22EA3A45"/>
    <w:rsid w:val="23952070"/>
    <w:rsid w:val="27494034"/>
    <w:rsid w:val="290765FC"/>
    <w:rsid w:val="2A9622F8"/>
    <w:rsid w:val="2BA3603B"/>
    <w:rsid w:val="2DA9146C"/>
    <w:rsid w:val="2F336BBD"/>
    <w:rsid w:val="30C62F1F"/>
    <w:rsid w:val="3102747B"/>
    <w:rsid w:val="319C5431"/>
    <w:rsid w:val="31C2036A"/>
    <w:rsid w:val="31D4516F"/>
    <w:rsid w:val="320D02A5"/>
    <w:rsid w:val="348E566F"/>
    <w:rsid w:val="34E243AC"/>
    <w:rsid w:val="35832F9A"/>
    <w:rsid w:val="38C73A47"/>
    <w:rsid w:val="38D313B7"/>
    <w:rsid w:val="39FE4AF3"/>
    <w:rsid w:val="3A226944"/>
    <w:rsid w:val="3AEE6A48"/>
    <w:rsid w:val="3B726FF9"/>
    <w:rsid w:val="3C1620AA"/>
    <w:rsid w:val="3C865FBF"/>
    <w:rsid w:val="3D8F080F"/>
    <w:rsid w:val="3E250967"/>
    <w:rsid w:val="44CE1FA4"/>
    <w:rsid w:val="46AF102F"/>
    <w:rsid w:val="487F73ED"/>
    <w:rsid w:val="4A347EAE"/>
    <w:rsid w:val="4B49018E"/>
    <w:rsid w:val="4B696A83"/>
    <w:rsid w:val="4C262863"/>
    <w:rsid w:val="4D8175F0"/>
    <w:rsid w:val="514A7426"/>
    <w:rsid w:val="52600405"/>
    <w:rsid w:val="529B4319"/>
    <w:rsid w:val="52AD6A3B"/>
    <w:rsid w:val="5549343E"/>
    <w:rsid w:val="57023BB0"/>
    <w:rsid w:val="57773DD6"/>
    <w:rsid w:val="578B79AB"/>
    <w:rsid w:val="5910025B"/>
    <w:rsid w:val="5A3727E2"/>
    <w:rsid w:val="5AD6492A"/>
    <w:rsid w:val="5CCD3FD5"/>
    <w:rsid w:val="5EBF34C4"/>
    <w:rsid w:val="5F9B28EA"/>
    <w:rsid w:val="61FA5F9D"/>
    <w:rsid w:val="63AC1FC3"/>
    <w:rsid w:val="63D02FE4"/>
    <w:rsid w:val="646F1AF9"/>
    <w:rsid w:val="64CD6910"/>
    <w:rsid w:val="64F17A76"/>
    <w:rsid w:val="6510639D"/>
    <w:rsid w:val="651B4F11"/>
    <w:rsid w:val="66507775"/>
    <w:rsid w:val="66CD4C89"/>
    <w:rsid w:val="6789158D"/>
    <w:rsid w:val="67D81BA4"/>
    <w:rsid w:val="6A207E94"/>
    <w:rsid w:val="6AAF1C96"/>
    <w:rsid w:val="6B1330AB"/>
    <w:rsid w:val="6B7B1983"/>
    <w:rsid w:val="6BA0371A"/>
    <w:rsid w:val="6D321B7A"/>
    <w:rsid w:val="6E655D36"/>
    <w:rsid w:val="6F531399"/>
    <w:rsid w:val="73A35B9F"/>
    <w:rsid w:val="75681757"/>
    <w:rsid w:val="75A346A8"/>
    <w:rsid w:val="75BA0073"/>
    <w:rsid w:val="75CA1E4B"/>
    <w:rsid w:val="79B9382C"/>
    <w:rsid w:val="7B043B76"/>
    <w:rsid w:val="7B271B73"/>
    <w:rsid w:val="7B4F71A1"/>
    <w:rsid w:val="7C041A6A"/>
    <w:rsid w:val="7C2C01E4"/>
    <w:rsid w:val="7C43395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5.xml"/><Relationship Id="rId3" Type="http://schemas.openxmlformats.org/officeDocument/2006/relationships/header" Target="header1.xml"/><Relationship Id="rId29" Type="http://schemas.openxmlformats.org/officeDocument/2006/relationships/chart" Target="charts/chart4.xml"/><Relationship Id="rId28" Type="http://schemas.openxmlformats.org/officeDocument/2006/relationships/chart" Target="charts/chart3.xml"/><Relationship Id="rId27" Type="http://schemas.openxmlformats.org/officeDocument/2006/relationships/chart" Target="charts/chart2.xml"/><Relationship Id="rId26" Type="http://schemas.openxmlformats.org/officeDocument/2006/relationships/chart" Target="charts/chart1.xml"/><Relationship Id="rId25" Type="http://schemas.openxmlformats.org/officeDocument/2006/relationships/image" Target="media/image2.GIF"/><Relationship Id="rId24" Type="http://schemas.openxmlformats.org/officeDocument/2006/relationships/theme" Target="theme/theme1.xml"/><Relationship Id="rId23" Type="http://schemas.openxmlformats.org/officeDocument/2006/relationships/footer" Target="footer8.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0.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Users/zlj/Library/Containers/com.kingsoft.wpsoffice.mac/Data/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收入决算情况说明</a:t>
            </a:r>
          </a:p>
        </c:rich>
      </c:tx>
      <c:layout>
        <c:manualLayout>
          <c:xMode val="edge"/>
          <c:yMode val="edge"/>
          <c:x val="0.36175"/>
          <c:y val="0.0266666666666667"/>
        </c:manualLayout>
      </c:layout>
      <c:overlay val="0"/>
      <c:spPr>
        <a:noFill/>
        <a:ln>
          <a:noFill/>
        </a:ln>
        <a:effectLst/>
      </c:spPr>
    </c:title>
    <c:autoTitleDeleted val="0"/>
    <c:plotArea>
      <c:layout>
        <c:manualLayout>
          <c:layoutTarget val="inner"/>
          <c:xMode val="edge"/>
          <c:yMode val="edge"/>
          <c:x val="0.2159375"/>
          <c:y val="0.120333333333333"/>
          <c:w val="0.570625"/>
          <c:h val="0.760833333333333"/>
        </c:manualLayout>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Sheet1!$A$2:$A$4</c:f>
              <c:strCache>
                <c:ptCount val="3"/>
                <c:pt idx="0">
                  <c:v>一般公共预算财政拨款收入</c:v>
                </c:pt>
                <c:pt idx="1">
                  <c:v>政府性基金预算财政拨款收入</c:v>
                </c:pt>
                <c:pt idx="2">
                  <c:v>其他收入</c:v>
                </c:pt>
              </c:strCache>
            </c:strRef>
          </c:cat>
          <c:val>
            <c:numRef>
              <c:f>Sheet1!$B$2:$B$4</c:f>
              <c:numCache>
                <c:formatCode>General</c:formatCode>
                <c:ptCount val="3"/>
                <c:pt idx="0">
                  <c:v>98.9</c:v>
                </c:pt>
                <c:pt idx="1">
                  <c:v>0.1</c:v>
                </c:pt>
                <c:pt idx="2">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支出决算情况说明</c:v>
                </c:pt>
              </c:strCache>
            </c:strRef>
          </c:tx>
          <c:spPr>
            <a:gradFill>
              <a:gsLst>
                <a:gs pos="0">
                  <a:srgbClr val="007BD3"/>
                </a:gs>
                <a:gs pos="100000">
                  <a:srgbClr val="034373"/>
                </a:gs>
              </a:gsLst>
              <a:lin scaled="0"/>
            </a:gradFill>
          </c:spPr>
          <c:explosion val="0"/>
          <c:dPt>
            <c:idx val="0"/>
            <c:bubble3D val="0"/>
            <c:spPr>
              <a:solidFill>
                <a:srgbClr val="FF0000"/>
              </a:solidFill>
              <a:ln w="19050">
                <a:solidFill>
                  <a:schemeClr val="lt1"/>
                </a:solidFill>
              </a:ln>
              <a:effectLst/>
            </c:spPr>
          </c:dPt>
          <c:dPt>
            <c:idx val="1"/>
            <c:bubble3D val="0"/>
            <c:spPr>
              <a:gradFill>
                <a:gsLst>
                  <a:gs pos="0">
                    <a:srgbClr val="007BD3"/>
                  </a:gs>
                  <a:gs pos="100000">
                    <a:srgbClr val="034373"/>
                  </a:gs>
                </a:gsLst>
                <a:lin scaled="0"/>
              </a:gra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General</c:formatCode>
                <c:ptCount val="2"/>
                <c:pt idx="0">
                  <c:v>11.7</c:v>
                </c:pt>
                <c:pt idx="1">
                  <c:v>88.3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075"/>
          <c:y val="0.120336106489185"/>
          <c:w val="0.882425"/>
          <c:h val="0.7165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2018年度收入</c:v>
                </c:pt>
                <c:pt idx="1">
                  <c:v>2019年度收入</c:v>
                </c:pt>
                <c:pt idx="2">
                  <c:v>2018年度支出</c:v>
                </c:pt>
                <c:pt idx="3">
                  <c:v>2019年度支出</c:v>
                </c:pt>
              </c:strCache>
            </c:strRef>
          </c:cat>
          <c:val>
            <c:numRef>
              <c:f>Sheet1!$B$2:$B$5</c:f>
              <c:numCache>
                <c:formatCode>General</c:formatCode>
                <c:ptCount val="4"/>
                <c:pt idx="0">
                  <c:v>7061</c:v>
                </c:pt>
                <c:pt idx="1">
                  <c:v>15063</c:v>
                </c:pt>
                <c:pt idx="2">
                  <c:v>7061</c:v>
                </c:pt>
                <c:pt idx="3">
                  <c:v>12601</c:v>
                </c:pt>
              </c:numCache>
            </c:numRef>
          </c:val>
        </c:ser>
        <c:dLbls>
          <c:showLegendKey val="0"/>
          <c:showVal val="1"/>
          <c:showCatName val="0"/>
          <c:showSerName val="0"/>
          <c:showPercent val="0"/>
          <c:showBubbleSize val="0"/>
        </c:dLbls>
        <c:gapWidth val="219"/>
        <c:overlap val="-27"/>
        <c:axId val="239782096"/>
        <c:axId val="417164334"/>
      </c:barChart>
      <c:catAx>
        <c:axId val="2397820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7164334"/>
        <c:crosses val="autoZero"/>
        <c:auto val="1"/>
        <c:lblAlgn val="ctr"/>
        <c:lblOffset val="100"/>
        <c:noMultiLvlLbl val="0"/>
      </c:catAx>
      <c:valAx>
        <c:axId val="417164334"/>
        <c:scaling>
          <c:orientation val="minMax"/>
          <c:max val="16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9782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075"/>
          <c:y val="0.120336106489185"/>
          <c:w val="0.882425"/>
          <c:h val="0.7165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2019年收入预算数</c:v>
                </c:pt>
                <c:pt idx="1">
                  <c:v>2019年收入决算数</c:v>
                </c:pt>
                <c:pt idx="2">
                  <c:v>2019年支出预算数</c:v>
                </c:pt>
                <c:pt idx="3">
                  <c:v>2019年支出决算数</c:v>
                </c:pt>
              </c:strCache>
            </c:strRef>
          </c:cat>
          <c:val>
            <c:numRef>
              <c:f>Sheet1!$B$2:$B$5</c:f>
              <c:numCache>
                <c:formatCode>General</c:formatCode>
                <c:ptCount val="4"/>
                <c:pt idx="0">
                  <c:v>12484</c:v>
                </c:pt>
                <c:pt idx="1">
                  <c:v>15063</c:v>
                </c:pt>
                <c:pt idx="2">
                  <c:v>12484</c:v>
                </c:pt>
                <c:pt idx="3">
                  <c:v>12601</c:v>
                </c:pt>
              </c:numCache>
            </c:numRef>
          </c:val>
        </c:ser>
        <c:dLbls>
          <c:showLegendKey val="0"/>
          <c:showVal val="1"/>
          <c:showCatName val="0"/>
          <c:showSerName val="0"/>
          <c:showPercent val="0"/>
          <c:showBubbleSize val="0"/>
        </c:dLbls>
        <c:gapWidth val="219"/>
        <c:overlap val="-27"/>
        <c:axId val="239782096"/>
        <c:axId val="417164334"/>
      </c:barChart>
      <c:catAx>
        <c:axId val="2397820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7164334"/>
        <c:crosses val="autoZero"/>
        <c:auto val="1"/>
        <c:lblAlgn val="ctr"/>
        <c:lblOffset val="100"/>
        <c:noMultiLvlLbl val="0"/>
      </c:catAx>
      <c:valAx>
        <c:axId val="417164334"/>
        <c:scaling>
          <c:orientation val="minMax"/>
          <c:max val="16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9782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3377145833333"/>
          <c:y val="0.117008319467554"/>
          <c:w val="0.882425"/>
          <c:h val="0.716566666666667"/>
        </c:manualLayout>
      </c:layout>
      <c:pieChart>
        <c:varyColors val="1"/>
        <c:ser>
          <c:idx val="0"/>
          <c:order val="0"/>
          <c:spPr/>
          <c:explosion val="0"/>
          <c:dPt>
            <c:idx val="0"/>
            <c:bubble3D val="0"/>
            <c:explosion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Pt>
            <c:idx val="7"/>
            <c:bubble3D val="0"/>
            <c:spPr>
              <a:solidFill>
                <a:schemeClr val="accent2">
                  <a:lumMod val="60000"/>
                </a:schemeClr>
              </a:solidFill>
              <a:ln>
                <a:noFill/>
              </a:ln>
              <a:effectLst>
                <a:outerShdw blurRad="254000" sx="102000" sy="102000" algn="ctr" rotWithShape="0">
                  <a:prstClr val="black">
                    <a:alpha val="20000"/>
                  </a:prstClr>
                </a:outerShdw>
              </a:effectLst>
            </c:spPr>
          </c:dPt>
          <c:dPt>
            <c:idx val="8"/>
            <c:bubble3D val="0"/>
            <c:spPr>
              <a:solidFill>
                <a:schemeClr val="accent3">
                  <a:lumMod val="60000"/>
                </a:schemeClr>
              </a:solidFill>
              <a:ln>
                <a:noFill/>
              </a:ln>
              <a:effectLst>
                <a:outerShdw blurRad="254000" sx="102000" sy="102000" algn="ctr" rotWithShape="0">
                  <a:prstClr val="black">
                    <a:alpha val="20000"/>
                  </a:prstClr>
                </a:outerShdw>
              </a:effectLst>
            </c:spPr>
          </c:dPt>
          <c:dPt>
            <c:idx val="9"/>
            <c:bubble3D val="0"/>
            <c:spPr>
              <a:solidFill>
                <a:schemeClr val="accent4">
                  <a:lumMod val="60000"/>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extLst>
                <c:ext xmlns:c15="http://schemas.microsoft.com/office/drawing/2012/chart" uri="{02D57815-91ED-43cb-92C2-25804820EDAC}">
                  <c15:fullRef>
                    <c15:sqref>Sheet1!$A$1:$A$11</c15:sqref>
                  </c15:fullRef>
                </c:ext>
              </c:extLst>
              <c:f>Sheet1!$A$2:$A$11</c:f>
              <c:strCache>
                <c:ptCount val="10"/>
                <c:pt idx="0">
                  <c:v>一般公共服务支出</c:v>
                </c:pt>
                <c:pt idx="1">
                  <c:v>公共安全支出</c:v>
                </c:pt>
                <c:pt idx="2">
                  <c:v>教育支出</c:v>
                </c:pt>
                <c:pt idx="3">
                  <c:v>文化旅游体育与传媒支出</c:v>
                </c:pt>
                <c:pt idx="4">
                  <c:v>社会保障和就业支出</c:v>
                </c:pt>
                <c:pt idx="5">
                  <c:v>卫生健康支出</c:v>
                </c:pt>
                <c:pt idx="6">
                  <c:v>节能环保支出</c:v>
                </c:pt>
                <c:pt idx="7">
                  <c:v>城乡社区支出</c:v>
                </c:pt>
                <c:pt idx="8">
                  <c:v>农林水支出</c:v>
                </c:pt>
                <c:pt idx="9">
                  <c:v>资源勘探信息等、
灾害防治及应急管理支出</c:v>
                </c:pt>
              </c:strCache>
            </c:strRef>
          </c:cat>
          <c:val>
            <c:numRef>
              <c:extLst>
                <c:ext xmlns:c15="http://schemas.microsoft.com/office/drawing/2012/chart" uri="{02D57815-91ED-43cb-92C2-25804820EDAC}">
                  <c15:fullRef>
                    <c15:sqref>Sheet1!$B$1:$B$11</c15:sqref>
                  </c15:fullRef>
                </c:ext>
              </c:extLst>
              <c:f>Sheet1!$B$2:$B$11</c:f>
              <c:numCache>
                <c:formatCode>General</c:formatCode>
                <c:ptCount val="10"/>
                <c:pt idx="0">
                  <c:v>12.17</c:v>
                </c:pt>
                <c:pt idx="1">
                  <c:v>0.05</c:v>
                </c:pt>
                <c:pt idx="2">
                  <c:v>1.28</c:v>
                </c:pt>
                <c:pt idx="3">
                  <c:v>0.26</c:v>
                </c:pt>
                <c:pt idx="4">
                  <c:v>0.39</c:v>
                </c:pt>
                <c:pt idx="5">
                  <c:v>0.16</c:v>
                </c:pt>
                <c:pt idx="6">
                  <c:v>0.68</c:v>
                </c:pt>
                <c:pt idx="7">
                  <c:v>79.24</c:v>
                </c:pt>
                <c:pt idx="8">
                  <c:v>5.71</c:v>
                </c:pt>
                <c:pt idx="9">
                  <c:v>0.06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005"/>
          <c:y val="0.0512479201331115"/>
          <c:w val="0.232125"/>
          <c:h val="0.911314475873544"/>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22"/>
    <customShpInfo spid="_x0000_s2123"/>
    <customShpInfo spid="_x0000_s2124"/>
    <customShpInfo spid="_x0000_s212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126"/>
    <customShpInfo spid="_x0000_s2127"/>
    <customShpInfo spid="_x0000_s2128"/>
    <customShpInfo spid="_x0000_s2125"/>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130"/>
    <customShpInfo spid="_x0000_s2131"/>
    <customShpInfo spid="_x0000_s2132"/>
    <customShpInfo spid="_x0000_s2129"/>
    <customShpInfo spid="_x0000_s2068"/>
    <customShpInfo spid="_x0000_s2067"/>
    <customShpInfo spid="_x0000_s2066"/>
    <customShpInfo spid="_x0000_s2065"/>
    <customShpInfo spid="_x0000_s2064"/>
    <customShpInfo spid="_x0000_s2134"/>
    <customShpInfo spid="_x0000_s2135"/>
    <customShpInfo spid="_x0000_s2136"/>
    <customShpInfo spid="_x0000_s2133"/>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51"/>
    <customShpInfo spid="_x0000_s1050"/>
    <customShpInfo spid="_x0000_s1049"/>
    <customShpInfo spid="_x0000_s1048"/>
    <customShpInfo spid="_x0000_s1047"/>
    <customShpInfo spid="_x0000_s1046"/>
    <customShpInfo spid="_x0000_s1042"/>
    <customShpInfo spid="_x0000_s1054"/>
    <customShpInfo spid="_x0000_s1055"/>
    <customShpInfo spid="_x0000_s1053"/>
    <customShpInfo spid="_x0000_s1026"/>
    <customShpInfo spid="_x0000_s1045"/>
    <customShpInfo spid="_x0000_s1044"/>
    <customShpInfo spid="_x0000_s1043"/>
    <customShpInfo spid="_x0000_s1041"/>
    <customShpInfo spid="_x0000_s1058"/>
    <customShpInfo spid="_x0000_s1059"/>
    <customShpInfo spid="_x0000_s1060"/>
    <customShpInfo spid="_x0000_s1057"/>
    <customShpInfo spid="_x0000_s1040"/>
    <customShpInfo spid="_x0000_s1039"/>
    <customShpInfo spid="_x0000_s1029"/>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2422</Words>
  <Characters>13807</Characters>
  <Lines>115</Lines>
  <Paragraphs>32</Paragraphs>
  <TotalTime>1</TotalTime>
  <ScaleCrop>false</ScaleCrop>
  <LinksUpToDate>false</LinksUpToDate>
  <CharactersWithSpaces>16197</CharactersWithSpaces>
  <Application>WPS Office_5.4.1.7920_F1E327BC-269C-435d-A152-05C5408002CA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吵醒的清晨</cp:lastModifiedBy>
  <cp:lastPrinted>2020-07-30T10:37:00Z</cp:lastPrinted>
  <dcterms:modified xsi:type="dcterms:W3CDTF">2020-11-04T08:54:21Z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2052-5.4.1.7920</vt:lpwstr>
  </property>
  <property fmtid="{D5CDD505-2E9C-101B-9397-08002B2CF9AE}" pid="3" name="ICV">
    <vt:lpwstr>242898A5B1E5836EBDFBA15FD05149F7_42</vt:lpwstr>
  </property>
</Properties>
</file>