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-1393190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a:stretch>
                      <a:fillRect/>
                    </a:stretch>
                  </pic:blipFill>
                  <pic:spPr>
                    <a:xfrm>
                      <a:off x="0" y="0"/>
                      <a:ext cx="7576820" cy="10796905"/>
                    </a:xfrm>
                    <a:prstGeom prst="rect">
                      <a:avLst/>
                    </a:prstGeom>
                  </pic:spPr>
                </pic:pic>
              </a:graphicData>
            </a:graphic>
          </wp:anchor>
        </w:drawing>
      </w:r>
      <w:r>
        <w:rPr>
          <w:sz w:val="72"/>
        </w:rPr>
        <mc:AlternateContent>
          <mc:Choice Requires="wps">
            <w:drawing>
              <wp:anchor distT="0" distB="0" distL="114300" distR="114300" simplePos="0" relativeHeight="251660288" behindDoc="0" locked="0" layoutInCell="1" allowOverlap="1">
                <wp:simplePos x="0" y="0"/>
                <wp:positionH relativeFrom="column">
                  <wp:posOffset>-988695</wp:posOffset>
                </wp:positionH>
                <wp:positionV relativeFrom="paragraph">
                  <wp:posOffset>626110</wp:posOffset>
                </wp:positionV>
                <wp:extent cx="7571740" cy="3045460"/>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304546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t>石家庄市鹿泉区住房和城乡建设局（汇总）</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7.85pt;margin-top:49.3pt;height:239.8pt;width:596.2pt;z-index:251660288;mso-width-relative:page;mso-height-relative:page;" filled="f" stroked="f" coordsize="21600,21600" o:gfxdata="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IWk8L7dAAAADAEAAA8AAAAA&#10;AAAAAQAgAAAAIgAAAGRycy9kb3ducmV2LnhtbFBLAQIUABQAAAAIAIdO4kCYaOC1SAIAAHMEAAAO&#10;AAAAAAAAAAEAIAAAACwBAABkcnMvZTJvRG9jLnhtbFBLBQYAAAAABgAGAFkBAADmBQAAAAA=&#10;">
                <v:fill on="f" focussize="0,0"/>
                <v:stroke on="f" weight="0.5pt"/>
                <v:imagedata o:title=""/>
                <o:lock v:ext="edit" aspectratio="f"/>
                <v:textbox>
                  <w:txbxContent>
                    <w:p>
                      <w:pPr>
                        <w:widowControl/>
                        <w:spacing w:line="1200" w:lineRule="exact"/>
                        <w:jc w:val="cente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t>石家庄市鹿泉区住房和城乡建设局（汇总）</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v:textbox>
              </v:shape>
            </w:pict>
          </mc:Fallback>
        </mc:AlternateContent>
      </w:r>
    </w:p>
    <w:p>
      <w:pPr>
        <w:widowControl/>
        <w:jc w:val="center"/>
        <w:rPr>
          <w:rFonts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hint="eastAsia"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w:t>
      </w:r>
      <w:r>
        <w:rPr>
          <w:rFonts w:hint="eastAsia" w:ascii="楷体_GB2312" w:hAnsi="楷体" w:eastAsia="楷体_GB2312" w:cs="楷体"/>
          <w:b/>
          <w:sz w:val="40"/>
          <w:szCs w:val="40"/>
          <w:lang w:eastAsia="zh-CN"/>
        </w:rPr>
        <w:t>二</w:t>
      </w:r>
      <w:r>
        <w:rPr>
          <w:rFonts w:hint="eastAsia" w:ascii="楷体_GB2312" w:hAnsi="楷体" w:eastAsia="楷体_GB2312" w:cs="楷体"/>
          <w:b/>
          <w:sz w:val="40"/>
          <w:szCs w:val="40"/>
        </w:rPr>
        <w:t>十</w:t>
      </w:r>
      <w:r>
        <w:rPr>
          <w:rFonts w:hint="eastAsia" w:ascii="楷体_GB2312" w:hAnsi="楷体" w:eastAsia="楷体_GB2312" w:cs="楷体"/>
          <w:b/>
          <w:sz w:val="40"/>
          <w:szCs w:val="40"/>
          <w:lang w:eastAsia="zh-CN"/>
        </w:rPr>
        <w:t>五</w:t>
      </w:r>
      <w:r>
        <w:rPr>
          <w:rFonts w:hint="eastAsia" w:ascii="楷体_GB2312" w:hAnsi="楷体" w:eastAsia="楷体_GB2312" w:cs="楷体"/>
          <w:b/>
          <w:sz w:val="40"/>
          <w:szCs w:val="40"/>
        </w:rPr>
        <w:t>日</w:t>
      </w:r>
    </w:p>
    <w:p>
      <w:pPr>
        <w:spacing w:before="624" w:beforeLines="200" w:after="0" w:line="1000" w:lineRule="exact"/>
        <w:jc w:val="center"/>
        <w:rPr>
          <w:rFonts w:ascii="黑体" w:eastAsia="黑体"/>
          <w:sz w:val="48"/>
          <w:szCs w:val="48"/>
        </w:rPr>
      </w:pPr>
      <w:r>
        <w:rPr>
          <w:sz w:val="48"/>
          <w:szCs w:val="28"/>
        </w:rPr>
        <mc:AlternateContent>
          <mc:Choice Requires="wpg">
            <w:drawing>
              <wp:anchor distT="0" distB="0" distL="114300" distR="114300" simplePos="0" relativeHeight="251675648"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179"/>
                <wp:cNvGraphicFramePr/>
                <a:graphic xmlns:a="http://schemas.openxmlformats.org/drawingml/2006/main">
                  <a:graphicData uri="http://schemas.microsoft.com/office/word/2010/wordprocessingGroup">
                    <wpg:wgp>
                      <wpg:cNvGrpSpPr/>
                      <wpg:grpSpPr>
                        <a:xfrm>
                          <a:off x="0" y="0"/>
                          <a:ext cx="3175635" cy="593090"/>
                          <a:chOff x="4551" y="52615"/>
                          <a:chExt cx="8546" cy="1398"/>
                        </a:xfrm>
                      </wpg:grpSpPr>
                      <wps:wsp>
                        <wps:cNvPr id="1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95pt;height:46.7pt;width:250.05pt;mso-position-vertical-relative:page;z-index:251675648;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YPMNU2wAAAAsBAAAPAAAAAAAAAAEAIAAAACIAAABkcnMvZG93bnJldi54bWxQSwECFAAU&#10;AAAACACHTuJAvbfrIEQDAABACQAADgAAAAAAAAABACAAAAAq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v:textbox>
                </v:rect>
                <w10:anchorlock/>
              </v:group>
            </w:pict>
          </mc:Fallback>
        </mc:AlternateConten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  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74624"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176" name="组合 176"/>
                <wp:cNvGraphicFramePr/>
                <a:graphic xmlns:a="http://schemas.openxmlformats.org/drawingml/2006/main">
                  <a:graphicData uri="http://schemas.microsoft.com/office/word/2010/wordprocessingGroup">
                    <wpg:wgp>
                      <wpg:cNvGrpSpPr/>
                      <wpg:grpSpPr>
                        <a:xfrm>
                          <a:off x="0" y="0"/>
                          <a:ext cx="2829560" cy="593090"/>
                          <a:chOff x="4551" y="52615"/>
                          <a:chExt cx="8546" cy="1398"/>
                        </a:xfrm>
                      </wpg:grpSpPr>
                      <wps:wsp>
                        <wps:cNvPr id="17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8.95pt;height:46.7pt;width:222.8pt;mso-position-vertical-relative:page;z-index:251674624;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ezVw+2wAAAAsBAAAPAAAAAAAAAAEAIAAAACIAAABkcnMvZG93bnJldi54bWxQSwECFAAU&#10;AAAACACHTuJAIRuBe0QDAABACQAADgAAAAAAAAABACAAAAAq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v:textbox>
                </v:rect>
                <w10:anchorlock/>
              </v:group>
            </w:pict>
          </mc:Fallback>
        </mc:AlternateConten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72576"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257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yaRGbkACAABr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xcMEYig2SbFf9RtkK6ruAMzTMB3ByfMWyS9EiFfCYxyABQsTL3HUmpCENhJnDflv&#10;/9Inf3QJVs46jFfJw9e18Ioz/cGif0fjg4M0j/lyMJ3t4+KfWlZPLXZtTgkTPMZqOpnF5B/1Vqw9&#10;mS/Yq2XKCpOwErlLHrfiaRyGHnsp1XKZnTCBTsQLe+1kCj3QuVxHqtvMdKJp4GbDHmYwN2CzL2nI&#10;n96z1+M/YvE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qIrDqd4AAAANAQAADwAAAAAAAAABACAA&#10;AAAiAAAAZHJzL2Rvd25yZXYueG1sUEsBAhQAFAAAAAgAh07iQMmkRm5AAgAAawQAAA4AAAAAAAAA&#10;AQAgAAAALQEAAGRycy9lMm9Eb2MueG1sUEsFBgAAAAAGAAYAWQEAAN8FAAAAAA==&#10;">
                <v:fill on="f" focussize="0,0"/>
                <v:stroke on="f" weight="0.5pt"/>
                <v:imagedata o:title=""/>
                <o:lock v:ext="edit" aspectratio="f"/>
                <v:textbo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v:textbox>
              </v:shape>
            </w:pict>
          </mc:Fallback>
        </mc:AlternateConten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62336"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5" name="组合 15"/>
                <wp:cNvGraphicFramePr/>
                <a:graphic xmlns:a="http://schemas.openxmlformats.org/drawingml/2006/main">
                  <a:graphicData uri="http://schemas.microsoft.com/office/word/2010/wordprocessingGroup">
                    <wpg:wgp>
                      <wpg:cNvGrpSpPr/>
                      <wpg:grpSpPr>
                        <a:xfrm>
                          <a:off x="0" y="0"/>
                          <a:ext cx="3114675" cy="592957"/>
                          <a:chOff x="4551" y="52615"/>
                          <a:chExt cx="8546" cy="1398"/>
                        </a:xfrm>
                      </wpg:grpSpPr>
                      <wps:wsp>
                        <wps:cNvPr id="1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5pt;height:46.7pt;width:245.25pt;mso-position-vertical-relative:page;z-index:251662336;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">
                <o:lock v:ext="edit" aspectratio="f"/>
                <v:rect id="_x0000_s1026" o:spid="_x0000_s1026" o:spt="1" style="position:absolute;left:4551;top:52615;height:1175;width:8546;v-text-anchor:middle;" fillcolor="#D9D9D9 [2732]"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v:textbox>
                </v:rect>
                <w10:anchorlock/>
              </v:group>
            </w:pict>
          </mc:Fallback>
        </mc:AlternateContent>
      </w:r>
      <w:r>
        <w:rPr>
          <w:rFonts w:hint="eastAsia" w:ascii="黑体" w:eastAsia="黑体" w:cs="黑体" w:hAnsiTheme="minorHAnsi"/>
          <w:b w:val="0"/>
          <w:bCs w:val="0"/>
          <w:kern w:val="0"/>
          <w:sz w:val="32"/>
          <w:szCs w:val="32"/>
        </w:rPr>
        <w:t>一、部门职责</w:t>
      </w:r>
    </w:p>
    <w:p>
      <w:pPr>
        <w:keepNext w:val="0"/>
        <w:keepLines w:val="0"/>
        <w:pageBreakBefore w:val="0"/>
        <w:widowControl w:val="0"/>
        <w:numPr>
          <w:ilvl w:val="0"/>
          <w:numId w:val="1"/>
        </w:numPr>
        <w:kinsoku/>
        <w:wordWrap/>
        <w:overflowPunct/>
        <w:topLinePunct w:val="0"/>
        <w:autoSpaceDE/>
        <w:autoSpaceDN/>
        <w:bidi w:val="0"/>
        <w:adjustRightInd/>
        <w:snapToGrid/>
        <w:spacing w:line="578" w:lineRule="exact"/>
        <w:ind w:left="0" w:leftChars="0" w:firstLine="420" w:firstLineChars="0"/>
        <w:textAlignment w:val="auto"/>
        <w:outlineLvl w:val="9"/>
        <w:rPr>
          <w:rFonts w:hint="eastAsia" w:ascii="仿宋_GB2312" w:hAnsi="仿宋_GB2312" w:eastAsia="仿宋_GB2312" w:cs="仿宋_GB2312"/>
          <w:b w:val="0"/>
          <w:bCs/>
          <w:color w:val="000000"/>
          <w:sz w:val="32"/>
          <w:szCs w:val="32"/>
          <w:u w:val="none"/>
        </w:rPr>
      </w:pPr>
      <w:r>
        <w:rPr>
          <w:rFonts w:hint="eastAsia" w:ascii="仿宋_GB2312" w:hAnsi="仿宋_GB2312" w:eastAsia="仿宋_GB2312" w:cs="仿宋_GB2312"/>
          <w:b w:val="0"/>
          <w:bCs/>
          <w:color w:val="000000"/>
          <w:sz w:val="32"/>
          <w:szCs w:val="32"/>
          <w:u w:val="none"/>
        </w:rPr>
        <w:t>贯彻执行国家和省、市住房城乡建设工作的方针、政策和法律、法规。</w:t>
      </w:r>
      <w:r>
        <w:rPr>
          <w:rFonts w:hint="eastAsia" w:ascii="仿宋_GB2312" w:hAnsi="仿宋_GB2312" w:eastAsia="仿宋_GB2312" w:cs="仿宋_GB2312"/>
          <w:b w:val="0"/>
          <w:bCs/>
          <w:color w:val="000000"/>
          <w:sz w:val="32"/>
          <w:szCs w:val="32"/>
          <w:u w:val="none"/>
          <w:lang w:eastAsia="zh-CN"/>
        </w:rPr>
        <w:t>贯彻落实上级城乡建设发展规划并组织实施；</w:t>
      </w:r>
      <w:r>
        <w:rPr>
          <w:rFonts w:hint="eastAsia" w:ascii="仿宋_GB2312" w:hAnsi="仿宋_GB2312" w:eastAsia="仿宋_GB2312" w:cs="仿宋_GB2312"/>
          <w:b w:val="0"/>
          <w:bCs/>
          <w:color w:val="000000"/>
          <w:sz w:val="32"/>
          <w:szCs w:val="32"/>
          <w:u w:val="none"/>
        </w:rPr>
        <w:t>研究提出住房城乡建设领域重大问题的政策建议；会同有关部门，做好城市建设行业涉及本部门的相关专业规划的编制和实施工作；负责住房城乡建设行业安全生产监管。</w:t>
      </w:r>
    </w:p>
    <w:p>
      <w:pPr>
        <w:keepNext w:val="0"/>
        <w:keepLines w:val="0"/>
        <w:pageBreakBefore w:val="0"/>
        <w:widowControl w:val="0"/>
        <w:numPr>
          <w:ilvl w:val="0"/>
          <w:numId w:val="1"/>
        </w:numPr>
        <w:kinsoku/>
        <w:wordWrap/>
        <w:overflowPunct/>
        <w:topLinePunct w:val="0"/>
        <w:autoSpaceDE/>
        <w:autoSpaceDN/>
        <w:bidi w:val="0"/>
        <w:adjustRightInd/>
        <w:snapToGrid/>
        <w:spacing w:line="578" w:lineRule="exact"/>
        <w:ind w:left="0" w:leftChars="0" w:firstLine="420" w:firstLineChars="0"/>
        <w:textAlignment w:val="auto"/>
        <w:outlineLvl w:val="9"/>
        <w:rPr>
          <w:rFonts w:ascii="仿宋_GB2312" w:hAnsi="仿宋_GB2312" w:eastAsia="仿宋_GB2312" w:cs="仿宋_GB2312"/>
          <w:b w:val="0"/>
          <w:bCs/>
          <w:color w:val="000000"/>
          <w:sz w:val="32"/>
          <w:szCs w:val="32"/>
          <w:u w:val="none"/>
        </w:rPr>
      </w:pPr>
      <w:r>
        <w:rPr>
          <w:rFonts w:hint="eastAsia" w:ascii="仿宋_GB2312" w:hAnsi="仿宋_GB2312" w:eastAsia="仿宋_GB2312" w:cs="仿宋_GB2312"/>
          <w:b w:val="0"/>
          <w:bCs/>
          <w:color w:val="000000"/>
          <w:sz w:val="32"/>
          <w:szCs w:val="32"/>
          <w:u w:val="none"/>
        </w:rPr>
        <w:t>贯彻落实党中央、国务院和省、市、区关于城市管理相关工作的方针政策和法律法规。拟订城市管理中长期发展规划和年度计划并组织实施。</w:t>
      </w:r>
    </w:p>
    <w:p>
      <w:pPr>
        <w:keepNext w:val="0"/>
        <w:keepLines w:val="0"/>
        <w:pageBreakBefore w:val="0"/>
        <w:widowControl w:val="0"/>
        <w:numPr>
          <w:ilvl w:val="0"/>
          <w:numId w:val="1"/>
        </w:numPr>
        <w:kinsoku/>
        <w:wordWrap/>
        <w:overflowPunct/>
        <w:topLinePunct w:val="0"/>
        <w:autoSpaceDE/>
        <w:autoSpaceDN/>
        <w:bidi w:val="0"/>
        <w:adjustRightInd/>
        <w:snapToGrid/>
        <w:spacing w:line="578" w:lineRule="exact"/>
        <w:ind w:left="0" w:leftChars="0" w:firstLine="420" w:firstLineChars="0"/>
        <w:textAlignment w:val="auto"/>
        <w:outlineLvl w:val="9"/>
        <w:rPr>
          <w:rFonts w:hint="eastAsia" w:ascii="仿宋_GB2312" w:hAnsi="仿宋_GB2312" w:eastAsia="仿宋_GB2312" w:cs="仿宋_GB2312"/>
          <w:b w:val="0"/>
          <w:bCs/>
          <w:color w:val="000000"/>
          <w:sz w:val="32"/>
          <w:szCs w:val="32"/>
          <w:u w:val="none"/>
        </w:rPr>
      </w:pPr>
      <w:r>
        <w:rPr>
          <w:rFonts w:hint="eastAsia" w:ascii="仿宋_GB2312" w:hAnsi="仿宋_GB2312" w:eastAsia="仿宋_GB2312" w:cs="仿宋_GB2312"/>
          <w:b w:val="0"/>
          <w:bCs/>
          <w:color w:val="000000"/>
          <w:sz w:val="32"/>
          <w:szCs w:val="32"/>
          <w:u w:val="none"/>
          <w:lang w:eastAsia="zh-CN"/>
        </w:rPr>
        <w:t>贯彻落实城镇住房保障相关政策并组织实施</w:t>
      </w:r>
      <w:r>
        <w:rPr>
          <w:rFonts w:hint="eastAsia" w:ascii="仿宋_GB2312" w:hAnsi="仿宋_GB2312" w:eastAsia="仿宋_GB2312" w:cs="仿宋_GB2312"/>
          <w:b w:val="0"/>
          <w:bCs/>
          <w:color w:val="000000"/>
          <w:sz w:val="32"/>
          <w:szCs w:val="32"/>
          <w:u w:val="none"/>
          <w:lang w:val="en-US" w:eastAsia="zh-CN"/>
        </w:rPr>
        <w:t>;</w:t>
      </w:r>
      <w:r>
        <w:rPr>
          <w:rFonts w:hint="eastAsia" w:ascii="仿宋_GB2312" w:hAnsi="仿宋_GB2312" w:eastAsia="仿宋_GB2312" w:cs="仿宋_GB2312"/>
          <w:b w:val="0"/>
          <w:bCs/>
          <w:color w:val="000000"/>
          <w:sz w:val="32"/>
          <w:szCs w:val="32"/>
          <w:u w:val="none"/>
        </w:rPr>
        <w:t>组织编制、实施城镇住房保障发展规划和年度计划；负责保障房配建工作；负责房改房、经济适用住房出售工作；会同有关部门做好中央和省市保障性安居工程资金安排并监督实施。</w:t>
      </w:r>
    </w:p>
    <w:p>
      <w:pPr>
        <w:keepNext w:val="0"/>
        <w:keepLines w:val="0"/>
        <w:pageBreakBefore w:val="0"/>
        <w:widowControl w:val="0"/>
        <w:numPr>
          <w:ilvl w:val="0"/>
          <w:numId w:val="1"/>
        </w:numPr>
        <w:kinsoku/>
        <w:wordWrap/>
        <w:overflowPunct/>
        <w:topLinePunct w:val="0"/>
        <w:autoSpaceDE/>
        <w:autoSpaceDN/>
        <w:bidi w:val="0"/>
        <w:adjustRightInd/>
        <w:snapToGrid/>
        <w:spacing w:line="578" w:lineRule="exact"/>
        <w:ind w:left="0" w:leftChars="0" w:firstLine="420" w:firstLineChars="0"/>
        <w:textAlignment w:val="auto"/>
        <w:outlineLvl w:val="9"/>
        <w:rPr>
          <w:rFonts w:hint="eastAsia" w:ascii="仿宋_GB2312" w:hAnsi="仿宋_GB2312" w:eastAsia="仿宋_GB2312" w:cs="仿宋_GB2312"/>
          <w:b w:val="0"/>
          <w:bCs/>
          <w:color w:val="000000"/>
          <w:sz w:val="32"/>
          <w:szCs w:val="32"/>
          <w:u w:val="none"/>
          <w:lang w:eastAsia="zh-CN"/>
        </w:rPr>
      </w:pPr>
      <w:r>
        <w:rPr>
          <w:rFonts w:hint="eastAsia" w:ascii="仿宋_GB2312" w:hAnsi="仿宋_GB2312" w:eastAsia="仿宋_GB2312" w:cs="仿宋_GB2312"/>
          <w:b w:val="0"/>
          <w:bCs/>
          <w:color w:val="000000"/>
          <w:sz w:val="32"/>
          <w:szCs w:val="32"/>
          <w:u w:val="none"/>
        </w:rPr>
        <w:t>负责推进住房制度改革。</w:t>
      </w:r>
      <w:r>
        <w:rPr>
          <w:rFonts w:hint="eastAsia" w:ascii="仿宋_GB2312" w:hAnsi="仿宋_GB2312" w:eastAsia="仿宋_GB2312" w:cs="仿宋_GB2312"/>
          <w:b w:val="0"/>
          <w:bCs/>
          <w:color w:val="000000"/>
          <w:sz w:val="32"/>
          <w:szCs w:val="32"/>
          <w:u w:val="none"/>
          <w:lang w:eastAsia="zh-CN"/>
        </w:rPr>
        <w:t>贯彻</w:t>
      </w:r>
      <w:r>
        <w:rPr>
          <w:rFonts w:hint="eastAsia" w:ascii="仿宋_GB2312" w:hAnsi="仿宋_GB2312" w:eastAsia="仿宋_GB2312" w:cs="仿宋_GB2312"/>
          <w:b w:val="0"/>
          <w:bCs/>
          <w:color w:val="000000"/>
          <w:sz w:val="32"/>
          <w:szCs w:val="32"/>
          <w:u w:val="none"/>
        </w:rPr>
        <w:t>落实住房政策，指导住房建设，推动住房制度改革</w:t>
      </w:r>
      <w:r>
        <w:rPr>
          <w:rFonts w:hint="eastAsia" w:ascii="仿宋_GB2312" w:hAnsi="仿宋_GB2312" w:eastAsia="仿宋_GB2312" w:cs="仿宋_GB2312"/>
          <w:b w:val="0"/>
          <w:bCs/>
          <w:color w:val="000000"/>
          <w:sz w:val="32"/>
          <w:szCs w:val="32"/>
          <w:u w:val="none"/>
          <w:lang w:eastAsia="zh-CN"/>
        </w:rPr>
        <w:t>；拟订住房建设发展规划并组织实施。</w:t>
      </w:r>
    </w:p>
    <w:p>
      <w:pPr>
        <w:keepNext w:val="0"/>
        <w:keepLines w:val="0"/>
        <w:pageBreakBefore w:val="0"/>
        <w:widowControl w:val="0"/>
        <w:numPr>
          <w:ilvl w:val="0"/>
          <w:numId w:val="1"/>
        </w:numPr>
        <w:kinsoku/>
        <w:wordWrap/>
        <w:overflowPunct/>
        <w:topLinePunct w:val="0"/>
        <w:autoSpaceDE/>
        <w:autoSpaceDN/>
        <w:bidi w:val="0"/>
        <w:adjustRightInd/>
        <w:snapToGrid/>
        <w:spacing w:line="578" w:lineRule="exact"/>
        <w:ind w:left="0" w:leftChars="0" w:firstLine="420" w:firstLineChars="0"/>
        <w:textAlignment w:val="auto"/>
        <w:outlineLvl w:val="9"/>
        <w:rPr>
          <w:rFonts w:hint="eastAsia" w:ascii="仿宋_GB2312" w:hAnsi="仿宋_GB2312" w:eastAsia="仿宋_GB2312" w:cs="仿宋_GB2312"/>
          <w:b w:val="0"/>
          <w:bCs/>
          <w:color w:val="000000"/>
          <w:sz w:val="32"/>
          <w:szCs w:val="32"/>
          <w:u w:val="none"/>
        </w:rPr>
      </w:pPr>
      <w:r>
        <w:rPr>
          <w:rFonts w:hint="eastAsia" w:ascii="仿宋_GB2312" w:hAnsi="仿宋_GB2312" w:eastAsia="仿宋_GB2312" w:cs="仿宋_GB2312"/>
          <w:b w:val="0"/>
          <w:bCs/>
          <w:color w:val="000000"/>
          <w:sz w:val="32"/>
          <w:szCs w:val="32"/>
          <w:u w:val="none"/>
        </w:rPr>
        <w:t>负责全区房地产市场的监督管理。</w:t>
      </w:r>
      <w:r>
        <w:rPr>
          <w:rFonts w:hint="eastAsia" w:ascii="仿宋_GB2312" w:hAnsi="仿宋_GB2312" w:eastAsia="仿宋_GB2312" w:cs="仿宋_GB2312"/>
          <w:b w:val="0"/>
          <w:bCs/>
          <w:color w:val="000000"/>
          <w:sz w:val="32"/>
          <w:szCs w:val="32"/>
          <w:u w:val="none"/>
          <w:lang w:eastAsia="zh-CN"/>
        </w:rPr>
        <w:t>贯彻落实房地产市场调控政策并监督执行；</w:t>
      </w:r>
      <w:r>
        <w:rPr>
          <w:rFonts w:hint="eastAsia" w:ascii="仿宋_GB2312" w:hAnsi="仿宋_GB2312" w:eastAsia="仿宋_GB2312" w:cs="仿宋_GB2312"/>
          <w:b w:val="0"/>
          <w:bCs/>
          <w:color w:val="000000"/>
          <w:sz w:val="32"/>
          <w:szCs w:val="32"/>
          <w:u w:val="none"/>
        </w:rPr>
        <w:t>落实</w:t>
      </w:r>
      <w:r>
        <w:rPr>
          <w:rFonts w:hint="eastAsia" w:ascii="仿宋_GB2312" w:hAnsi="仿宋_GB2312" w:eastAsia="仿宋_GB2312" w:cs="仿宋_GB2312"/>
          <w:b w:val="0"/>
          <w:bCs/>
          <w:color w:val="000000"/>
          <w:sz w:val="32"/>
          <w:szCs w:val="32"/>
          <w:u w:val="none"/>
          <w:lang w:eastAsia="zh-CN"/>
        </w:rPr>
        <w:t>上级</w:t>
      </w:r>
      <w:r>
        <w:rPr>
          <w:rFonts w:hint="eastAsia" w:ascii="仿宋_GB2312" w:hAnsi="仿宋_GB2312" w:eastAsia="仿宋_GB2312" w:cs="仿宋_GB2312"/>
          <w:b w:val="0"/>
          <w:bCs/>
          <w:color w:val="000000"/>
          <w:sz w:val="32"/>
          <w:szCs w:val="32"/>
          <w:u w:val="none"/>
        </w:rPr>
        <w:t>房地产业行业发展规划、产业政策和房地产开发、房屋交易、房屋租赁、房地产估价与经纪管理的规章制度并监督实施。</w:t>
      </w:r>
    </w:p>
    <w:p>
      <w:pPr>
        <w:keepNext w:val="0"/>
        <w:keepLines w:val="0"/>
        <w:pageBreakBefore w:val="0"/>
        <w:widowControl w:val="0"/>
        <w:numPr>
          <w:ilvl w:val="0"/>
          <w:numId w:val="1"/>
        </w:numPr>
        <w:kinsoku/>
        <w:wordWrap/>
        <w:overflowPunct/>
        <w:topLinePunct w:val="0"/>
        <w:autoSpaceDE/>
        <w:autoSpaceDN/>
        <w:bidi w:val="0"/>
        <w:adjustRightInd/>
        <w:snapToGrid/>
        <w:spacing w:line="578" w:lineRule="exact"/>
        <w:ind w:left="0" w:leftChars="0" w:firstLine="420" w:firstLineChars="0"/>
        <w:textAlignment w:val="auto"/>
        <w:outlineLvl w:val="9"/>
        <w:rPr>
          <w:rFonts w:hint="eastAsia" w:ascii="仿宋_GB2312" w:hAnsi="仿宋_GB2312" w:eastAsia="仿宋_GB2312" w:cs="仿宋_GB2312"/>
          <w:b w:val="0"/>
          <w:bCs/>
          <w:color w:val="000000"/>
          <w:sz w:val="32"/>
          <w:szCs w:val="32"/>
          <w:u w:val="none"/>
          <w:lang w:eastAsia="zh-CN"/>
        </w:rPr>
      </w:pPr>
      <w:r>
        <w:rPr>
          <w:rFonts w:hint="eastAsia" w:ascii="仿宋_GB2312" w:hAnsi="仿宋_GB2312" w:eastAsia="仿宋_GB2312" w:cs="仿宋_GB2312"/>
          <w:b w:val="0"/>
          <w:bCs/>
          <w:color w:val="000000"/>
          <w:sz w:val="32"/>
          <w:szCs w:val="32"/>
          <w:u w:val="none"/>
        </w:rPr>
        <w:t>负责建筑市场的监督管理。</w:t>
      </w:r>
      <w:r>
        <w:rPr>
          <w:rFonts w:hint="eastAsia" w:ascii="仿宋_GB2312" w:hAnsi="仿宋_GB2312" w:eastAsia="仿宋_GB2312" w:cs="仿宋_GB2312"/>
          <w:b w:val="0"/>
          <w:bCs/>
          <w:color w:val="000000"/>
          <w:sz w:val="32"/>
          <w:szCs w:val="32"/>
          <w:u w:val="none"/>
          <w:lang w:eastAsia="zh-CN"/>
        </w:rPr>
        <w:t>落实建筑市场发展规划和管理制度并监督实施；负责建筑劳务市场管理；</w:t>
      </w:r>
      <w:r>
        <w:rPr>
          <w:rFonts w:hint="eastAsia" w:ascii="仿宋_GB2312" w:hAnsi="仿宋_GB2312" w:eastAsia="仿宋_GB2312" w:cs="仿宋_GB2312"/>
          <w:b w:val="0"/>
          <w:bCs/>
          <w:color w:val="000000"/>
          <w:sz w:val="32"/>
          <w:szCs w:val="32"/>
          <w:u w:val="none"/>
        </w:rPr>
        <w:t>负责建筑业企业的监督管理；</w:t>
      </w:r>
      <w:r>
        <w:rPr>
          <w:rFonts w:hint="eastAsia" w:ascii="仿宋" w:hAnsi="仿宋" w:eastAsia="仿宋" w:cs="仿宋"/>
          <w:b w:val="0"/>
          <w:bCs/>
          <w:color w:val="000000"/>
          <w:sz w:val="32"/>
          <w:szCs w:val="32"/>
          <w:u w:val="none"/>
        </w:rPr>
        <w:t>负责建设工程消防、人防设计相关工作的监督管理</w:t>
      </w:r>
      <w:r>
        <w:rPr>
          <w:rFonts w:hint="eastAsia" w:ascii="仿宋" w:hAnsi="仿宋" w:eastAsia="仿宋" w:cs="仿宋"/>
          <w:b w:val="0"/>
          <w:bCs/>
          <w:color w:val="000000"/>
          <w:sz w:val="32"/>
          <w:szCs w:val="32"/>
          <w:u w:val="none"/>
          <w:lang w:eastAsia="zh-CN"/>
        </w:rPr>
        <w:t>。</w:t>
      </w:r>
      <w:r>
        <w:rPr>
          <w:rFonts w:hint="eastAsia" w:ascii="仿宋_GB2312" w:hAnsi="仿宋_GB2312" w:eastAsia="仿宋_GB2312" w:cs="仿宋_GB2312"/>
          <w:b w:val="0"/>
          <w:bCs/>
          <w:color w:val="000000"/>
          <w:sz w:val="32"/>
          <w:szCs w:val="32"/>
          <w:u w:val="none"/>
        </w:rPr>
        <w:t>负责建筑工程质量安全监督</w:t>
      </w:r>
      <w:r>
        <w:rPr>
          <w:rFonts w:hint="eastAsia" w:ascii="仿宋_GB2312" w:hAnsi="仿宋_GB2312" w:eastAsia="仿宋_GB2312" w:cs="仿宋_GB2312"/>
          <w:b w:val="0"/>
          <w:bCs/>
          <w:color w:val="000000"/>
          <w:sz w:val="32"/>
          <w:szCs w:val="32"/>
          <w:u w:val="none"/>
          <w:lang w:eastAsia="zh-CN"/>
        </w:rPr>
        <w:t>。</w:t>
      </w:r>
      <w:r>
        <w:rPr>
          <w:rFonts w:hint="eastAsia" w:ascii="仿宋_GB2312" w:hAnsi="仿宋_GB2312" w:eastAsia="仿宋_GB2312" w:cs="仿宋_GB2312"/>
          <w:b w:val="0"/>
          <w:bCs/>
          <w:color w:val="000000"/>
          <w:sz w:val="32"/>
          <w:szCs w:val="32"/>
          <w:u w:val="none"/>
        </w:rPr>
        <w:t>监督实施建筑工程质量、施工安全、竣工验收政策和规章制度；组织实施工程建设实施阶段的国家标准及国家统一的行业标准；组织或参与工程质量、安全事故的调查处理</w:t>
      </w:r>
      <w:r>
        <w:rPr>
          <w:rFonts w:hint="eastAsia" w:ascii="仿宋_GB2312" w:hAnsi="仿宋_GB2312" w:eastAsia="仿宋_GB2312" w:cs="仿宋_GB2312"/>
          <w:b w:val="0"/>
          <w:bCs/>
          <w:color w:val="000000"/>
          <w:sz w:val="32"/>
          <w:szCs w:val="32"/>
          <w:u w:val="none"/>
          <w:lang w:eastAsia="zh-CN"/>
        </w:rPr>
        <w:t>；负责各类房屋建筑及其附属设施和城市市政设施建设工程的抗震设防监督管理。</w:t>
      </w:r>
    </w:p>
    <w:p>
      <w:pPr>
        <w:keepNext w:val="0"/>
        <w:keepLines w:val="0"/>
        <w:pageBreakBefore w:val="0"/>
        <w:widowControl w:val="0"/>
        <w:numPr>
          <w:ilvl w:val="0"/>
          <w:numId w:val="1"/>
        </w:numPr>
        <w:kinsoku/>
        <w:wordWrap/>
        <w:overflowPunct/>
        <w:topLinePunct w:val="0"/>
        <w:autoSpaceDE/>
        <w:autoSpaceDN/>
        <w:bidi w:val="0"/>
        <w:adjustRightInd/>
        <w:snapToGrid/>
        <w:spacing w:line="578" w:lineRule="exact"/>
        <w:ind w:left="0" w:leftChars="0" w:firstLine="420" w:firstLineChars="0"/>
        <w:textAlignment w:val="auto"/>
        <w:outlineLvl w:val="9"/>
        <w:rPr>
          <w:rFonts w:hint="eastAsia" w:ascii="仿宋_GB2312" w:hAnsi="仿宋_GB2312" w:eastAsia="仿宋_GB2312" w:cs="仿宋_GB2312"/>
          <w:b w:val="0"/>
          <w:bCs/>
          <w:color w:val="000000"/>
          <w:sz w:val="32"/>
          <w:szCs w:val="32"/>
          <w:u w:val="none"/>
          <w:lang w:val="en-US" w:eastAsia="zh-CN"/>
        </w:rPr>
      </w:pPr>
      <w:r>
        <w:rPr>
          <w:rFonts w:hint="eastAsia" w:ascii="仿宋_GB2312" w:hAnsi="仿宋_GB2312" w:eastAsia="仿宋_GB2312" w:cs="仿宋_GB2312"/>
          <w:b w:val="0"/>
          <w:bCs/>
          <w:color w:val="000000"/>
          <w:sz w:val="32"/>
          <w:szCs w:val="32"/>
          <w:u w:val="none"/>
        </w:rPr>
        <w:t>统筹编制市政基础设施建设中长期发展规划，会同有关部门拟订区本级城建计划并组织实施；负责组织实施区政府安排的市政基础设施建设工作（包括城市路网的新建、改建、扩建工程)；</w:t>
      </w:r>
      <w:r>
        <w:rPr>
          <w:rFonts w:hint="eastAsia" w:ascii="仿宋_GB2312" w:hAnsi="仿宋_GB2312" w:eastAsia="仿宋_GB2312" w:cs="仿宋_GB2312"/>
          <w:b w:val="0"/>
          <w:bCs/>
          <w:color w:val="000000"/>
          <w:sz w:val="32"/>
          <w:szCs w:val="32"/>
          <w:u w:val="none"/>
          <w:lang w:eastAsia="zh-CN"/>
        </w:rPr>
        <w:t>拟订地下综合管廊中长期建设计划，制定地下综合管廊运营、维护管理办法和配套政策，</w:t>
      </w:r>
      <w:r>
        <w:rPr>
          <w:rFonts w:hint="eastAsia" w:ascii="仿宋_GB2312" w:hAnsi="仿宋_GB2312" w:eastAsia="仿宋_GB2312" w:cs="仿宋_GB2312"/>
          <w:b w:val="0"/>
          <w:bCs/>
          <w:color w:val="000000"/>
          <w:sz w:val="32"/>
          <w:szCs w:val="32"/>
          <w:u w:val="none"/>
        </w:rPr>
        <w:t>指导综合管廊运营和维护管理工作</w:t>
      </w:r>
      <w:r>
        <w:rPr>
          <w:rFonts w:hint="eastAsia" w:ascii="仿宋_GB2312" w:hAnsi="仿宋_GB2312" w:eastAsia="仿宋_GB2312" w:cs="仿宋_GB2312"/>
          <w:b w:val="0"/>
          <w:bCs/>
          <w:color w:val="000000"/>
          <w:sz w:val="32"/>
          <w:szCs w:val="32"/>
          <w:u w:val="none"/>
          <w:lang w:eastAsia="zh-CN"/>
        </w:rPr>
        <w:t>。</w:t>
      </w:r>
    </w:p>
    <w:p>
      <w:pPr>
        <w:keepNext w:val="0"/>
        <w:keepLines w:val="0"/>
        <w:pageBreakBefore w:val="0"/>
        <w:widowControl w:val="0"/>
        <w:numPr>
          <w:ilvl w:val="0"/>
          <w:numId w:val="1"/>
        </w:numPr>
        <w:kinsoku/>
        <w:wordWrap/>
        <w:overflowPunct/>
        <w:topLinePunct w:val="0"/>
        <w:autoSpaceDE/>
        <w:autoSpaceDN/>
        <w:bidi w:val="0"/>
        <w:adjustRightInd/>
        <w:snapToGrid/>
        <w:spacing w:line="578" w:lineRule="exact"/>
        <w:ind w:left="0" w:leftChars="0" w:firstLine="420" w:firstLineChars="0"/>
        <w:textAlignment w:val="auto"/>
        <w:outlineLvl w:val="9"/>
        <w:rPr>
          <w:rFonts w:hint="eastAsia" w:ascii="仿宋_GB2312" w:hAnsi="仿宋_GB2312" w:eastAsia="仿宋_GB2312" w:cs="仿宋_GB2312"/>
          <w:b w:val="0"/>
          <w:bCs/>
          <w:color w:val="000000"/>
          <w:sz w:val="32"/>
          <w:szCs w:val="32"/>
          <w:u w:val="none"/>
        </w:rPr>
      </w:pPr>
      <w:r>
        <w:rPr>
          <w:rFonts w:hint="eastAsia" w:ascii="仿宋_GB2312" w:hAnsi="仿宋_GB2312" w:eastAsia="仿宋_GB2312" w:cs="仿宋_GB2312"/>
          <w:b w:val="0"/>
          <w:bCs/>
          <w:color w:val="000000"/>
          <w:sz w:val="32"/>
          <w:szCs w:val="32"/>
          <w:u w:val="none"/>
        </w:rPr>
        <w:t>推进新型城镇化（国家新型城镇化综合试点）建设工作。</w:t>
      </w:r>
    </w:p>
    <w:p>
      <w:pPr>
        <w:keepNext w:val="0"/>
        <w:keepLines w:val="0"/>
        <w:pageBreakBefore w:val="0"/>
        <w:widowControl w:val="0"/>
        <w:numPr>
          <w:ilvl w:val="0"/>
          <w:numId w:val="1"/>
        </w:numPr>
        <w:kinsoku/>
        <w:wordWrap/>
        <w:overflowPunct/>
        <w:topLinePunct w:val="0"/>
        <w:autoSpaceDE/>
        <w:autoSpaceDN/>
        <w:bidi w:val="0"/>
        <w:adjustRightInd/>
        <w:snapToGrid/>
        <w:spacing w:line="578" w:lineRule="exact"/>
        <w:ind w:left="0" w:leftChars="0" w:firstLine="420" w:firstLineChars="0"/>
        <w:textAlignment w:val="auto"/>
        <w:outlineLvl w:val="9"/>
        <w:rPr>
          <w:rFonts w:hint="eastAsia" w:ascii="仿宋_GB2312" w:hAnsi="仿宋_GB2312" w:eastAsia="仿宋_GB2312" w:cs="仿宋_GB2312"/>
          <w:b w:val="0"/>
          <w:bCs/>
          <w:color w:val="000000"/>
          <w:sz w:val="32"/>
          <w:szCs w:val="32"/>
          <w:u w:val="none"/>
        </w:rPr>
      </w:pPr>
      <w:r>
        <w:rPr>
          <w:rFonts w:hint="eastAsia" w:ascii="仿宋_GB2312" w:hAnsi="仿宋_GB2312" w:eastAsia="仿宋_GB2312" w:cs="仿宋_GB2312"/>
          <w:b w:val="0"/>
          <w:bCs/>
          <w:color w:val="000000"/>
          <w:sz w:val="32"/>
          <w:szCs w:val="32"/>
          <w:u w:val="none"/>
        </w:rPr>
        <w:t>指导村镇建设工作。指导建制镇、集镇（乡）和村庄建设，指导乡村建筑风貌管控；指导农村住房建设、住房安全及危房改造；指导重点镇和特色小城镇建设工作；指导区县城城建界以外的建制镇、集镇（乡）和村庄农村生活垃圾</w:t>
      </w:r>
      <w:r>
        <w:rPr>
          <w:rFonts w:hint="eastAsia" w:ascii="仿宋_GB2312" w:hAnsi="仿宋_GB2312" w:eastAsia="仿宋_GB2312" w:cs="仿宋_GB2312"/>
          <w:b w:val="0"/>
          <w:bCs/>
          <w:color w:val="000000"/>
          <w:sz w:val="32"/>
          <w:szCs w:val="32"/>
          <w:u w:val="none"/>
          <w:lang w:eastAsia="zh-CN"/>
        </w:rPr>
        <w:t>、生活污水</w:t>
      </w:r>
      <w:r>
        <w:rPr>
          <w:rFonts w:hint="eastAsia" w:ascii="仿宋_GB2312" w:hAnsi="仿宋_GB2312" w:eastAsia="仿宋_GB2312" w:cs="仿宋_GB2312"/>
          <w:b w:val="0"/>
          <w:bCs/>
          <w:color w:val="000000"/>
          <w:sz w:val="32"/>
          <w:szCs w:val="32"/>
          <w:u w:val="none"/>
        </w:rPr>
        <w:t>处理工作；指导历史文化名城（镇、村）保护工作。</w:t>
      </w:r>
    </w:p>
    <w:p>
      <w:pPr>
        <w:keepNext w:val="0"/>
        <w:keepLines w:val="0"/>
        <w:pageBreakBefore w:val="0"/>
        <w:widowControl w:val="0"/>
        <w:numPr>
          <w:ilvl w:val="0"/>
          <w:numId w:val="1"/>
        </w:numPr>
        <w:kinsoku/>
        <w:wordWrap/>
        <w:overflowPunct/>
        <w:topLinePunct w:val="0"/>
        <w:autoSpaceDE/>
        <w:autoSpaceDN/>
        <w:bidi w:val="0"/>
        <w:adjustRightInd/>
        <w:snapToGrid/>
        <w:spacing w:line="578" w:lineRule="exact"/>
        <w:ind w:left="0" w:leftChars="0" w:firstLine="420" w:firstLineChars="0"/>
        <w:textAlignment w:val="auto"/>
        <w:outlineLvl w:val="9"/>
        <w:rPr>
          <w:rFonts w:hint="eastAsia" w:ascii="仿宋_GB2312" w:hAnsi="仿宋_GB2312" w:eastAsia="仿宋_GB2312" w:cs="仿宋_GB2312"/>
          <w:b w:val="0"/>
          <w:bCs/>
          <w:color w:val="000000"/>
          <w:sz w:val="32"/>
          <w:szCs w:val="32"/>
          <w:u w:val="none"/>
        </w:rPr>
      </w:pPr>
      <w:r>
        <w:rPr>
          <w:rFonts w:hint="eastAsia" w:ascii="仿宋_GB2312" w:hAnsi="仿宋_GB2312" w:eastAsia="仿宋_GB2312" w:cs="仿宋_GB2312"/>
          <w:b w:val="0"/>
          <w:bCs/>
          <w:color w:val="000000"/>
          <w:sz w:val="32"/>
          <w:szCs w:val="32"/>
          <w:u w:val="none"/>
        </w:rPr>
        <w:t>负责推进建筑节能工作。</w:t>
      </w:r>
      <w:r>
        <w:rPr>
          <w:rFonts w:hint="eastAsia" w:ascii="仿宋_GB2312" w:hAnsi="仿宋_GB2312" w:eastAsia="仿宋_GB2312" w:cs="仿宋_GB2312"/>
          <w:b w:val="0"/>
          <w:bCs/>
          <w:color w:val="000000"/>
          <w:sz w:val="32"/>
          <w:szCs w:val="32"/>
          <w:u w:val="none"/>
          <w:lang w:eastAsia="zh-CN"/>
        </w:rPr>
        <w:t>贯彻</w:t>
      </w:r>
      <w:r>
        <w:rPr>
          <w:rFonts w:hint="eastAsia" w:ascii="仿宋_GB2312" w:hAnsi="仿宋_GB2312" w:eastAsia="仿宋_GB2312" w:cs="仿宋_GB2312"/>
          <w:b w:val="0"/>
          <w:bCs/>
          <w:color w:val="000000"/>
          <w:sz w:val="32"/>
          <w:szCs w:val="32"/>
          <w:u w:val="none"/>
        </w:rPr>
        <w:t>落实建设行业科技、装配式建筑、绿色建筑发展规划和建筑节能管理制度</w:t>
      </w:r>
      <w:r>
        <w:rPr>
          <w:rFonts w:hint="eastAsia" w:ascii="仿宋_GB2312" w:hAnsi="仿宋_GB2312" w:eastAsia="仿宋_GB2312" w:cs="仿宋_GB2312"/>
          <w:b w:val="0"/>
          <w:bCs/>
          <w:color w:val="000000"/>
          <w:sz w:val="32"/>
          <w:szCs w:val="32"/>
          <w:u w:val="none"/>
          <w:lang w:eastAsia="zh-CN"/>
        </w:rPr>
        <w:t>并组织实施</w:t>
      </w:r>
      <w:r>
        <w:rPr>
          <w:rFonts w:hint="eastAsia" w:ascii="仿宋_GB2312" w:hAnsi="仿宋_GB2312" w:eastAsia="仿宋_GB2312" w:cs="仿宋_GB2312"/>
          <w:b w:val="0"/>
          <w:bCs/>
          <w:color w:val="000000"/>
          <w:sz w:val="32"/>
          <w:szCs w:val="32"/>
          <w:u w:val="none"/>
        </w:rPr>
        <w:t>；指导和推动全区建筑节能减排、绿色建筑发展、墙体材料革新、既有居住建筑节能改造、可再生能源利用等工作。</w:t>
      </w:r>
    </w:p>
    <w:p>
      <w:pPr>
        <w:keepNext w:val="0"/>
        <w:keepLines w:val="0"/>
        <w:pageBreakBefore w:val="0"/>
        <w:widowControl w:val="0"/>
        <w:numPr>
          <w:ilvl w:val="0"/>
          <w:numId w:val="1"/>
        </w:numPr>
        <w:kinsoku/>
        <w:wordWrap/>
        <w:overflowPunct/>
        <w:topLinePunct w:val="0"/>
        <w:autoSpaceDE/>
        <w:autoSpaceDN/>
        <w:bidi w:val="0"/>
        <w:adjustRightInd/>
        <w:snapToGrid/>
        <w:spacing w:line="578" w:lineRule="exact"/>
        <w:ind w:left="0" w:leftChars="0" w:firstLine="420" w:firstLineChars="0"/>
        <w:textAlignment w:val="auto"/>
        <w:outlineLvl w:val="9"/>
        <w:rPr>
          <w:rFonts w:hint="eastAsia" w:ascii="仿宋_GB2312" w:hAnsi="仿宋_GB2312" w:eastAsia="仿宋_GB2312" w:cs="仿宋_GB2312"/>
          <w:b w:val="0"/>
          <w:bCs/>
          <w:color w:val="000000"/>
          <w:sz w:val="32"/>
          <w:szCs w:val="32"/>
          <w:u w:val="none"/>
        </w:rPr>
      </w:pPr>
      <w:r>
        <w:rPr>
          <w:rFonts w:hint="eastAsia" w:ascii="仿宋_GB2312" w:hAnsi="仿宋_GB2312" w:eastAsia="仿宋_GB2312" w:cs="仿宋_GB2312"/>
          <w:b w:val="0"/>
          <w:bCs/>
          <w:color w:val="000000"/>
          <w:sz w:val="32"/>
          <w:szCs w:val="32"/>
          <w:u w:val="none"/>
        </w:rPr>
        <w:t>贯彻落实物业行业发展规划和管理办法</w:t>
      </w:r>
      <w:r>
        <w:rPr>
          <w:rFonts w:hint="eastAsia" w:ascii="仿宋_GB2312" w:hAnsi="仿宋_GB2312" w:eastAsia="仿宋_GB2312" w:cs="仿宋_GB2312"/>
          <w:b w:val="0"/>
          <w:bCs/>
          <w:color w:val="000000"/>
          <w:sz w:val="32"/>
          <w:szCs w:val="32"/>
          <w:u w:val="none"/>
          <w:lang w:eastAsia="zh-CN"/>
        </w:rPr>
        <w:t>并组织实施</w:t>
      </w:r>
      <w:r>
        <w:rPr>
          <w:rFonts w:hint="eastAsia" w:ascii="仿宋_GB2312" w:hAnsi="仿宋_GB2312" w:eastAsia="仿宋_GB2312" w:cs="仿宋_GB2312"/>
          <w:b w:val="0"/>
          <w:bCs/>
          <w:color w:val="000000"/>
          <w:sz w:val="32"/>
          <w:szCs w:val="32"/>
          <w:u w:val="none"/>
        </w:rPr>
        <w:t>，负责监督管理住宅专项维修资金的归集、使用工作；负责前期物业管理招投标备案及过程监管工作；指导监督全区老旧住宅小区整治工作；指导住宅室内装饰装修工作。</w:t>
      </w:r>
    </w:p>
    <w:p>
      <w:pPr>
        <w:keepNext w:val="0"/>
        <w:keepLines w:val="0"/>
        <w:pageBreakBefore w:val="0"/>
        <w:widowControl w:val="0"/>
        <w:numPr>
          <w:ilvl w:val="0"/>
          <w:numId w:val="1"/>
        </w:numPr>
        <w:kinsoku/>
        <w:wordWrap/>
        <w:overflowPunct/>
        <w:topLinePunct w:val="0"/>
        <w:autoSpaceDE/>
        <w:autoSpaceDN/>
        <w:bidi w:val="0"/>
        <w:adjustRightInd/>
        <w:snapToGrid/>
        <w:spacing w:line="578" w:lineRule="exact"/>
        <w:ind w:left="0" w:leftChars="0" w:firstLine="420" w:firstLineChars="0"/>
        <w:textAlignment w:val="auto"/>
        <w:outlineLvl w:val="9"/>
        <w:rPr>
          <w:rFonts w:hint="eastAsia" w:ascii="仿宋_GB2312" w:hAnsi="仿宋_GB2312" w:eastAsia="仿宋_GB2312" w:cs="仿宋_GB2312"/>
          <w:b w:val="0"/>
          <w:bCs/>
          <w:color w:val="000000"/>
          <w:sz w:val="32"/>
          <w:szCs w:val="32"/>
          <w:u w:val="none"/>
        </w:rPr>
      </w:pPr>
      <w:r>
        <w:rPr>
          <w:rFonts w:hint="eastAsia" w:ascii="仿宋_GB2312" w:hAnsi="仿宋_GB2312" w:eastAsia="仿宋_GB2312" w:cs="仿宋_GB2312"/>
          <w:b w:val="0"/>
          <w:bCs/>
          <w:color w:val="000000"/>
          <w:sz w:val="32"/>
          <w:szCs w:val="32"/>
          <w:u w:val="none"/>
          <w:lang w:eastAsia="zh-CN"/>
        </w:rPr>
        <w:t>贯彻落实国有土地上房屋征收、城市危房管理政策并组织实施；</w:t>
      </w:r>
      <w:r>
        <w:rPr>
          <w:rFonts w:hint="eastAsia" w:ascii="仿宋_GB2312" w:hAnsi="仿宋_GB2312" w:eastAsia="仿宋_GB2312" w:cs="仿宋_GB2312"/>
          <w:b w:val="0"/>
          <w:bCs/>
          <w:color w:val="000000"/>
          <w:sz w:val="32"/>
          <w:szCs w:val="32"/>
          <w:u w:val="none"/>
        </w:rPr>
        <w:t>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keepNext w:val="0"/>
        <w:keepLines w:val="0"/>
        <w:pageBreakBefore w:val="0"/>
        <w:widowControl w:val="0"/>
        <w:numPr>
          <w:ilvl w:val="0"/>
          <w:numId w:val="1"/>
        </w:numPr>
        <w:kinsoku/>
        <w:wordWrap/>
        <w:overflowPunct/>
        <w:topLinePunct w:val="0"/>
        <w:autoSpaceDE/>
        <w:autoSpaceDN/>
        <w:bidi w:val="0"/>
        <w:adjustRightInd/>
        <w:snapToGrid/>
        <w:spacing w:line="578" w:lineRule="exact"/>
        <w:ind w:left="0" w:leftChars="0" w:firstLine="420" w:firstLineChars="0"/>
        <w:textAlignment w:val="auto"/>
        <w:outlineLvl w:val="9"/>
        <w:rPr>
          <w:rFonts w:hint="eastAsia" w:ascii="仿宋_GB2312" w:hAnsi="仿宋_GB2312" w:eastAsia="仿宋_GB2312" w:cs="仿宋_GB2312"/>
          <w:b w:val="0"/>
          <w:bCs/>
          <w:color w:val="000000"/>
          <w:sz w:val="32"/>
          <w:szCs w:val="32"/>
          <w:u w:val="none"/>
        </w:rPr>
      </w:pPr>
      <w:r>
        <w:rPr>
          <w:rFonts w:hint="eastAsia" w:ascii="仿宋_GB2312" w:hAnsi="仿宋_GB2312" w:eastAsia="仿宋_GB2312" w:cs="仿宋_GB2312"/>
          <w:b w:val="0"/>
          <w:bCs/>
          <w:color w:val="000000"/>
          <w:sz w:val="32"/>
          <w:szCs w:val="32"/>
          <w:u w:val="none"/>
        </w:rPr>
        <w:t>负责住房和城乡建设行业人才队伍建设。负责住房</w:t>
      </w:r>
      <w:r>
        <w:rPr>
          <w:rFonts w:hint="eastAsia" w:ascii="仿宋_GB2312" w:hAnsi="仿宋_GB2312" w:eastAsia="仿宋_GB2312" w:cs="仿宋_GB2312"/>
          <w:b w:val="0"/>
          <w:bCs/>
          <w:color w:val="000000"/>
          <w:sz w:val="32"/>
          <w:szCs w:val="32"/>
          <w:u w:val="none"/>
          <w:lang w:eastAsia="zh-CN"/>
        </w:rPr>
        <w:t>城乡</w:t>
      </w:r>
      <w:r>
        <w:rPr>
          <w:rFonts w:hint="eastAsia" w:ascii="仿宋_GB2312" w:hAnsi="仿宋_GB2312" w:eastAsia="仿宋_GB2312" w:cs="仿宋_GB2312"/>
          <w:b w:val="0"/>
          <w:bCs/>
          <w:color w:val="000000"/>
          <w:sz w:val="32"/>
          <w:szCs w:val="32"/>
          <w:u w:val="none"/>
        </w:rPr>
        <w:t>建设行业的对外经济技术合作和引进、利用外资工作，指导建筑</w:t>
      </w:r>
      <w:r>
        <w:rPr>
          <w:rFonts w:hint="eastAsia" w:ascii="仿宋_GB2312" w:hAnsi="仿宋_GB2312" w:eastAsia="仿宋_GB2312" w:cs="仿宋_GB2312"/>
          <w:b w:val="0"/>
          <w:bCs/>
          <w:color w:val="000000"/>
          <w:sz w:val="32"/>
          <w:szCs w:val="32"/>
          <w:u w:val="none"/>
          <w:lang w:eastAsia="zh-CN"/>
        </w:rPr>
        <w:t>施工</w:t>
      </w:r>
      <w:r>
        <w:rPr>
          <w:rFonts w:hint="eastAsia" w:ascii="仿宋_GB2312" w:hAnsi="仿宋_GB2312" w:eastAsia="仿宋_GB2312" w:cs="仿宋_GB2312"/>
          <w:b w:val="0"/>
          <w:bCs/>
          <w:color w:val="000000"/>
          <w:sz w:val="32"/>
          <w:szCs w:val="32"/>
          <w:u w:val="none"/>
        </w:rPr>
        <w:t>、房地产开发、勘察设计和物业管理等相关企业开拓国内外市场，</w:t>
      </w:r>
      <w:r>
        <w:rPr>
          <w:rFonts w:hint="eastAsia" w:ascii="仿宋_GB2312" w:hAnsi="仿宋_GB2312" w:eastAsia="仿宋_GB2312" w:cs="仿宋_GB2312"/>
          <w:b w:val="0"/>
          <w:bCs/>
          <w:color w:val="000000"/>
          <w:sz w:val="32"/>
          <w:szCs w:val="32"/>
          <w:u w:val="none"/>
          <w:lang w:eastAsia="zh-CN"/>
        </w:rPr>
        <w:t>负责</w:t>
      </w:r>
      <w:r>
        <w:rPr>
          <w:rFonts w:hint="eastAsia" w:ascii="仿宋_GB2312" w:hAnsi="仿宋_GB2312" w:eastAsia="仿宋_GB2312" w:cs="仿宋_GB2312"/>
          <w:b w:val="0"/>
          <w:bCs/>
          <w:color w:val="000000"/>
          <w:sz w:val="32"/>
          <w:szCs w:val="32"/>
          <w:u w:val="none"/>
        </w:rPr>
        <w:t>协调建设企业参与对外工程承包、建筑劳务合作，指导全</w:t>
      </w:r>
      <w:r>
        <w:rPr>
          <w:rFonts w:hint="eastAsia" w:ascii="仿宋_GB2312" w:hAnsi="仿宋_GB2312" w:eastAsia="仿宋_GB2312" w:cs="仿宋_GB2312"/>
          <w:b w:val="0"/>
          <w:bCs/>
          <w:color w:val="000000"/>
          <w:sz w:val="32"/>
          <w:szCs w:val="32"/>
          <w:u w:val="none"/>
          <w:lang w:eastAsia="zh-CN"/>
        </w:rPr>
        <w:t>区</w:t>
      </w:r>
      <w:r>
        <w:rPr>
          <w:rFonts w:hint="eastAsia" w:ascii="仿宋_GB2312" w:hAnsi="仿宋_GB2312" w:eastAsia="仿宋_GB2312" w:cs="仿宋_GB2312"/>
          <w:b w:val="0"/>
          <w:bCs/>
          <w:color w:val="000000"/>
          <w:sz w:val="32"/>
          <w:szCs w:val="32"/>
          <w:u w:val="none"/>
        </w:rPr>
        <w:t>建筑劳务输出工作。</w:t>
      </w:r>
    </w:p>
    <w:p>
      <w:pPr>
        <w:keepNext w:val="0"/>
        <w:keepLines w:val="0"/>
        <w:pageBreakBefore w:val="0"/>
        <w:widowControl w:val="0"/>
        <w:numPr>
          <w:ilvl w:val="0"/>
          <w:numId w:val="1"/>
        </w:numPr>
        <w:kinsoku/>
        <w:wordWrap/>
        <w:overflowPunct/>
        <w:topLinePunct w:val="0"/>
        <w:autoSpaceDE/>
        <w:autoSpaceDN/>
        <w:bidi w:val="0"/>
        <w:adjustRightInd/>
        <w:snapToGrid/>
        <w:spacing w:line="578" w:lineRule="exact"/>
        <w:ind w:left="0" w:leftChars="0" w:firstLine="420" w:firstLineChars="0"/>
        <w:textAlignment w:val="auto"/>
        <w:outlineLvl w:val="9"/>
        <w:rPr>
          <w:rFonts w:hint="eastAsia" w:ascii="仿宋_GB2312" w:hAnsi="仿宋_GB2312" w:eastAsia="仿宋_GB2312" w:cs="仿宋_GB2312"/>
          <w:b w:val="0"/>
          <w:bCs/>
          <w:color w:val="000000"/>
          <w:sz w:val="32"/>
          <w:szCs w:val="32"/>
          <w:u w:val="none"/>
          <w:lang w:eastAsia="zh-CN"/>
        </w:rPr>
      </w:pPr>
      <w:r>
        <w:rPr>
          <w:rFonts w:hint="eastAsia" w:ascii="仿宋_GB2312" w:hAnsi="仿宋_GB2312" w:eastAsia="仿宋_GB2312" w:cs="仿宋_GB2312"/>
          <w:b w:val="0"/>
          <w:bCs/>
          <w:color w:val="000000"/>
          <w:sz w:val="32"/>
          <w:szCs w:val="32"/>
          <w:u w:val="none"/>
        </w:rPr>
        <w:t>负责</w:t>
      </w:r>
      <w:r>
        <w:rPr>
          <w:rFonts w:hint="eastAsia" w:ascii="仿宋_GB2312" w:hAnsi="仿宋_GB2312" w:eastAsia="仿宋_GB2312" w:cs="仿宋_GB2312"/>
          <w:b w:val="0"/>
          <w:bCs/>
          <w:color w:val="000000"/>
          <w:sz w:val="32"/>
          <w:szCs w:val="32"/>
          <w:u w:val="none"/>
          <w:lang w:eastAsia="zh-CN"/>
        </w:rPr>
        <w:t>全区污水处理及污水处理行业管理工作。</w:t>
      </w:r>
    </w:p>
    <w:p>
      <w:pPr>
        <w:keepNext w:val="0"/>
        <w:keepLines w:val="0"/>
        <w:pageBreakBefore w:val="0"/>
        <w:widowControl w:val="0"/>
        <w:numPr>
          <w:ilvl w:val="0"/>
          <w:numId w:val="1"/>
        </w:numPr>
        <w:kinsoku/>
        <w:wordWrap/>
        <w:overflowPunct/>
        <w:topLinePunct w:val="0"/>
        <w:autoSpaceDE/>
        <w:autoSpaceDN/>
        <w:bidi w:val="0"/>
        <w:adjustRightInd/>
        <w:snapToGrid/>
        <w:spacing w:line="578" w:lineRule="exact"/>
        <w:ind w:left="0" w:leftChars="0" w:firstLine="420" w:firstLineChars="0"/>
        <w:textAlignment w:val="auto"/>
        <w:outlineLvl w:val="9"/>
        <w:rPr>
          <w:rFonts w:hint="eastAsia" w:ascii="仿宋_GB2312" w:hAnsi="仿宋_GB2312" w:eastAsia="仿宋_GB2312" w:cs="仿宋_GB2312"/>
          <w:b w:val="0"/>
          <w:bCs/>
          <w:color w:val="000000"/>
          <w:sz w:val="32"/>
          <w:szCs w:val="32"/>
          <w:u w:val="none"/>
        </w:rPr>
      </w:pPr>
      <w:r>
        <w:rPr>
          <w:rFonts w:hint="eastAsia" w:ascii="仿宋_GB2312" w:hAnsi="仿宋_GB2312" w:eastAsia="仿宋_GB2312" w:cs="仿宋_GB2312"/>
          <w:b w:val="0"/>
          <w:bCs/>
          <w:color w:val="000000"/>
          <w:sz w:val="32"/>
          <w:szCs w:val="32"/>
          <w:u w:val="none"/>
        </w:rPr>
        <w:t>负责全区燃气行业管理工作。</w:t>
      </w:r>
    </w:p>
    <w:p>
      <w:pPr>
        <w:keepNext w:val="0"/>
        <w:keepLines w:val="0"/>
        <w:pageBreakBefore w:val="0"/>
        <w:widowControl w:val="0"/>
        <w:numPr>
          <w:ilvl w:val="0"/>
          <w:numId w:val="1"/>
        </w:numPr>
        <w:kinsoku/>
        <w:wordWrap/>
        <w:overflowPunct/>
        <w:topLinePunct w:val="0"/>
        <w:autoSpaceDE/>
        <w:autoSpaceDN/>
        <w:bidi w:val="0"/>
        <w:adjustRightInd/>
        <w:snapToGrid/>
        <w:spacing w:line="578" w:lineRule="exact"/>
        <w:ind w:left="0" w:leftChars="0" w:firstLine="420" w:firstLineChars="0"/>
        <w:textAlignment w:val="auto"/>
        <w:outlineLvl w:val="9"/>
        <w:rPr>
          <w:rFonts w:hint="eastAsia" w:ascii="仿宋_GB2312" w:hAnsi="仿宋_GB2312" w:eastAsia="仿宋_GB2312" w:cs="仿宋_GB2312"/>
          <w:b w:val="0"/>
          <w:bCs/>
          <w:color w:val="000000"/>
          <w:sz w:val="32"/>
          <w:szCs w:val="32"/>
          <w:u w:val="none"/>
        </w:rPr>
      </w:pPr>
      <w:r>
        <w:rPr>
          <w:rFonts w:hint="eastAsia" w:ascii="仿宋_GB2312" w:hAnsi="仿宋_GB2312" w:eastAsia="仿宋_GB2312" w:cs="仿宋_GB2312"/>
          <w:b w:val="0"/>
          <w:bCs/>
          <w:color w:val="000000"/>
          <w:sz w:val="32"/>
          <w:szCs w:val="32"/>
          <w:u w:val="none"/>
        </w:rPr>
        <w:t>负责城市建设档案监督管理工作。</w:t>
      </w:r>
    </w:p>
    <w:p>
      <w:pPr>
        <w:keepNext w:val="0"/>
        <w:keepLines w:val="0"/>
        <w:pageBreakBefore w:val="0"/>
        <w:widowControl w:val="0"/>
        <w:numPr>
          <w:ilvl w:val="0"/>
          <w:numId w:val="1"/>
        </w:numPr>
        <w:tabs>
          <w:tab w:val="left" w:pos="312"/>
        </w:tabs>
        <w:kinsoku/>
        <w:wordWrap/>
        <w:overflowPunct/>
        <w:topLinePunct w:val="0"/>
        <w:autoSpaceDE/>
        <w:autoSpaceDN/>
        <w:bidi w:val="0"/>
        <w:adjustRightInd/>
        <w:snapToGrid/>
        <w:spacing w:line="578" w:lineRule="exact"/>
        <w:ind w:left="0" w:leftChars="0" w:firstLine="420" w:firstLineChars="0"/>
        <w:textAlignment w:val="auto"/>
        <w:outlineLvl w:val="9"/>
        <w:rPr>
          <w:rFonts w:hint="eastAsia" w:ascii="仿宋_GB2312" w:hAnsi="仿宋_GB2312" w:eastAsia="仿宋_GB2312" w:cs="仿宋_GB2312"/>
          <w:b w:val="0"/>
          <w:bCs/>
          <w:color w:val="000000"/>
          <w:sz w:val="32"/>
          <w:szCs w:val="32"/>
          <w:u w:val="none"/>
        </w:rPr>
      </w:pPr>
      <w:r>
        <w:rPr>
          <w:rFonts w:hint="eastAsia" w:ascii="仿宋_GB2312" w:hAnsi="仿宋_GB2312" w:eastAsia="仿宋_GB2312" w:cs="仿宋_GB2312"/>
          <w:b w:val="0"/>
          <w:bCs/>
          <w:color w:val="000000"/>
          <w:sz w:val="32"/>
          <w:szCs w:val="32"/>
          <w:u w:val="none"/>
        </w:rPr>
        <w:t>负责直管公有住房的资产、售房款和售后维修资金的管理工作。</w:t>
      </w:r>
      <w:r>
        <w:rPr>
          <w:rFonts w:hint="eastAsia" w:ascii="仿宋_GB2312" w:hAnsi="仿宋_GB2312" w:eastAsia="仿宋_GB2312" w:cs="仿宋_GB2312"/>
          <w:b w:val="0"/>
          <w:bCs/>
          <w:strike w:val="0"/>
          <w:dstrike w:val="0"/>
          <w:color w:val="000000"/>
          <w:sz w:val="32"/>
          <w:szCs w:val="32"/>
          <w:u w:val="none"/>
        </w:rPr>
        <w:t>会同有关部门做好</w:t>
      </w:r>
      <w:r>
        <w:rPr>
          <w:rFonts w:hint="eastAsia" w:ascii="仿宋_GB2312" w:hAnsi="仿宋_GB2312" w:eastAsia="仿宋_GB2312" w:cs="仿宋_GB2312"/>
          <w:b w:val="0"/>
          <w:bCs/>
          <w:strike w:val="0"/>
          <w:dstrike w:val="0"/>
          <w:color w:val="000000"/>
          <w:sz w:val="32"/>
          <w:szCs w:val="32"/>
          <w:u w:val="none"/>
          <w:lang w:eastAsia="zh-CN"/>
        </w:rPr>
        <w:t>支油、支铁</w:t>
      </w:r>
      <w:r>
        <w:rPr>
          <w:rFonts w:hint="eastAsia" w:ascii="仿宋_GB2312" w:hAnsi="仿宋_GB2312" w:eastAsia="仿宋_GB2312" w:cs="仿宋_GB2312"/>
          <w:b w:val="0"/>
          <w:bCs/>
          <w:strike w:val="0"/>
          <w:dstrike w:val="0"/>
          <w:color w:val="000000"/>
          <w:sz w:val="32"/>
          <w:szCs w:val="32"/>
          <w:u w:val="none"/>
        </w:rPr>
        <w:t>建设</w:t>
      </w:r>
      <w:r>
        <w:rPr>
          <w:rFonts w:hint="eastAsia" w:ascii="仿宋_GB2312" w:hAnsi="仿宋_GB2312" w:eastAsia="仿宋_GB2312" w:cs="仿宋_GB2312"/>
          <w:b w:val="0"/>
          <w:bCs/>
          <w:strike w:val="0"/>
          <w:dstrike w:val="0"/>
          <w:color w:val="000000"/>
          <w:sz w:val="32"/>
          <w:szCs w:val="32"/>
          <w:u w:val="none"/>
          <w:lang w:eastAsia="zh-CN"/>
        </w:rPr>
        <w:t>协调</w:t>
      </w:r>
      <w:r>
        <w:rPr>
          <w:rFonts w:hint="eastAsia" w:ascii="仿宋_GB2312" w:hAnsi="仿宋_GB2312" w:eastAsia="仿宋_GB2312" w:cs="仿宋_GB2312"/>
          <w:b w:val="0"/>
          <w:bCs/>
          <w:strike w:val="0"/>
          <w:dstrike w:val="0"/>
          <w:color w:val="000000"/>
          <w:sz w:val="32"/>
          <w:szCs w:val="32"/>
          <w:u w:val="none"/>
        </w:rPr>
        <w:t>工作。</w:t>
      </w:r>
      <w:r>
        <w:rPr>
          <w:rFonts w:hint="eastAsia" w:ascii="仿宋_GB2312" w:hAnsi="仿宋_GB2312" w:eastAsia="仿宋_GB2312" w:cs="仿宋_GB2312"/>
          <w:b w:val="0"/>
          <w:bCs/>
          <w:color w:val="000000"/>
          <w:sz w:val="32"/>
          <w:szCs w:val="32"/>
          <w:u w:val="none"/>
          <w:lang w:val="en-US" w:eastAsia="zh-CN"/>
        </w:rPr>
        <w:t>会同有关部门，做好城市建设行业涉及本部门的相关专业规划的编制和实施工作。</w:t>
      </w:r>
    </w:p>
    <w:p>
      <w:pPr>
        <w:keepNext w:val="0"/>
        <w:keepLines w:val="0"/>
        <w:pageBreakBefore w:val="0"/>
        <w:widowControl w:val="0"/>
        <w:numPr>
          <w:ilvl w:val="0"/>
          <w:numId w:val="1"/>
        </w:numPr>
        <w:kinsoku/>
        <w:wordWrap/>
        <w:overflowPunct/>
        <w:topLinePunct w:val="0"/>
        <w:autoSpaceDE/>
        <w:autoSpaceDN/>
        <w:bidi w:val="0"/>
        <w:adjustRightInd/>
        <w:snapToGrid/>
        <w:spacing w:line="578" w:lineRule="exact"/>
        <w:ind w:left="0" w:leftChars="0" w:firstLine="420" w:firstLineChars="0"/>
        <w:textAlignment w:val="auto"/>
        <w:outlineLvl w:val="9"/>
        <w:rPr>
          <w:rFonts w:hint="eastAsia" w:ascii="仿宋_GB2312" w:hAnsi="仿宋_GB2312" w:eastAsia="仿宋_GB2312" w:cs="仿宋_GB2312"/>
          <w:b w:val="0"/>
          <w:bCs/>
          <w:color w:val="000000"/>
          <w:sz w:val="32"/>
          <w:szCs w:val="32"/>
          <w:u w:val="none"/>
        </w:rPr>
      </w:pPr>
      <w:r>
        <w:rPr>
          <w:rFonts w:hint="eastAsia" w:ascii="仿宋_GB2312" w:hAnsi="仿宋_GB2312" w:eastAsia="仿宋_GB2312" w:cs="仿宋_GB2312"/>
          <w:b w:val="0"/>
          <w:bCs/>
          <w:color w:val="000000"/>
          <w:sz w:val="32"/>
          <w:szCs w:val="32"/>
          <w:u w:val="none"/>
        </w:rPr>
        <w:t>负责住房城乡建设行业信息采集、整理、统计</w:t>
      </w:r>
      <w:r>
        <w:rPr>
          <w:rFonts w:hint="eastAsia" w:ascii="仿宋_GB2312" w:hAnsi="仿宋_GB2312" w:eastAsia="仿宋_GB2312" w:cs="仿宋_GB2312"/>
          <w:b w:val="0"/>
          <w:bCs/>
          <w:color w:val="000000"/>
          <w:sz w:val="32"/>
          <w:szCs w:val="32"/>
          <w:u w:val="none"/>
          <w:lang w:eastAsia="zh-CN"/>
        </w:rPr>
        <w:t>、分析、发布</w:t>
      </w:r>
      <w:r>
        <w:rPr>
          <w:rFonts w:hint="eastAsia" w:ascii="仿宋_GB2312" w:hAnsi="仿宋_GB2312" w:eastAsia="仿宋_GB2312" w:cs="仿宋_GB2312"/>
          <w:b w:val="0"/>
          <w:bCs/>
          <w:color w:val="000000"/>
          <w:sz w:val="32"/>
          <w:szCs w:val="32"/>
          <w:u w:val="none"/>
        </w:rPr>
        <w:t>等工作。</w:t>
      </w:r>
    </w:p>
    <w:p>
      <w:pPr>
        <w:keepNext w:val="0"/>
        <w:keepLines w:val="0"/>
        <w:pageBreakBefore w:val="0"/>
        <w:widowControl w:val="0"/>
        <w:numPr>
          <w:ilvl w:val="0"/>
          <w:numId w:val="1"/>
        </w:numPr>
        <w:kinsoku/>
        <w:wordWrap/>
        <w:overflowPunct/>
        <w:topLinePunct w:val="0"/>
        <w:autoSpaceDE/>
        <w:autoSpaceDN/>
        <w:bidi w:val="0"/>
        <w:adjustRightInd/>
        <w:snapToGrid/>
        <w:spacing w:line="578" w:lineRule="exact"/>
        <w:ind w:left="0" w:leftChars="0" w:firstLine="420" w:firstLineChars="0"/>
        <w:textAlignment w:val="auto"/>
        <w:outlineLvl w:val="9"/>
        <w:rPr>
          <w:rFonts w:hint="eastAsia" w:ascii="仿宋_GB2312" w:hAnsi="仿宋_GB2312" w:eastAsia="仿宋_GB2312" w:cs="仿宋_GB2312"/>
          <w:b w:val="0"/>
          <w:bCs/>
          <w:color w:val="000000"/>
          <w:sz w:val="32"/>
          <w:szCs w:val="32"/>
          <w:u w:val="none"/>
        </w:rPr>
      </w:pPr>
      <w:r>
        <w:rPr>
          <w:rFonts w:hint="eastAsia" w:ascii="仿宋_GB2312" w:hAnsi="仿宋_GB2312" w:eastAsia="仿宋_GB2312" w:cs="仿宋_GB2312"/>
          <w:b w:val="0"/>
          <w:bCs/>
          <w:color w:val="000000"/>
          <w:sz w:val="32"/>
          <w:szCs w:val="32"/>
          <w:u w:val="none"/>
        </w:rPr>
        <w:t>实施住房和城乡建设范围内法律法规规章规定的行政处罚权有关的行政强制措施</w:t>
      </w:r>
      <w:r>
        <w:rPr>
          <w:rFonts w:hint="eastAsia" w:ascii="仿宋_GB2312" w:hAnsi="仿宋_GB2312" w:eastAsia="仿宋_GB2312" w:cs="仿宋_GB2312"/>
          <w:b w:val="0"/>
          <w:bCs/>
          <w:color w:val="000000"/>
          <w:sz w:val="32"/>
          <w:szCs w:val="32"/>
          <w:u w:val="none"/>
          <w:lang w:eastAsia="zh-CN"/>
        </w:rPr>
        <w:t>。</w:t>
      </w:r>
    </w:p>
    <w:p>
      <w:pPr>
        <w:keepNext w:val="0"/>
        <w:keepLines w:val="0"/>
        <w:pageBreakBefore w:val="0"/>
        <w:widowControl w:val="0"/>
        <w:numPr>
          <w:ilvl w:val="0"/>
          <w:numId w:val="1"/>
        </w:numPr>
        <w:kinsoku/>
        <w:wordWrap/>
        <w:overflowPunct/>
        <w:topLinePunct w:val="0"/>
        <w:autoSpaceDE/>
        <w:autoSpaceDN/>
        <w:bidi w:val="0"/>
        <w:adjustRightInd/>
        <w:snapToGrid/>
        <w:spacing w:line="578" w:lineRule="exact"/>
        <w:ind w:left="0" w:leftChars="0" w:firstLine="420" w:firstLineChars="0"/>
        <w:textAlignment w:val="auto"/>
        <w:outlineLvl w:val="9"/>
        <w:rPr>
          <w:rFonts w:hint="eastAsia" w:ascii="仿宋_GB2312" w:hAnsi="仿宋_GB2312" w:eastAsia="仿宋_GB2312" w:cs="仿宋_GB2312"/>
          <w:b w:val="0"/>
          <w:bCs/>
          <w:color w:val="000000"/>
          <w:sz w:val="32"/>
          <w:szCs w:val="32"/>
          <w:u w:val="none"/>
        </w:rPr>
      </w:pPr>
      <w:r>
        <w:rPr>
          <w:rFonts w:hint="eastAsia" w:ascii="仿宋_GB2312" w:hAnsi="仿宋_GB2312" w:eastAsia="仿宋_GB2312" w:cs="仿宋_GB2312"/>
          <w:b w:val="0"/>
          <w:bCs/>
          <w:color w:val="000000"/>
          <w:sz w:val="32"/>
          <w:szCs w:val="32"/>
          <w:u w:val="none"/>
        </w:rPr>
        <w:t>完成区委、区政府交办的其他任务。</w:t>
      </w:r>
    </w:p>
    <w:p>
      <w:pPr>
        <w:pStyle w:val="2"/>
        <w:spacing w:before="0" w:after="0" w:line="600" w:lineRule="exact"/>
        <w:jc w:val="left"/>
        <w:rPr>
          <w:rFonts w:hint="eastAsia" w:ascii="黑体" w:eastAsia="黑体" w:cs="黑体" w:hAnsiTheme="minorHAnsi"/>
          <w:b w:val="0"/>
          <w:bCs w:val="0"/>
          <w:kern w:val="0"/>
          <w:sz w:val="32"/>
          <w:szCs w:val="32"/>
        </w:rPr>
      </w:pPr>
    </w:p>
    <w:p>
      <w:pPr>
        <w:pStyle w:val="2"/>
        <w:spacing w:before="0" w:after="0" w:line="600" w:lineRule="exact"/>
        <w:jc w:val="left"/>
        <w:rPr>
          <w:rFonts w:hint="eastAsia" w:ascii="黑体" w:eastAsia="黑体" w:cs="黑体" w:hAnsiTheme="minorHAnsi"/>
          <w:b w:val="0"/>
          <w:bCs w:val="0"/>
          <w:kern w:val="0"/>
          <w:sz w:val="32"/>
          <w:szCs w:val="32"/>
        </w:rPr>
      </w:pPr>
    </w:p>
    <w:p>
      <w:pPr>
        <w:pStyle w:val="2"/>
        <w:spacing w:before="0" w:after="0" w:line="600" w:lineRule="exact"/>
        <w:jc w:val="left"/>
        <w:rPr>
          <w:rFonts w:hint="eastAsia" w:ascii="黑体" w:eastAsia="黑体" w:cs="黑体" w:hAnsiTheme="minorHAnsi"/>
          <w:b w:val="0"/>
          <w:bCs w:val="0"/>
          <w:kern w:val="0"/>
          <w:sz w:val="32"/>
          <w:szCs w:val="32"/>
        </w:rPr>
      </w:pPr>
    </w:p>
    <w:p>
      <w:pPr>
        <w:pStyle w:val="2"/>
        <w:spacing w:before="0" w:after="0" w:line="600" w:lineRule="exact"/>
        <w:jc w:val="left"/>
        <w:rPr>
          <w:rFonts w:hint="eastAsia" w:ascii="黑体" w:eastAsia="黑体" w:cs="黑体" w:hAnsiTheme="minorHAnsi"/>
          <w:b w:val="0"/>
          <w:bCs w:val="0"/>
          <w:kern w:val="0"/>
          <w:sz w:val="32"/>
          <w:szCs w:val="32"/>
        </w:rPr>
      </w:pPr>
    </w:p>
    <w:p>
      <w:pPr>
        <w:pStyle w:val="2"/>
        <w:spacing w:before="0" w:after="0" w:line="600" w:lineRule="exact"/>
        <w:jc w:val="left"/>
        <w:rPr>
          <w:rFonts w:hint="eastAsia" w:ascii="黑体" w:eastAsia="黑体" w:cs="黑体" w:hAnsiTheme="minorHAnsi"/>
          <w:b w:val="0"/>
          <w:bCs w:val="0"/>
          <w:kern w:val="0"/>
          <w:sz w:val="32"/>
          <w:szCs w:val="32"/>
        </w:rPr>
      </w:pPr>
    </w:p>
    <w:p>
      <w:pPr>
        <w:pStyle w:val="2"/>
        <w:spacing w:before="0" w:after="0" w:line="600" w:lineRule="exact"/>
        <w:jc w:val="left"/>
        <w:rPr>
          <w:rFonts w:hint="eastAsia" w:ascii="黑体" w:eastAsia="黑体" w:cs="黑体" w:hAnsiTheme="minorHAnsi"/>
          <w:b w:val="0"/>
          <w:bCs w:val="0"/>
          <w:kern w:val="0"/>
          <w:sz w:val="32"/>
          <w:szCs w:val="32"/>
        </w:rPr>
      </w:pPr>
    </w:p>
    <w:p>
      <w:pPr>
        <w:rPr>
          <w:rFonts w:hint="eastAsia"/>
        </w:rPr>
      </w:pP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w:t>
      </w:r>
      <w:r>
        <w:rPr>
          <w:rFonts w:hint="eastAsia" w:ascii="仿宋_GB2312" w:eastAsia="仿宋_GB2312" w:cs="ArialUnicodeMS" w:hAnsiTheme="minorHAnsi"/>
          <w:kern w:val="0"/>
          <w:sz w:val="32"/>
          <w:szCs w:val="32"/>
          <w:lang w:val="en-US" w:eastAsia="zh-CN"/>
        </w:rPr>
        <w:t>7</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748"/>
        <w:gridCol w:w="2182"/>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748"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182"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748"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18"/>
                <w:szCs w:val="18"/>
                <w:lang w:eastAsia="zh-CN"/>
              </w:rPr>
              <w:t>石家庄市鹿泉区住房和城乡建设局</w:t>
            </w:r>
            <w:r>
              <w:rPr>
                <w:rFonts w:hint="eastAsia" w:ascii="仿宋_GB2312" w:eastAsia="仿宋_GB2312" w:cs="ArialUnicodeMS" w:hAnsiTheme="minorHAnsi"/>
                <w:kern w:val="0"/>
                <w:sz w:val="18"/>
                <w:szCs w:val="18"/>
              </w:rPr>
              <w:t>(本级)</w:t>
            </w:r>
          </w:p>
        </w:tc>
        <w:tc>
          <w:tcPr>
            <w:tcW w:w="2182" w:type="dxa"/>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行政单位</w:t>
            </w:r>
          </w:p>
        </w:tc>
        <w:tc>
          <w:tcPr>
            <w:tcW w:w="2665" w:type="dxa"/>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748" w:type="dxa"/>
          </w:tcPr>
          <w:p>
            <w:pPr>
              <w:spacing w:after="0" w:line="560" w:lineRule="exact"/>
              <w:rPr>
                <w:rFonts w:ascii="仿宋_GB2312" w:eastAsia="仿宋_GB2312" w:cs="ArialUnicodeMS" w:hAnsiTheme="minorHAnsi"/>
                <w:kern w:val="0"/>
                <w:sz w:val="28"/>
                <w:szCs w:val="28"/>
              </w:rPr>
            </w:pPr>
            <w:r>
              <w:rPr>
                <w:rFonts w:hint="eastAsia" w:ascii="仿宋" w:hAnsi="仿宋" w:eastAsia="仿宋" w:cs="仿宋"/>
                <w:sz w:val="21"/>
                <w:szCs w:val="21"/>
              </w:rPr>
              <w:t>石家庄市鹿泉区房屋征收中心</w:t>
            </w:r>
          </w:p>
        </w:tc>
        <w:tc>
          <w:tcPr>
            <w:tcW w:w="2182" w:type="dxa"/>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财政补助事业单位</w:t>
            </w:r>
          </w:p>
        </w:tc>
        <w:tc>
          <w:tcPr>
            <w:tcW w:w="2665" w:type="dxa"/>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748" w:type="dxa"/>
          </w:tcPr>
          <w:p>
            <w:pPr>
              <w:spacing w:after="0" w:line="560" w:lineRule="exact"/>
              <w:rPr>
                <w:rFonts w:ascii="仿宋_GB2312" w:eastAsia="仿宋_GB2312" w:cs="ArialUnicodeMS" w:hAnsiTheme="minorHAnsi"/>
                <w:kern w:val="0"/>
                <w:sz w:val="28"/>
                <w:szCs w:val="28"/>
              </w:rPr>
            </w:pPr>
            <w:r>
              <w:rPr>
                <w:rFonts w:hint="eastAsia" w:ascii="仿宋" w:hAnsi="仿宋" w:eastAsia="仿宋" w:cs="仿宋"/>
                <w:sz w:val="21"/>
                <w:szCs w:val="21"/>
              </w:rPr>
              <w:t>石家庄市鹿泉区城市建设服务中心</w:t>
            </w:r>
          </w:p>
        </w:tc>
        <w:tc>
          <w:tcPr>
            <w:tcW w:w="2182" w:type="dxa"/>
            <w:vAlign w:val="top"/>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18"/>
                <w:szCs w:val="18"/>
                <w:lang w:eastAsia="zh-CN"/>
              </w:rPr>
              <w:t>财政补助事业单位</w:t>
            </w:r>
          </w:p>
        </w:tc>
        <w:tc>
          <w:tcPr>
            <w:tcW w:w="2665" w:type="dxa"/>
            <w:vAlign w:val="top"/>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4</w:t>
            </w:r>
          </w:p>
        </w:tc>
        <w:tc>
          <w:tcPr>
            <w:tcW w:w="3748"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 w:hAnsi="仿宋" w:eastAsia="仿宋" w:cs="仿宋"/>
                <w:sz w:val="18"/>
                <w:szCs w:val="18"/>
              </w:rPr>
              <w:t>石家庄市鹿泉区建筑和房地产市场稽查大队</w:t>
            </w:r>
          </w:p>
        </w:tc>
        <w:tc>
          <w:tcPr>
            <w:tcW w:w="2182" w:type="dxa"/>
            <w:tcBorders>
              <w:bottom w:val="single" w:color="auto" w:sz="4" w:space="0"/>
            </w:tcBorders>
          </w:tcPr>
          <w:p>
            <w:pPr>
              <w:spacing w:after="0" w:line="560" w:lineRule="exact"/>
              <w:jc w:val="center"/>
              <w:rPr>
                <w:rFonts w:hint="eastAsia" w:ascii="仿宋_GB2312" w:eastAsia="仿宋_GB2312" w:cs="ArialUnicodeMS" w:hAnsiTheme="minorHAnsi"/>
                <w:kern w:val="0"/>
                <w:sz w:val="18"/>
                <w:szCs w:val="18"/>
                <w:lang w:eastAsia="zh-CN"/>
              </w:rPr>
            </w:pPr>
            <w:r>
              <w:rPr>
                <w:rFonts w:hint="eastAsia" w:ascii="仿宋_GB2312" w:eastAsia="仿宋_GB2312" w:cs="ArialUnicodeMS" w:hAnsiTheme="minorHAnsi"/>
                <w:kern w:val="0"/>
                <w:sz w:val="18"/>
                <w:szCs w:val="18"/>
                <w:lang w:eastAsia="zh-CN"/>
              </w:rPr>
              <w:t>经费自理事业单位</w:t>
            </w: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5</w:t>
            </w:r>
          </w:p>
        </w:tc>
        <w:tc>
          <w:tcPr>
            <w:tcW w:w="3748" w:type="dxa"/>
            <w:tcBorders>
              <w:bottom w:val="single" w:color="auto" w:sz="4" w:space="0"/>
            </w:tcBorders>
          </w:tcPr>
          <w:p>
            <w:pPr>
              <w:spacing w:after="0" w:line="560" w:lineRule="exact"/>
              <w:rPr>
                <w:rFonts w:hint="eastAsia" w:ascii="仿宋" w:hAnsi="仿宋" w:eastAsia="仿宋" w:cs="仿宋"/>
                <w:sz w:val="18"/>
                <w:szCs w:val="18"/>
              </w:rPr>
            </w:pPr>
            <w:r>
              <w:rPr>
                <w:rFonts w:hint="eastAsia" w:ascii="仿宋" w:hAnsi="仿宋" w:eastAsia="仿宋" w:cs="仿宋"/>
                <w:sz w:val="21"/>
                <w:szCs w:val="21"/>
              </w:rPr>
              <w:t>石家庄市鹿泉区建筑业管理处</w:t>
            </w:r>
          </w:p>
        </w:tc>
        <w:tc>
          <w:tcPr>
            <w:tcW w:w="2182"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经费自理事业单位</w:t>
            </w:r>
          </w:p>
        </w:tc>
        <w:tc>
          <w:tcPr>
            <w:tcW w:w="2665"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6</w:t>
            </w:r>
          </w:p>
        </w:tc>
        <w:tc>
          <w:tcPr>
            <w:tcW w:w="3748" w:type="dxa"/>
            <w:tcBorders>
              <w:bottom w:val="single" w:color="auto" w:sz="4" w:space="0"/>
            </w:tcBorders>
          </w:tcPr>
          <w:p>
            <w:pPr>
              <w:spacing w:after="0" w:line="560" w:lineRule="exact"/>
              <w:rPr>
                <w:rFonts w:hint="eastAsia" w:ascii="仿宋" w:hAnsi="仿宋" w:eastAsia="仿宋" w:cs="仿宋"/>
                <w:sz w:val="15"/>
                <w:szCs w:val="15"/>
              </w:rPr>
            </w:pPr>
            <w:r>
              <w:rPr>
                <w:rFonts w:hint="eastAsia" w:ascii="仿宋" w:hAnsi="仿宋" w:eastAsia="仿宋" w:cs="仿宋"/>
                <w:color w:val="3D3D3D"/>
                <w:kern w:val="0"/>
                <w:sz w:val="15"/>
                <w:szCs w:val="15"/>
                <w:lang w:eastAsia="zh-CN"/>
              </w:rPr>
              <w:t>石家庄市</w:t>
            </w:r>
            <w:r>
              <w:rPr>
                <w:rFonts w:hint="eastAsia" w:ascii="仿宋" w:hAnsi="仿宋" w:eastAsia="仿宋" w:cs="仿宋"/>
                <w:color w:val="3D3D3D"/>
                <w:kern w:val="0"/>
                <w:sz w:val="15"/>
                <w:szCs w:val="15"/>
              </w:rPr>
              <w:t>鹿泉区廉租住房和经济适用住房管理中心</w:t>
            </w:r>
          </w:p>
        </w:tc>
        <w:tc>
          <w:tcPr>
            <w:tcW w:w="2182"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经费自理事业单位</w:t>
            </w:r>
          </w:p>
        </w:tc>
        <w:tc>
          <w:tcPr>
            <w:tcW w:w="2665"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hint="default" w:ascii="仿宋_GB2312" w:eastAsia="仿宋_GB2312" w:cs="ArialUnicodeMS" w:hAnsiTheme="minorHAnsi"/>
                <w:kern w:val="0"/>
                <w:sz w:val="28"/>
                <w:szCs w:val="28"/>
                <w:lang w:val="en-US" w:eastAsia="zh-CN"/>
              </w:rPr>
            </w:pPr>
            <w:r>
              <w:rPr>
                <w:rFonts w:hint="eastAsia" w:ascii="仿宋_GB2312" w:eastAsia="仿宋_GB2312" w:cs="ArialUnicodeMS" w:hAnsiTheme="minorHAnsi"/>
                <w:kern w:val="0"/>
                <w:sz w:val="28"/>
                <w:szCs w:val="28"/>
                <w:lang w:val="en-US" w:eastAsia="zh-CN"/>
              </w:rPr>
              <w:t>7</w:t>
            </w:r>
          </w:p>
        </w:tc>
        <w:tc>
          <w:tcPr>
            <w:tcW w:w="3748" w:type="dxa"/>
            <w:tcBorders>
              <w:bottom w:val="single" w:color="auto" w:sz="4" w:space="0"/>
            </w:tcBorders>
          </w:tcPr>
          <w:p>
            <w:pPr>
              <w:spacing w:after="0" w:line="560" w:lineRule="exact"/>
              <w:rPr>
                <w:rFonts w:hint="eastAsia" w:ascii="仿宋" w:hAnsi="仿宋" w:eastAsia="仿宋" w:cs="仿宋"/>
                <w:sz w:val="15"/>
                <w:szCs w:val="15"/>
              </w:rPr>
            </w:pPr>
            <w:r>
              <w:rPr>
                <w:rFonts w:hint="eastAsia" w:ascii="仿宋" w:hAnsi="仿宋" w:eastAsia="仿宋" w:cs="仿宋"/>
                <w:color w:val="3D3D3D"/>
                <w:kern w:val="0"/>
                <w:sz w:val="15"/>
                <w:szCs w:val="15"/>
                <w:lang w:eastAsia="zh-CN"/>
              </w:rPr>
              <w:t>石家庄市</w:t>
            </w:r>
            <w:r>
              <w:rPr>
                <w:rFonts w:hint="eastAsia" w:ascii="仿宋" w:hAnsi="仿宋" w:eastAsia="仿宋" w:cs="仿宋"/>
                <w:color w:val="3D3D3D"/>
                <w:kern w:val="0"/>
                <w:sz w:val="15"/>
                <w:szCs w:val="15"/>
              </w:rPr>
              <w:t>鹿泉区住房保障和房地产管理处</w:t>
            </w:r>
          </w:p>
        </w:tc>
        <w:tc>
          <w:tcPr>
            <w:tcW w:w="2182"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经费自理事业单位</w:t>
            </w:r>
          </w:p>
        </w:tc>
        <w:tc>
          <w:tcPr>
            <w:tcW w:w="2665" w:type="dxa"/>
            <w:tcBorders>
              <w:bottom w:val="single" w:color="auto" w:sz="4" w:space="0"/>
            </w:tcBorders>
            <w:vAlign w:val="top"/>
          </w:tcPr>
          <w:p>
            <w:pPr>
              <w:spacing w:after="0" w:line="560" w:lineRule="exact"/>
              <w:jc w:val="center"/>
              <w:rPr>
                <w:rFonts w:ascii="仿宋_GB2312" w:eastAsia="仿宋_GB2312" w:cs="ArialUnicodeMS" w:hAnsiTheme="minorHAnsi"/>
                <w:kern w:val="0"/>
                <w:sz w:val="18"/>
                <w:szCs w:val="18"/>
              </w:rPr>
            </w:pPr>
            <w:r>
              <w:rPr>
                <w:rFonts w:hint="eastAsia" w:ascii="仿宋_GB2312" w:eastAsia="仿宋_GB2312" w:cs="ArialUnicodeMS" w:hAnsiTheme="minorHAnsi"/>
                <w:kern w:val="0"/>
                <w:sz w:val="18"/>
                <w:szCs w:val="18"/>
                <w:lang w:eastAsia="zh-CN"/>
              </w:rPr>
              <w:t>财政性资金基本保障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hint="default" w:ascii="仿宋_GB2312" w:eastAsia="仿宋_GB2312" w:cs="ArialUnicodeMS" w:hAnsiTheme="minorHAnsi"/>
                <w:kern w:val="0"/>
                <w:sz w:val="28"/>
                <w:szCs w:val="28"/>
                <w:lang w:val="en-US"/>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3360"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AZRl+A9AgAAaQ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ls8TCDGYpMUh/WwRbam+hbAPI2zEZw865D8XIR4KTyGAQVjXeIFjkYTktBW4qwl//Vf+uSP&#10;HsHKWY/hqnj4shFecabfW3TvzeQw8RDz5XA2n+LiH1rWDy12Y04I8zvBYjqZxeQf9U5sPJnP2KpV&#10;ygqTsBK5Kx534kkcRx5bKdVqlZ0wf07Ec3vlZAo90rnaRGq6zHSiaeRmyx4mMDdguy1pxB/es9f9&#10;H2L5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E5rPdDcAAAADQEAAA8AAAAAAAAAAQAgAAAAIgAA&#10;AGRycy9kb3ducmV2LnhtbFBLAQIUABQAAAAIAIdO4kAGUZfgPQIAAGkEAAAOAAAAAAAAAAEAIAAA&#10;ACsBAABkcnMvZTJvRG9jLnhtbFBLBQYAAAAABgAGAFkBAADa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v:textbox>
              </v:shape>
            </w:pict>
          </mc:Fallback>
        </mc:AlternateConten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sz w:val="44"/>
              </w:rPr>
              <mc:AlternateContent>
                <mc:Choice Requires="wpg">
                  <w:drawing>
                    <wp:anchor distT="0" distB="0" distL="114300" distR="114300" simplePos="0" relativeHeight="251676672" behindDoc="0" locked="1" layoutInCell="1" allowOverlap="1">
                      <wp:simplePos x="0" y="0"/>
                      <wp:positionH relativeFrom="column">
                        <wp:posOffset>-892175</wp:posOffset>
                      </wp:positionH>
                      <wp:positionV relativeFrom="page">
                        <wp:posOffset>-1039495</wp:posOffset>
                      </wp:positionV>
                      <wp:extent cx="3088640" cy="523240"/>
                      <wp:effectExtent l="3175" t="0" r="13335" b="29210"/>
                      <wp:wrapNone/>
                      <wp:docPr id="10" name="组合 10"/>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1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70.25pt;margin-top:-81.85pt;height:41.2pt;width:243.2pt;mso-position-vertical-relative:page;z-index:251676672;mso-width-relative:page;mso-height-relative:page;" coordorigin="4551,52615" coordsize="8546,1398"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DgrxUj3AAAAA0BAAAPAAAAAAAAAAEAIAAAACIAAABkcnMvZG93bnJldi54bWxQSwECFAAUAAAA&#10;CACHTuJAZ8bpU0ADAAA8CQAADgAAAAAAAAABACAAAAArAQAAZHJzL2Uyb0RvYy54bWxQSwUGAAAA&#10;AAYABgBZAQAA3Q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石家庄市鹿泉区住房和城乡建设局</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41387.99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6.26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811.95</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298.14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139.04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32034.6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15440.6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1604.56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42199.94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49553.21</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22659.74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15306.47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64859.68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64859.68</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406"/>
        <w:gridCol w:w="1575"/>
        <w:gridCol w:w="390"/>
        <w:gridCol w:w="260"/>
        <w:gridCol w:w="250"/>
        <w:gridCol w:w="565"/>
        <w:gridCol w:w="305"/>
        <w:gridCol w:w="511"/>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收入决</w:t>
            </w:r>
            <w:r>
              <w:rPr>
                <w:sz w:val="44"/>
              </w:rPr>
              <mc:AlternateContent>
                <mc:Choice Requires="wpg">
                  <w:drawing>
                    <wp:anchor distT="0" distB="0" distL="114300" distR="114300" simplePos="0" relativeHeight="251677696"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34" name="组合 34"/>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77696;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CebiNwAAAANAQAADwAAAAAAAAABACAAAAAiAAAAZHJzL2Rvd25yZXYueG1sUEsBAhQA&#10;FAAAAAgAh07iQHfJ2XFEAwAAPAkAAA4AAAAAAAAAAQAgAAAAKw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40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57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hint="eastAsia" w:ascii="宋体" w:hAnsi="宋体" w:eastAsia="宋体" w:cs="宋体"/>
                <w:color w:val="000000"/>
                <w:szCs w:val="21"/>
                <w:lang w:eastAsia="zh-CN"/>
              </w:rPr>
            </w:pPr>
            <w:r>
              <w:rPr>
                <w:rFonts w:hint="eastAsia" w:ascii="宋体" w:hAnsi="宋体" w:cs="宋体"/>
                <w:color w:val="000000"/>
                <w:kern w:val="0"/>
                <w:szCs w:val="21"/>
                <w:lang w:bidi="ar"/>
              </w:rPr>
              <w:t>部门：</w:t>
            </w:r>
            <w:r>
              <w:rPr>
                <w:rFonts w:hint="eastAsia" w:ascii="宋体" w:hAnsi="宋体" w:cs="宋体"/>
                <w:color w:val="000000"/>
                <w:kern w:val="0"/>
                <w:sz w:val="20"/>
                <w:szCs w:val="20"/>
                <w:lang w:eastAsia="zh-CN" w:bidi="ar"/>
              </w:rPr>
              <w:t>石家庄市鹿泉区住房和城乡建设局</w:t>
            </w: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25" w:hRule="atLeast"/>
          <w:jc w:val="center"/>
        </w:trPr>
        <w:tc>
          <w:tcPr>
            <w:tcW w:w="2495"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项目</w:t>
            </w:r>
          </w:p>
        </w:tc>
        <w:tc>
          <w:tcPr>
            <w:tcW w:w="900" w:type="dxa"/>
            <w:gridSpan w:val="3"/>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87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财政拨款收入</w:t>
            </w:r>
          </w:p>
        </w:tc>
        <w:tc>
          <w:tcPr>
            <w:tcW w:w="848"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上级补助收入</w:t>
            </w:r>
          </w:p>
        </w:tc>
        <w:tc>
          <w:tcPr>
            <w:tcW w:w="92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事业收入</w:t>
            </w:r>
          </w:p>
        </w:tc>
        <w:tc>
          <w:tcPr>
            <w:tcW w:w="921"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经营收入</w:t>
            </w:r>
          </w:p>
        </w:tc>
        <w:tc>
          <w:tcPr>
            <w:tcW w:w="920"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附属单位上缴收入</w:t>
            </w:r>
          </w:p>
        </w:tc>
        <w:tc>
          <w:tcPr>
            <w:tcW w:w="926" w:type="dxa"/>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其他收入</w:t>
            </w:r>
          </w:p>
        </w:tc>
      </w:tr>
      <w:tr>
        <w:tblPrEx>
          <w:tblCellMar>
            <w:top w:w="0" w:type="dxa"/>
            <w:left w:w="0" w:type="dxa"/>
            <w:bottom w:w="0" w:type="dxa"/>
            <w:right w:w="0" w:type="dxa"/>
          </w:tblCellMar>
        </w:tblPrEx>
        <w:trPr>
          <w:trHeight w:val="626"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功能分类科目编码</w:t>
            </w:r>
          </w:p>
        </w:tc>
        <w:tc>
          <w:tcPr>
            <w:tcW w:w="1575"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科目名称</w:t>
            </w:r>
          </w:p>
        </w:tc>
        <w:tc>
          <w:tcPr>
            <w:tcW w:w="900" w:type="dxa"/>
            <w:gridSpan w:val="3"/>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870"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848"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0"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1"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0"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6" w:type="dxa"/>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r>
      <w:tr>
        <w:tblPrEx>
          <w:tblCellMar>
            <w:top w:w="0" w:type="dxa"/>
            <w:left w:w="0" w:type="dxa"/>
            <w:bottom w:w="0" w:type="dxa"/>
            <w:right w:w="0" w:type="dxa"/>
          </w:tblCellMar>
        </w:tblPrEx>
        <w:trPr>
          <w:trHeight w:val="391" w:hRule="atLeast"/>
          <w:jc w:val="center"/>
        </w:trPr>
        <w:tc>
          <w:tcPr>
            <w:tcW w:w="249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9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4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r>
      <w:tr>
        <w:tblPrEx>
          <w:tblCellMar>
            <w:top w:w="0" w:type="dxa"/>
            <w:left w:w="0" w:type="dxa"/>
            <w:bottom w:w="0" w:type="dxa"/>
            <w:right w:w="0" w:type="dxa"/>
          </w:tblCellMar>
        </w:tblPrEx>
        <w:trPr>
          <w:trHeight w:val="90" w:hRule="atLeast"/>
          <w:jc w:val="center"/>
        </w:trPr>
        <w:tc>
          <w:tcPr>
            <w:tcW w:w="249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90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 w:val="18"/>
                <w:szCs w:val="18"/>
                <w:lang w:val="en-US" w:eastAsia="zh-CN"/>
              </w:rPr>
            </w:pPr>
            <w:r>
              <w:rPr>
                <w:rFonts w:hint="eastAsia" w:ascii="宋体" w:hAnsi="宋体" w:cs="宋体"/>
                <w:b/>
                <w:color w:val="000000"/>
                <w:sz w:val="18"/>
                <w:szCs w:val="18"/>
                <w:lang w:val="en-US" w:eastAsia="zh-CN"/>
              </w:rPr>
              <w:t>42199.94</w:t>
            </w:r>
          </w:p>
        </w:tc>
        <w:tc>
          <w:tcPr>
            <w:tcW w:w="87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 w:val="18"/>
                <w:szCs w:val="18"/>
                <w:lang w:val="en-US" w:eastAsia="zh-CN"/>
              </w:rPr>
            </w:pPr>
            <w:r>
              <w:rPr>
                <w:rFonts w:hint="eastAsia" w:ascii="宋体" w:hAnsi="宋体" w:cs="宋体"/>
                <w:b/>
                <w:color w:val="000000"/>
                <w:sz w:val="18"/>
                <w:szCs w:val="18"/>
                <w:lang w:val="en-US" w:eastAsia="zh-CN"/>
              </w:rPr>
              <w:t>41387.99</w:t>
            </w:r>
          </w:p>
        </w:tc>
        <w:tc>
          <w:tcPr>
            <w:tcW w:w="848"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 w:val="18"/>
                <w:szCs w:val="18"/>
                <w:lang w:val="en-US" w:eastAsia="zh-CN"/>
              </w:rPr>
            </w:pPr>
            <w:r>
              <w:rPr>
                <w:rFonts w:hint="eastAsia" w:ascii="宋体" w:hAnsi="宋体" w:cs="宋体"/>
                <w:b/>
                <w:color w:val="000000"/>
                <w:sz w:val="18"/>
                <w:szCs w:val="18"/>
                <w:lang w:val="en-US" w:eastAsia="zh-CN"/>
              </w:rPr>
              <w:t>811.95</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201</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一般公共服务支出</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6.26</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6.26</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15"/>
                <w:szCs w:val="15"/>
                <w:lang w:val="en-US" w:eastAsia="zh-CN"/>
              </w:rPr>
            </w:pPr>
            <w:r>
              <w:rPr>
                <w:rFonts w:hint="eastAsia" w:ascii="宋体" w:hAnsi="宋体" w:cs="宋体"/>
                <w:color w:val="000000"/>
                <w:sz w:val="15"/>
                <w:szCs w:val="15"/>
                <w:lang w:val="en-US" w:eastAsia="zh-CN"/>
              </w:rPr>
              <w:t>20103</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政府办公厅（室）及相关机构事务</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6.26</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6.26</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15"/>
                <w:szCs w:val="15"/>
                <w:lang w:val="en-US" w:eastAsia="zh-CN"/>
              </w:rPr>
            </w:pPr>
            <w:r>
              <w:rPr>
                <w:rFonts w:hint="eastAsia" w:ascii="宋体" w:hAnsi="宋体" w:cs="宋体"/>
                <w:color w:val="000000"/>
                <w:sz w:val="15"/>
                <w:szCs w:val="15"/>
                <w:lang w:val="en-US" w:eastAsia="zh-CN"/>
              </w:rPr>
              <w:t>2010301</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行政运行</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6.26</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6.26</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15"/>
                <w:szCs w:val="15"/>
                <w:lang w:val="en-US" w:eastAsia="zh-CN"/>
              </w:rPr>
            </w:pPr>
            <w:r>
              <w:rPr>
                <w:rFonts w:hint="eastAsia" w:ascii="宋体" w:hAnsi="宋体" w:cs="宋体"/>
                <w:color w:val="000000"/>
                <w:sz w:val="15"/>
                <w:szCs w:val="15"/>
                <w:lang w:val="en-US" w:eastAsia="zh-CN"/>
              </w:rPr>
              <w:t>208</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社会保障和就业支出</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314.58</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296.66</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17.92</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15"/>
                <w:szCs w:val="15"/>
                <w:lang w:val="en-US" w:eastAsia="zh-CN"/>
              </w:rPr>
            </w:pPr>
            <w:r>
              <w:rPr>
                <w:rFonts w:hint="eastAsia" w:ascii="宋体" w:hAnsi="宋体" w:cs="宋体"/>
                <w:color w:val="000000"/>
                <w:sz w:val="15"/>
                <w:szCs w:val="15"/>
                <w:lang w:val="en-US" w:eastAsia="zh-CN"/>
              </w:rPr>
              <w:t>20805</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行政事业单位离退休</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271.22</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271.22</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15"/>
                <w:szCs w:val="15"/>
                <w:lang w:val="en-US" w:eastAsia="zh-CN"/>
              </w:rPr>
            </w:pPr>
            <w:r>
              <w:rPr>
                <w:rFonts w:hint="eastAsia" w:ascii="宋体" w:hAnsi="宋体" w:cs="宋体"/>
                <w:color w:val="000000"/>
                <w:sz w:val="15"/>
                <w:szCs w:val="15"/>
                <w:lang w:val="en-US" w:eastAsia="zh-CN"/>
              </w:rPr>
              <w:t>2080505</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15"/>
                <w:szCs w:val="15"/>
                <w:lang w:val="en-US" w:eastAsia="zh-CN"/>
              </w:rPr>
            </w:pPr>
            <w:r>
              <w:rPr>
                <w:rFonts w:hint="eastAsia" w:ascii="宋体" w:hAnsi="宋体" w:cs="宋体"/>
                <w:color w:val="000000"/>
                <w:sz w:val="15"/>
                <w:szCs w:val="15"/>
                <w:lang w:eastAsia="zh-CN"/>
              </w:rPr>
              <w:t>机关事业单位基本养老保险缴费支出</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213.66</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213.66</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15"/>
                <w:szCs w:val="15"/>
                <w:lang w:val="en-US" w:eastAsia="zh-CN"/>
              </w:rPr>
            </w:pPr>
            <w:r>
              <w:rPr>
                <w:rFonts w:hint="eastAsia" w:ascii="宋体" w:hAnsi="宋体" w:cs="宋体"/>
                <w:color w:val="000000"/>
                <w:sz w:val="15"/>
                <w:szCs w:val="15"/>
                <w:lang w:val="en-US" w:eastAsia="zh-CN"/>
              </w:rPr>
              <w:t>2080506</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机关事业单位职业年金缴费支出</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57.56</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57.56</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15"/>
                <w:szCs w:val="15"/>
                <w:lang w:val="en-US" w:eastAsia="zh-CN"/>
              </w:rPr>
            </w:pPr>
            <w:r>
              <w:rPr>
                <w:rFonts w:hint="eastAsia" w:ascii="宋体" w:hAnsi="宋体" w:cs="宋体"/>
                <w:color w:val="000000"/>
                <w:sz w:val="15"/>
                <w:szCs w:val="15"/>
                <w:lang w:val="en-US" w:eastAsia="zh-CN"/>
              </w:rPr>
              <w:t>20809</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退役安置</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43.35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25.43</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17.92</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15"/>
                <w:szCs w:val="15"/>
                <w:lang w:val="en-US" w:eastAsia="zh-CN"/>
              </w:rPr>
            </w:pPr>
            <w:r>
              <w:rPr>
                <w:rFonts w:hint="eastAsia" w:ascii="宋体" w:hAnsi="宋体" w:cs="宋体"/>
                <w:color w:val="000000"/>
                <w:sz w:val="15"/>
                <w:szCs w:val="15"/>
                <w:lang w:val="en-US" w:eastAsia="zh-CN"/>
              </w:rPr>
              <w:t>2080901</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退役士兵安置</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29.44</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25.43</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4.01</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15"/>
                <w:szCs w:val="15"/>
                <w:lang w:val="en-US" w:eastAsia="zh-CN"/>
              </w:rPr>
            </w:pPr>
            <w:r>
              <w:rPr>
                <w:rFonts w:hint="eastAsia" w:ascii="宋体" w:hAnsi="宋体" w:cs="宋体"/>
                <w:color w:val="000000"/>
                <w:sz w:val="15"/>
                <w:szCs w:val="15"/>
                <w:lang w:val="en-US" w:eastAsia="zh-CN"/>
              </w:rPr>
              <w:t>2080999</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其他退役安置支出</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13.91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0.00</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13.91</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210</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医疗卫生与计划生育支出</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147.00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147.00</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21011</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15"/>
                <w:szCs w:val="15"/>
                <w:lang w:val="en-US" w:eastAsia="zh-CN"/>
              </w:rPr>
            </w:pPr>
            <w:r>
              <w:rPr>
                <w:rFonts w:hint="eastAsia" w:ascii="宋体" w:hAnsi="宋体" w:cs="宋体"/>
                <w:color w:val="000000"/>
                <w:sz w:val="15"/>
                <w:szCs w:val="15"/>
                <w:lang w:val="en-US" w:eastAsia="zh-CN"/>
              </w:rPr>
              <w:t>行政事业单位医疗</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147.00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147.00</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2101101</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行政单位医疗</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131.83</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131.83</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2101102</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事业单位医疗</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15.17</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15.17</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211</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节能环保支出</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26853.68</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26814.68</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39.00</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21103</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污染防治</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26853.68</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26814.68</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39</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2110301</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大气</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24667.38</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24628.38</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39</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2110302</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水体</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2186.3</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2186.3</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212</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城乡社区支出</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13864.91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13191.88</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673.03</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21201</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城乡社区管理事务</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2047.18</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1561.55</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485.63</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2120101</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行政运行</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1321.58</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1288.18</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33.40</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Cs w:val="21"/>
                <w:lang w:val="en-US" w:eastAsia="zh-CN"/>
              </w:rPr>
            </w:pPr>
            <w:r>
              <w:rPr>
                <w:rFonts w:hint="eastAsia" w:ascii="宋体" w:hAnsi="宋体" w:cs="宋体"/>
                <w:color w:val="000000"/>
                <w:szCs w:val="21"/>
                <w:lang w:val="en-US" w:eastAsia="zh-CN"/>
              </w:rPr>
              <w:t>2120102</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一般行政管理事务</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307.93</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177.37</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130.56</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2120601</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工程建设管理</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50.00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50.00</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2120199</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其他城乡社区管理事务支出</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cs="宋体"/>
                <w:color w:val="000000"/>
                <w:sz w:val="18"/>
                <w:szCs w:val="18"/>
                <w:lang w:val="en-US" w:eastAsia="zh-CN"/>
              </w:rPr>
            </w:pPr>
            <w:r>
              <w:rPr>
                <w:rFonts w:hint="eastAsia" w:ascii="宋体" w:hAnsi="宋体" w:cs="宋体"/>
                <w:color w:val="000000"/>
                <w:sz w:val="18"/>
                <w:szCs w:val="18"/>
                <w:lang w:val="en-US" w:eastAsia="zh-CN"/>
              </w:rPr>
              <w:t>367.67</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46.00</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321.67</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21203</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城乡社区公共设施</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146.39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101.52</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44.88</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2120303</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小城镇基础设施建设</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146.39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101.52</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44.88</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21206</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建设市场管理与监督</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1717.35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1658.43</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58.92</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2120601</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lang w:eastAsia="zh-CN"/>
              </w:rPr>
              <w:t>建设市场管理与监督</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1717.35</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1658.43</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58.92</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21208</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国有土地使用权出让收入及对应专项债务收入安排的支出</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9792.99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9726.59</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64.4</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2120803</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lang w:eastAsia="zh-CN"/>
              </w:rPr>
              <w:t>城市建设支出</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9790.99</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9726.59</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64.4</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21299</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其他城乡社区支出</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163.00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143.80</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19.2</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2129999</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其他城乡社区支出</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163.00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143.80</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19.2</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216</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商业服务业等支出</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30.00</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21605</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旅游业管理与服务支出</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30.00</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2160599</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其他旅游业管理与服务支出</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30.00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30.00</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221</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住房保障支出</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983.51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901.51</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82.00</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22101</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保障性安居工程支出</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856.50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774.50</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82.00</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2210103</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棚户区改造</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261.00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261.00</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2210105</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农村危房改造</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95.00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13.00</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82.00</w:t>
            </w: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2210106</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公共租赁住房</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496.00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496.00</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2210199</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其他保障性安居工程支出</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4.50</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4.50</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22102</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住房改革支出</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127.01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127.01</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71" w:hRule="atLeast"/>
          <w:jc w:val="center"/>
        </w:trPr>
        <w:tc>
          <w:tcPr>
            <w:tcW w:w="9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 w:val="15"/>
                <w:szCs w:val="15"/>
                <w:lang w:val="en-US" w:eastAsia="zh-CN"/>
              </w:rPr>
            </w:pPr>
            <w:r>
              <w:rPr>
                <w:rFonts w:hint="eastAsia" w:ascii="宋体" w:hAnsi="宋体" w:cs="宋体"/>
                <w:color w:val="000000"/>
                <w:sz w:val="15"/>
                <w:szCs w:val="15"/>
                <w:lang w:val="en-US" w:eastAsia="zh-CN"/>
              </w:rPr>
              <w:t>2210201</w:t>
            </w:r>
          </w:p>
        </w:tc>
        <w:tc>
          <w:tcPr>
            <w:tcW w:w="1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住房公积金</w:t>
            </w:r>
          </w:p>
        </w:tc>
        <w:tc>
          <w:tcPr>
            <w:tcW w:w="90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127.01</w:t>
            </w:r>
          </w:p>
        </w:tc>
        <w:tc>
          <w:tcPr>
            <w:tcW w:w="87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127.01</w:t>
            </w:r>
          </w:p>
        </w:tc>
        <w:tc>
          <w:tcPr>
            <w:tcW w:w="84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438"/>
        <w:gridCol w:w="1620"/>
        <w:gridCol w:w="509"/>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支出决算</w:t>
            </w:r>
            <w:r>
              <w:rPr>
                <w:sz w:val="44"/>
              </w:rPr>
              <mc:AlternateContent>
                <mc:Choice Requires="wpg">
                  <w:drawing>
                    <wp:anchor distT="0" distB="0" distL="114300" distR="114300" simplePos="0" relativeHeight="25167872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38" name="组合 3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872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JpSytwAAAANAQAADwAAAAAAAAABACAAAAAiAAAAZHJzL2Rvd25yZXYueG1sUEsBAhQA&#10;FAAAAAgAh07iQAUJ5FtEAwAAPAkAAA4AAAAAAAAAAQAgAAAAKw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43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62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w:t>
            </w:r>
            <w:r>
              <w:rPr>
                <w:rFonts w:hint="eastAsia" w:ascii="宋体" w:hAnsi="宋体" w:cs="宋体"/>
                <w:color w:val="000000"/>
                <w:kern w:val="0"/>
                <w:sz w:val="20"/>
                <w:szCs w:val="20"/>
                <w:lang w:eastAsia="zh-CN" w:bidi="ar"/>
              </w:rPr>
              <w:t>石家庄市鹿泉区住房和城乡建设局</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837" w:hRule="atLeast"/>
        </w:trPr>
        <w:tc>
          <w:tcPr>
            <w:tcW w:w="2637"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945"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对附属单位补助支出</w:t>
            </w:r>
          </w:p>
        </w:tc>
      </w:tr>
      <w:tr>
        <w:tblPrEx>
          <w:tblCellMar>
            <w:top w:w="0" w:type="dxa"/>
            <w:left w:w="0" w:type="dxa"/>
            <w:bottom w:w="0" w:type="dxa"/>
            <w:right w:w="0" w:type="dxa"/>
          </w:tblCellMar>
        </w:tblPrEx>
        <w:trPr>
          <w:trHeight w:val="782" w:hRule="atLeast"/>
        </w:trPr>
        <w:tc>
          <w:tcPr>
            <w:tcW w:w="101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945"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637"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9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440" w:hRule="atLeast"/>
        </w:trPr>
        <w:tc>
          <w:tcPr>
            <w:tcW w:w="2637"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49553.21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3023.35</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46529.86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201</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一般公共服务支出</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6.26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6.26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20103</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政府办公厅（室）及相关机构事务</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6.26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6.26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2010301</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行政运行</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6.26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6.26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208</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社会保障和就业支出</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298.14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298.14</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20805</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行政事业单位离退休</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254.79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254.79</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2080505</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机关事业单位基本养老保险缴费支出</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196.59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196.59</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2080506</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机关事业单位职业年金缴费支出</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58.20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58.20</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20809</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退役安置</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43.35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43.35</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2080901</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退役士兵安置</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29.44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29.44</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2080999</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其他退役安置支出</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13.91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13.91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210</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医疗卫生与计划生育支出</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139.04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139.04</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21011</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行政事业单位医疗</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139.04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139.04</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2101101</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行政单位医疗</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120.68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120.68</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2101102</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事业单位医疗</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18.36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18.36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211</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节能环保支出</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32034.60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32034.60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21103</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污染防治</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31980.27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31980.27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2110301</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大气</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29793.98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29793.98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2110302</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水体</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2186.30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2186.30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21111</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污染减排</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54.33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54.33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2111103</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减排专项支出</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54.33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54.33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城乡社区支出</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15440.60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2455.24</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12985.36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21201</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城乡社区管理事务</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2093.75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1313.19</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780.56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2120101</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行政运行</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1300.98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1300.98</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2120102</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一般行政管理事务</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332.43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12.21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320.22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2120106</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工程建设管理</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92.67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92.67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2120199</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其他城乡社区管理事务支出</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367.67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367.67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21203</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城乡社区公共设施</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135.31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10.38</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124.93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2120303</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小城镇基础设施建设</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135.31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10.38</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124.93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21206</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建设市场管理与监督</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1508.21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1131.67</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376.54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2120601</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建设市场管理与监督</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1508.21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1131.67</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376.54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21208</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国有土地使用权出让收入及对应专项债务收入安排的支出</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11572.10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11572.1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2120803</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城市建设支出</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11572.10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11572.1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21299</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其他城乡社区支出</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131.24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131.24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2129999</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其他城乡社区支出</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131.24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131.24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216</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其他城乡社区支出</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21605</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旅游业管理与服务支出</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2160599</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其他旅游业管理与服务支出</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30.00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221</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住房保障支出</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1604.56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124.66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1479.90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22101</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保障性安居工程支出</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1479.90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1479.90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2210103</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棚户区改造</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244.00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244.00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2210105</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农村危房改造</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88.90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88.90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2210199</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其他保障性安居工程支出</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1147.00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1147.00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22102</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住房改革支出</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124.66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124.66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1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2210201</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住房公积金</w:t>
            </w:r>
          </w:p>
        </w:tc>
        <w:tc>
          <w:tcPr>
            <w:tcW w:w="9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124.66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124.66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财政拨款收入支出决</w:t>
            </w:r>
            <w:r>
              <w:rPr>
                <w:sz w:val="44"/>
              </w:rPr>
              <mc:AlternateContent>
                <mc:Choice Requires="wpg">
                  <w:drawing>
                    <wp:anchor distT="0" distB="0" distL="114300" distR="114300" simplePos="0" relativeHeight="251679744"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3" name="组合 43"/>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9744;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AcmlLK3AAAAA0BAAAPAAAAAAAAAAEAIAAAACIAAABkcnMvZG93bnJldi54bWxQSwECFAAU&#10;AAAACACHTuJAF/Oux0MDAAA8CQAADgAAAAAAAAABACAAAAAr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gcSdNb4AAADb&#10;AAAADwAAAGRycy9kb3ducmV2LnhtbEWPzWsCMRTE7wX/h/AEbzVZ8aNsjR5EsXhqVfD63Lzubnfz&#10;siTxo/+9KRQ8DjPzG2a+vNtWXMmH2rGGbKhAEBfO1FxqOB42r28gQkQ22DomDb8UYLnovcwxN+7G&#10;X3Tdx1IkCIccNVQxdrmUoajIYhi6jjh5385bjEn6UhqPtwS3rRwpNZUWa04LFXa0qqho9heroTnO&#10;Pmu12v6cds104tfZeTbxZ60H/Uy9g4h0j8/wf/vDaBiP4e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Sd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yF8mLsAAADb&#10;AAAADwAAAGRycy9kb3ducmV2LnhtbEWPS4sCMRCE78L+h9ALe9PExdV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F8m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石家庄市鹿泉区住房和城乡建设局</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31661.40</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6.26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6.26</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9726.59</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280.22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280.22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lang w:bidi="ar"/>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139.04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139.04</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31995.60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31995.60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14780.88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3273.18</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11507.71</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30.00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30.00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1524.56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1524.56</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41387.99</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48756.57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37248.87</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11507.71</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22656.51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15287.93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15169.20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118.73</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20756.67</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1899.84</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64044.50</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64044.50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52417.07</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11626.43</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w:t>
            </w:r>
            <w:r>
              <w:rPr>
                <w:sz w:val="44"/>
              </w:rPr>
              <mc:AlternateContent>
                <mc:Choice Requires="wpg">
                  <w:drawing>
                    <wp:anchor distT="0" distB="0" distL="114300" distR="114300" simplePos="0" relativeHeight="251680768"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6" name="组合 46"/>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0768;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ByaUsrcAAAADQEAAA8AAAAAAAAAAQAgAAAAIgAAAGRycy9kb3ducmV2LnhtbFBLAQIUABQA&#10;AAAIAIdO4kD9E/AsQgMAADwJAAAOAAAAAAAAAAEAIAAAACs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cRYDQr4AAADb&#10;AAAADwAAAGRycy9kb3ducmV2LnhtbEWPzWrDMBCE74G+g9hAb4nk0MTFiZJDaEjpqU0NvW6sje3Y&#10;WhlJ+enbV4VCj8PMfMOsNnfbiyv50DrWkE0VCOLKmZZrDeXnbvIMIkRkg71j0vBNATbrh9EKC+Nu&#10;/EHXQ6xFgnAoUEMT41BIGaqGLIapG4iTd3LeYkzS19J4vCW47eVMqYW02HJaaHCgbUNVd7hYDV2Z&#10;v7dquz9/vXWLuX/JjvncH7V+HGdqCSLSPf6H/9qvRsNTDr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YDQ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iSDTBrkAAADb&#10;AAAADwAAAGRycy9kb3ducmV2LnhtbEVPy4rCMBTdD/gP4QruxkQZOqUahRGUWWqdx/bSXNsyzU1J&#10;0qp/bxbCLA/nvd7ebCdG8qF1rGExVyCIK2darjV8nfevOYgQkQ12jknDnQJsN5OXNRbGXflEYxlr&#10;kUI4FKihibEvpAxVQxbD3PXEibs4bzEm6GtpPF5TuO3kUqlMWmw5NTTY066h6q8crIbs+LFz1Tk/&#10;/PjfVh3dsL/n799az6YLtQIR6Rb/xU/3p9Hwlsam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kg0wa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w:t>
            </w:r>
            <w:r>
              <w:rPr>
                <w:rFonts w:hint="eastAsia" w:ascii="宋体" w:hAnsi="宋体" w:cs="宋体"/>
                <w:color w:val="000000"/>
                <w:kern w:val="0"/>
                <w:sz w:val="20"/>
                <w:szCs w:val="20"/>
                <w:lang w:eastAsia="zh-CN" w:bidi="ar"/>
              </w:rPr>
              <w:t>石家庄市鹿泉区住房和城乡建设局</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37248.87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2948.13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34300.74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一般公共服务支出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6.26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6.26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20103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政府办公厅（室）及相关机构事务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6.26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6.26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2010301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6.26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6.26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280.22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280.22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20805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行政事业单位离退休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254.79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254.79</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2080505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196.59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196.59</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2080506</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机关事业单位职业年金缴费支出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58.20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58.20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20809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退役安置</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25.43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25.43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2080901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退役</w:t>
            </w:r>
            <w:r>
              <w:rPr>
                <w:rFonts w:hint="eastAsia" w:ascii="宋体" w:hAnsi="宋体" w:cs="宋体"/>
                <w:color w:val="000000"/>
                <w:sz w:val="15"/>
                <w:szCs w:val="15"/>
                <w:lang w:eastAsia="zh-CN"/>
              </w:rPr>
              <w:t>士兵</w:t>
            </w:r>
            <w:r>
              <w:rPr>
                <w:rFonts w:hint="eastAsia" w:ascii="宋体" w:hAnsi="宋体" w:cs="宋体"/>
                <w:color w:val="000000"/>
                <w:sz w:val="15"/>
                <w:szCs w:val="15"/>
              </w:rPr>
              <w:t>安置</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254.43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25.43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val="0"/>
                <w:bCs w:val="0"/>
                <w:color w:val="000000"/>
                <w:sz w:val="15"/>
                <w:szCs w:val="15"/>
              </w:rPr>
            </w:pPr>
            <w:r>
              <w:rPr>
                <w:rFonts w:hint="eastAsia" w:ascii="宋体" w:hAnsi="宋体" w:cs="宋体"/>
                <w:b w:val="0"/>
                <w:bCs w:val="0"/>
                <w:color w:val="000000"/>
                <w:sz w:val="15"/>
                <w:szCs w:val="15"/>
              </w:rPr>
              <w:t>医疗卫生与计划生育支出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139.04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139.04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21011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行政事业单位医疗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139.04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139.04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2101101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行政单位医疗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120.68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120.68</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2101102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事业单位医疗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18.36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18.36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节能环保支出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31995.60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31995.60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21103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污染防治</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31941.27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31941.27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2110301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大气</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29754.98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29754.98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2110302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水体</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2186.30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2186.30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21111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lang w:eastAsia="zh-CN"/>
              </w:rPr>
              <w:t>污染减排</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54.33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54.33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2111103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减排专项支出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54.33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54.33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城乡社区支出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3273.18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2397.94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875.23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城乡社区管理事务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1621.61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1293.33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328.28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2120101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1281.12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1281.12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2120102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201.87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12.21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189.66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2120106</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工程建设管理</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92.62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92.62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2120199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其他城乡社区管理事务支出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46.00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46.00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城乡社区公共设施</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90.43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10.38</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80.05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2120303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小城镇基础设施建设</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90.43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10.38</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80.05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21206</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建设市场管理与监督</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1449.10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1094.23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354.87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2120601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建设市场管理与监督</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1449.10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1094.23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354.87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建设市场管理与监督</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112.04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112.04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2129999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其他城乡社区支出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112.04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112.04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216</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商业服务业等支出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30.00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21605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旅游业管理与服务支出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30.00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2160599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其他旅游业管理与服务支出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30.00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住房保障支出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1524.56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124.66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1399.90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保障性安居工程支出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1399.90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1399.90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2210103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棚户区改造</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244.00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244.00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2210105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农村危房改造</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8.90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8.90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2210199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其他保障性安居工程支出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1147.00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1147.00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住房改革支出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124.66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124.66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2210201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住房公积金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124.66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124.66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部门：</w:t>
            </w:r>
            <w:r>
              <w:rPr>
                <w:rFonts w:hint="eastAsia" w:ascii="宋体" w:hAnsi="宋体" w:cs="宋体"/>
                <w:color w:val="000000"/>
                <w:kern w:val="0"/>
                <w:sz w:val="20"/>
                <w:szCs w:val="20"/>
                <w:lang w:eastAsia="zh-CN" w:bidi="ar"/>
              </w:rPr>
              <w:t>石家庄市鹿泉区住房和城乡建设局</w:t>
            </w:r>
            <w:r>
              <w:rPr>
                <w:sz w:val="44"/>
              </w:rPr>
              <mc:AlternateContent>
                <mc:Choice Requires="wpg">
                  <w:drawing>
                    <wp:anchor distT="0" distB="0" distL="114300" distR="114300" simplePos="0" relativeHeight="251681792" behindDoc="0" locked="1" layoutInCell="1" allowOverlap="1">
                      <wp:simplePos x="0" y="0"/>
                      <wp:positionH relativeFrom="column">
                        <wp:posOffset>-930275</wp:posOffset>
                      </wp:positionH>
                      <wp:positionV relativeFrom="page">
                        <wp:posOffset>-1643380</wp:posOffset>
                      </wp:positionV>
                      <wp:extent cx="3088640" cy="523240"/>
                      <wp:effectExtent l="3175" t="0" r="13335" b="29210"/>
                      <wp:wrapNone/>
                      <wp:docPr id="49" name="组合 49"/>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73.25pt;margin-top:-129.4pt;height:41.2pt;width:243.2pt;mso-position-vertical-relative:page;z-index:251681792;mso-width-relative:page;mso-height-relative:page;" coordorigin="4551,52615" coordsize="8546,1398"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sDI+9N0AAAAOAQAADwAAAAAAAAABACAAAAAiAAAAZHJzL2Rvd25yZXYueG1sUEsBAhQAFAAA&#10;AAgAh07iQK3CBR9AAwAAPAkAAA4AAAAAAAAAAQAgAAAALA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eyYN67oAAADb&#10;AAAADwAAAGRycy9kb3ducmV2LnhtbEVPu27CMBTdK/EP1kXqVuxUCqCAYUCgok4UkFgv8SUJia8j&#10;2zz69/WA1PHovOfLp+3EnXxoHGvIRgoEcelMw5WG42HzMQURIrLBzjFp+KUAy8XgbY6FcQ/+ofs+&#10;ViKFcChQQx1jX0gZyposhpHriRN3cd5iTNBX0nh8pHDbyU+lxtJiw6mhxp5WNZXt/mY1tMfJrlGr&#10;r+vpux3nfp2dJ7k/a/0+zNQMRKRn/Be/3FujIU/r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Jg3r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ncPsRrsAAADb&#10;AAAADwAAAGRycy9kb3ducmV2LnhtbEWPS4sCMRCE7wv+h9CCtzUZQ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PsR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2284.71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463.10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557.50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59.94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328.33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9.22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600.55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23.98</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274.42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1.41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22.67</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174.37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29.08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1.31</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64.30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166.11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152.04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8.43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5.94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4.84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127.27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29.79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176.33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35.04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92.42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23.78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23.90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38.55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9.19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1.20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11.56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22.51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29.36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43.12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2461.05</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487.08</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w:t>
            </w:r>
            <w:r>
              <w:rPr>
                <w:sz w:val="44"/>
              </w:rPr>
              <mc:AlternateContent>
                <mc:Choice Requires="wpg">
                  <w:drawing>
                    <wp:anchor distT="0" distB="0" distL="114300" distR="114300" simplePos="0" relativeHeight="251682816"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52" name="组合 52"/>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82816;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wnm4jcAAAADQEAAA8AAAAAAAAAAQAgAAAAIgAAAGRycy9kb3ducmV2LnhtbFBLAQIUABQAAAAI&#10;AIdO4kAhn03qPwMAADwJAAAOAAAAAAAAAAEAIAAAACs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石家庄市鹿泉区住房和城乡建设局</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24.30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24.30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24.30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22.51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22.51</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22.51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lang w:bidi="ar"/>
              </w:rPr>
              <w:t>政府性基金预算财政拨款</w:t>
            </w:r>
            <w:r>
              <w:rPr>
                <w:sz w:val="44"/>
              </w:rPr>
              <mc:AlternateContent>
                <mc:Choice Requires="wpg">
                  <w:drawing>
                    <wp:anchor distT="0" distB="0" distL="114300" distR="114300" simplePos="0" relativeHeight="25168384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5" name="组合 55"/>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384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HJpSytwAAAANAQAADwAAAAAAAAABACAAAAAiAAAAZHJzL2Rvd25yZXYueG1sUEsBAhQAFAAA&#10;AAgAh07iQKlMDZ9BAwAAPAkAAA4AAAAAAAAAAQAgAAAAKw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36"/>
                <w:szCs w:val="36"/>
                <w:lang w:bidi="ar"/>
              </w:rPr>
              <w:t>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部门：</w:t>
            </w:r>
            <w:r>
              <w:rPr>
                <w:rFonts w:hint="eastAsia" w:ascii="宋体" w:hAnsi="宋体" w:cs="宋体"/>
                <w:color w:val="000000"/>
                <w:kern w:val="0"/>
                <w:sz w:val="20"/>
                <w:szCs w:val="20"/>
                <w:lang w:eastAsia="zh-CN" w:bidi="ar"/>
              </w:rPr>
              <w:t>石家庄市鹿泉区住房和城乡建设局</w:t>
            </w: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1899.84</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9726.59</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11507.71</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lang w:val="en-US" w:eastAsia="zh-CN"/>
              </w:rPr>
              <w:t>11507.71</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118.73</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 w:val="15"/>
                <w:szCs w:val="15"/>
              </w:rPr>
            </w:pPr>
            <w:r>
              <w:rPr>
                <w:rFonts w:hint="eastAsia" w:ascii="宋体" w:hAnsi="宋体" w:cs="宋体"/>
                <w:color w:val="000000"/>
                <w:sz w:val="15"/>
                <w:szCs w:val="15"/>
              </w:rPr>
              <w:t>城乡社区支出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1899.84</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9726.59</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b/>
                <w:color w:val="000000"/>
                <w:szCs w:val="21"/>
                <w:lang w:val="en-US" w:eastAsia="zh-CN"/>
              </w:rPr>
              <w:t>11507.71</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b/>
                <w:color w:val="000000"/>
                <w:szCs w:val="21"/>
                <w:lang w:val="en-US" w:eastAsia="zh-CN"/>
              </w:rPr>
              <w:t>11507.71</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b/>
                <w:color w:val="000000"/>
                <w:szCs w:val="21"/>
                <w:lang w:val="en-US" w:eastAsia="zh-CN"/>
              </w:rPr>
              <w:t>118.73</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21208</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 w:val="15"/>
                <w:szCs w:val="15"/>
              </w:rPr>
            </w:pPr>
            <w:r>
              <w:rPr>
                <w:rFonts w:hint="eastAsia" w:ascii="宋体" w:hAnsi="宋体" w:cs="宋体"/>
                <w:color w:val="000000"/>
                <w:sz w:val="15"/>
                <w:szCs w:val="15"/>
              </w:rPr>
              <w:t>国有土地使用权出让收入及对应专项债务收入安排的支出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1899.84</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9726.59</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b/>
                <w:color w:val="000000"/>
                <w:szCs w:val="21"/>
                <w:lang w:val="en-US" w:eastAsia="zh-CN"/>
              </w:rPr>
              <w:t>11507.71</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b/>
                <w:color w:val="000000"/>
                <w:szCs w:val="21"/>
                <w:lang w:val="en-US" w:eastAsia="zh-CN"/>
              </w:rPr>
              <w:t>11507.71</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b/>
                <w:color w:val="000000"/>
                <w:szCs w:val="21"/>
                <w:lang w:val="en-US" w:eastAsia="zh-CN"/>
              </w:rPr>
              <w:t>118.73</w:t>
            </w: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2120803</w:t>
            </w: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 w:val="15"/>
                <w:szCs w:val="15"/>
              </w:rPr>
            </w:pPr>
            <w:r>
              <w:rPr>
                <w:rFonts w:hint="eastAsia" w:ascii="宋体" w:hAnsi="宋体" w:cs="宋体"/>
                <w:color w:val="000000"/>
                <w:sz w:val="15"/>
                <w:szCs w:val="15"/>
              </w:rPr>
              <w:t>城市建设支出</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1899.84</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9726.59</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b/>
                <w:color w:val="000000"/>
                <w:szCs w:val="21"/>
                <w:lang w:val="en-US" w:eastAsia="zh-CN"/>
              </w:rPr>
              <w:t>11507.71</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b/>
                <w:color w:val="000000"/>
                <w:szCs w:val="21"/>
                <w:lang w:val="en-US" w:eastAsia="zh-CN"/>
              </w:rPr>
              <w:t>11507.71</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b/>
                <w:color w:val="000000"/>
                <w:szCs w:val="21"/>
                <w:lang w:val="en-US" w:eastAsia="zh-CN"/>
              </w:rPr>
              <w:t>118.73</w:t>
            </w:r>
          </w:p>
        </w:tc>
      </w:tr>
      <w:tr>
        <w:tblPrEx>
          <w:tblCellMar>
            <w:top w:w="0" w:type="dxa"/>
            <w:left w:w="0" w:type="dxa"/>
            <w:bottom w:w="0" w:type="dxa"/>
            <w:right w:w="0" w:type="dxa"/>
          </w:tblCellMar>
        </w:tblPrEx>
        <w:trPr>
          <w:trHeight w:val="309"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hint="default" w:ascii="宋体" w:hAnsi="宋体" w:eastAsia="宋体" w:cs="宋体"/>
                <w:color w:val="000000"/>
                <w:szCs w:val="21"/>
                <w:lang w:val="en-US" w:eastAsia="zh-CN"/>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 w:val="15"/>
                <w:szCs w:val="15"/>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hint="default" w:ascii="宋体" w:hAnsi="宋体" w:eastAsia="宋体" w:cs="宋体"/>
                <w:color w:val="000000"/>
                <w:szCs w:val="21"/>
                <w:lang w:val="en-US" w:eastAsia="zh-CN"/>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hint="default" w:ascii="宋体" w:hAnsi="宋体" w:eastAsia="宋体" w:cs="宋体"/>
                <w:color w:val="000000"/>
                <w:sz w:val="15"/>
                <w:szCs w:val="15"/>
                <w:lang w:val="en-US" w:eastAsia="zh-CN"/>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hint="default" w:ascii="宋体" w:hAnsi="宋体" w:eastAsia="宋体" w:cs="宋体"/>
                <w:color w:val="000000"/>
                <w:szCs w:val="21"/>
                <w:lang w:val="en-US" w:eastAsia="zh-CN"/>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hint="default" w:ascii="宋体" w:hAnsi="宋体" w:eastAsia="宋体" w:cs="宋体"/>
                <w:color w:val="000000"/>
                <w:sz w:val="15"/>
                <w:szCs w:val="15"/>
                <w:lang w:val="en-US" w:eastAsia="zh-CN"/>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注：本表反映部门本年度政府性基金预算财政拨款收入、支出及结转和结余情况。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国有资本经营预算财政拨</w:t>
            </w:r>
            <w:r>
              <w:rPr>
                <w:sz w:val="44"/>
              </w:rPr>
              <mc:AlternateContent>
                <mc:Choice Requires="wpg">
                  <w:drawing>
                    <wp:anchor distT="0" distB="0" distL="114300" distR="114300" simplePos="0" relativeHeight="251684864"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8" name="组合 5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4864;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JpSytwAAAANAQAADwAAAAAAAAABACAAAAAiAAAAZHJzL2Rvd25yZXYueG1sUEsBAhQA&#10;FAAAAAgAh07iQPEfcOlEAwAAPAkAAA4AAAAAAAAAAQAgAAAAKw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编制单位：</w:t>
            </w:r>
            <w:r>
              <w:rPr>
                <w:rFonts w:hint="eastAsia" w:ascii="宋体" w:hAnsi="宋体" w:cs="宋体"/>
                <w:color w:val="000000"/>
                <w:kern w:val="0"/>
                <w:sz w:val="20"/>
                <w:szCs w:val="20"/>
                <w:lang w:eastAsia="zh-CN" w:bidi="ar"/>
              </w:rPr>
              <w:t>石家庄市鹿泉区住房和城乡建设局</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hint="eastAsia" w:ascii="宋体" w:hAnsi="宋体" w:eastAsia="宋体" w:cs="宋体"/>
                <w:color w:val="000000"/>
                <w:sz w:val="22"/>
                <w:szCs w:val="22"/>
                <w:lang w:eastAsia="zh-CN"/>
              </w:rPr>
            </w:pPr>
            <w:r>
              <w:rPr>
                <w:rFonts w:hint="eastAsia" w:ascii="宋体" w:hAnsi="宋体" w:cs="宋体"/>
                <w:color w:val="000000"/>
                <w:kern w:val="0"/>
                <w:sz w:val="22"/>
                <w:szCs w:val="22"/>
                <w:lang w:bidi="ar"/>
              </w:rPr>
              <w:t>注：本表反映部门本年度国有资本经营预算财政拨款支出情况。</w:t>
            </w:r>
            <w:r>
              <w:rPr>
                <w:rFonts w:hint="eastAsia" w:ascii="宋体" w:hAnsi="宋体" w:cs="宋体"/>
                <w:color w:val="000000"/>
                <w:kern w:val="0"/>
                <w:sz w:val="22"/>
                <w:szCs w:val="22"/>
                <w:lang w:eastAsia="zh-CN" w:bidi="ar"/>
              </w:rPr>
              <w:t>本部门本年度无相关收入（或支出、收支及结余结转等）情况，按要求空表列示。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政府采购</w:t>
            </w:r>
            <w:r>
              <w:rPr>
                <w:sz w:val="44"/>
              </w:rPr>
              <mc:AlternateContent>
                <mc:Choice Requires="wpg">
                  <w:drawing>
                    <wp:anchor distT="0" distB="0" distL="114300" distR="114300" simplePos="0" relativeHeight="251685888"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61" name="组合 61"/>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6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5888;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AAAAAZHJzL1BLAQIUABQAAAAIAIdO4kAc&#10;mlLK3AAAAA0BAAAPAAAAAAAAAAEAIAAAACIAAABkcnMvZG93bnJldi54bWxQSwECFAAUAAAACACH&#10;TuJA740guj0DAAA8CQAADgAAAAAAAAABACAAAAArAQAAZHJzL2Uyb0RvYy54bWxQSwUGAAAAAAYA&#10;BgBZAQAA2g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编制单位：</w:t>
            </w:r>
            <w:r>
              <w:rPr>
                <w:rFonts w:hint="eastAsia" w:ascii="宋体" w:hAnsi="宋体" w:cs="宋体"/>
                <w:color w:val="000000"/>
                <w:kern w:val="0"/>
                <w:sz w:val="20"/>
                <w:szCs w:val="20"/>
                <w:lang w:eastAsia="zh-CN" w:bidi="ar"/>
              </w:rPr>
              <w:t>石家庄市鹿泉区住房和城乡建设局</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7103.66</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lang w:val="en-US" w:eastAsia="zh-CN"/>
              </w:rPr>
              <w:t>7103.66</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105.98</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6997.68</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55.98</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lang w:val="en-US" w:eastAsia="zh-CN"/>
              </w:rPr>
              <w:t>55.98</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55.98</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6354.18</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lang w:val="en-US" w:eastAsia="zh-CN"/>
              </w:rPr>
              <w:t>6354.18</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6354.18</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693.50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lang w:val="en-US" w:eastAsia="zh-CN"/>
              </w:rPr>
              <w:t>693.50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50.00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643.50</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6758.32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lang w:val="en-US" w:eastAsia="zh-CN"/>
              </w:rPr>
              <w:t>6758.32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104.91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6653.41</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55.58</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lang w:val="en-US" w:eastAsia="zh-CN"/>
              </w:rPr>
              <w:t>55.58</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55.58</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6036.94</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lang w:val="en-US" w:eastAsia="zh-CN"/>
              </w:rPr>
              <w:t>6036.94</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6036.94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665.80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lang w:val="en-US" w:eastAsia="zh-CN"/>
              </w:rPr>
              <w:t>665.80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49.33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616.47</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注：本表反映部门本年度纳入部门预算范围的政府采购预算及支出情况。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540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2WaejN4AAAANAQAADwAAAAAAAAABACAAAAAi&#10;AAAAZHJzL2Rvd25yZXYueG1sUEsBAhQAFAAAAAgAh07iQNWXLBI9AgAAZwQAAA4AAAAAAAAAAQAg&#10;AAAALQEAAGRycy9lMm9Eb2MueG1sUEsFBgAAAAAGAAYAWQEAANwFA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94080"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18" name="组合 18"/>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1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9408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BJ+ys7bAAAACwEAAA8AAAAAAAAAAQAgAAAAIgAAAGRycy9kb3ducmV2LnhtbFBLAQIUABQA&#10;AAAIAIdO4kAcCE8xQwMAADwJAAAOAAAAAAAAAAEAIAAAACo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w:t>
      </w:r>
      <w:r>
        <w:rPr>
          <w:rFonts w:hint="eastAsia" w:ascii="仿宋_GB2312" w:eastAsia="仿宋_GB2312" w:cs="DengXian-Regular"/>
          <w:sz w:val="32"/>
          <w:szCs w:val="32"/>
          <w:lang w:val="en-US" w:eastAsia="zh-CN"/>
        </w:rPr>
        <w:t>64859.68</w:t>
      </w:r>
      <w:r>
        <w:rPr>
          <w:rFonts w:hint="eastAsia" w:ascii="仿宋_GB2312" w:eastAsia="仿宋_GB2312" w:cs="DengXian-Regular"/>
          <w:sz w:val="32"/>
          <w:szCs w:val="32"/>
        </w:rPr>
        <w:t>万元。与2017年度决算相比，收支各增加</w:t>
      </w:r>
      <w:r>
        <w:rPr>
          <w:rFonts w:hint="eastAsia" w:ascii="仿宋_GB2312" w:eastAsia="仿宋_GB2312" w:cs="DengXian-Regular"/>
          <w:sz w:val="32"/>
          <w:szCs w:val="32"/>
          <w:lang w:val="en-US" w:eastAsia="zh-CN"/>
        </w:rPr>
        <w:t>3523.88</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5.7</w:t>
      </w:r>
      <w:r>
        <w:rPr>
          <w:rFonts w:hint="eastAsia" w:ascii="仿宋_GB2312" w:eastAsia="仿宋_GB2312" w:cs="DengXian-Regular"/>
          <w:sz w:val="32"/>
          <w:szCs w:val="32"/>
        </w:rPr>
        <w:t>%，主要原因是</w:t>
      </w:r>
      <w:r>
        <w:rPr>
          <w:rFonts w:hint="eastAsia" w:ascii="仿宋" w:hAnsi="仿宋" w:eastAsia="仿宋" w:cs="仿宋"/>
          <w:sz w:val="32"/>
          <w:szCs w:val="32"/>
          <w:lang w:eastAsia="zh-CN"/>
        </w:rPr>
        <w:t>基础设施建设增加。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hint="eastAsia" w:ascii="仿宋_GB2312" w:eastAsia="仿宋_GB2312" w:cs="DengXian-Regular"/>
          <w:sz w:val="32"/>
          <w:szCs w:val="32"/>
          <w:lang w:val="en-US" w:eastAsia="zh-CN"/>
        </w:rPr>
        <w:t>42199.94</w:t>
      </w:r>
      <w:r>
        <w:rPr>
          <w:rFonts w:hint="eastAsia" w:ascii="仿宋_GB2312" w:eastAsia="仿宋_GB2312" w:cs="DengXian-Regular"/>
          <w:sz w:val="32"/>
          <w:szCs w:val="32"/>
        </w:rPr>
        <w:t>万元，其中：财政拨款收入</w:t>
      </w:r>
      <w:r>
        <w:rPr>
          <w:rFonts w:hint="eastAsia" w:ascii="仿宋_GB2312" w:eastAsia="仿宋_GB2312" w:cs="DengXian-Regular"/>
          <w:sz w:val="32"/>
          <w:szCs w:val="32"/>
          <w:lang w:val="en-US" w:eastAsia="zh-CN"/>
        </w:rPr>
        <w:t>41387.99</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98.08</w:t>
      </w:r>
      <w:r>
        <w:rPr>
          <w:rFonts w:hint="eastAsia" w:ascii="仿宋_GB2312" w:eastAsia="仿宋_GB2312" w:cs="DengXian-Regular"/>
          <w:sz w:val="32"/>
          <w:szCs w:val="32"/>
        </w:rPr>
        <w:t>%；其他收入</w:t>
      </w:r>
      <w:r>
        <w:rPr>
          <w:rFonts w:hint="eastAsia" w:ascii="仿宋_GB2312" w:eastAsia="仿宋_GB2312" w:cs="DengXian-Regular"/>
          <w:sz w:val="32"/>
          <w:szCs w:val="32"/>
          <w:lang w:val="en-US" w:eastAsia="zh-CN"/>
        </w:rPr>
        <w:t>811.95</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1.92</w:t>
      </w:r>
      <w:r>
        <w:rPr>
          <w:rFonts w:hint="eastAsia" w:ascii="仿宋_GB2312" w:eastAsia="仿宋_GB2312" w:cs="DengXian-Regular"/>
          <w:sz w:val="32"/>
          <w:szCs w:val="32"/>
        </w:rPr>
        <w:t>%。如图所示：</w:t>
      </w:r>
    </w:p>
    <w:p>
      <w:pPr>
        <w:adjustRightInd w:val="0"/>
        <w:snapToGrid w:val="0"/>
        <w:spacing w:after="0" w:line="580" w:lineRule="exact"/>
        <w:ind w:firstLine="1920" w:firstLineChars="600"/>
        <w:rPr>
          <w:rFonts w:ascii="仿宋_GB2312" w:eastAsia="仿宋_GB2312" w:cs="DengXian-Regular"/>
          <w:sz w:val="32"/>
          <w:szCs w:val="32"/>
        </w:rPr>
      </w:pPr>
    </w:p>
    <w:p>
      <w:pPr>
        <w:bidi w:val="0"/>
        <w:jc w:val="center"/>
      </w:pPr>
      <w:r>
        <w:rPr>
          <w:sz w:val="32"/>
        </w:rPr>
        <mc:AlternateContent>
          <mc:Choice Requires="wps">
            <w:drawing>
              <wp:anchor distT="0" distB="0" distL="114300" distR="114300" simplePos="0" relativeHeight="251670528" behindDoc="0" locked="0" layoutInCell="1" allowOverlap="1">
                <wp:simplePos x="0" y="0"/>
                <wp:positionH relativeFrom="column">
                  <wp:posOffset>1721485</wp:posOffset>
                </wp:positionH>
                <wp:positionV relativeFrom="paragraph">
                  <wp:posOffset>2527300</wp:posOffset>
                </wp:positionV>
                <wp:extent cx="2465705" cy="407670"/>
                <wp:effectExtent l="0" t="0" r="10795" b="11430"/>
                <wp:wrapNone/>
                <wp:docPr id="32" name="文本框 32"/>
                <wp:cNvGraphicFramePr/>
                <a:graphic xmlns:a="http://schemas.openxmlformats.org/drawingml/2006/main">
                  <a:graphicData uri="http://schemas.microsoft.com/office/word/2010/wordprocessingShape">
                    <wps:wsp>
                      <wps:cNvSpPr txBox="1"/>
                      <wps:spPr>
                        <a:xfrm>
                          <a:off x="2583180" y="7098665"/>
                          <a:ext cx="2465705" cy="40767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35.55pt;margin-top:199pt;height:32.1pt;width:194.15pt;z-index:251670528;mso-width-relative:page;mso-height-relative:page;" fillcolor="#FFFFFF [3201]" filled="t" stroked="f" coordsize="21600,21600" o:gfxdata="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IbaZOPXAAAACwEAAA8AAAAAAAAAAQAgAAAAIgAAAGRycy9kb3ducmV2LnhtbFBLAQIUABQAAAAI&#10;AIdO4kCejZInYAIAAJ0EAAAOAAAAAAAAAAEAIAAAACYBAABkcnMvZTJvRG9jLnhtbFBLBQYAAAAA&#10;BgAGAFkBAAD4BQ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w:pict>
          </mc:Fallback>
        </mc:AlternateContent>
      </w:r>
      <w:r>
        <w:drawing>
          <wp:inline distT="0" distB="0" distL="114300" distR="114300">
            <wp:extent cx="3915410" cy="2448560"/>
            <wp:effectExtent l="4445" t="4445" r="23495" b="23495"/>
            <wp:docPr id="23"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rPr>
          <w:rFonts w:ascii="黑体" w:eastAsia="黑体"/>
          <w:b w:val="0"/>
          <w:bCs w:val="0"/>
        </w:rPr>
      </w:pPr>
    </w:p>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w:t>
      </w:r>
      <w:r>
        <w:rPr>
          <w:rFonts w:hint="eastAsia" w:ascii="仿宋_GB2312" w:eastAsia="仿宋_GB2312" w:cs="DengXian-Regular"/>
          <w:sz w:val="32"/>
          <w:szCs w:val="32"/>
          <w:lang w:val="en-US" w:eastAsia="zh-CN"/>
        </w:rPr>
        <w:t>49553.21</w:t>
      </w:r>
      <w:r>
        <w:rPr>
          <w:rFonts w:hint="eastAsia" w:ascii="仿宋_GB2312" w:eastAsia="仿宋_GB2312" w:cs="DengXian-Regular"/>
          <w:sz w:val="32"/>
          <w:szCs w:val="32"/>
        </w:rPr>
        <w:t>万元，其中：基本支出</w:t>
      </w:r>
      <w:r>
        <w:rPr>
          <w:rFonts w:hint="eastAsia" w:ascii="仿宋_GB2312" w:eastAsia="仿宋_GB2312" w:cs="DengXian-Regular"/>
          <w:sz w:val="32"/>
          <w:szCs w:val="32"/>
          <w:lang w:val="en-US" w:eastAsia="zh-CN"/>
        </w:rPr>
        <w:t>3023.35</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6.1</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46529.86</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93.9</w:t>
      </w:r>
      <w:r>
        <w:rPr>
          <w:rFonts w:hint="eastAsia" w:ascii="仿宋_GB2312" w:eastAsia="仿宋_GB2312" w:cs="DengXian-Regular"/>
          <w:sz w:val="32"/>
          <w:szCs w:val="32"/>
        </w:rPr>
        <w:t>%。如图所示：</w:t>
      </w:r>
    </w:p>
    <w:p>
      <w:pPr>
        <w:adjustRightInd w:val="0"/>
        <w:snapToGrid w:val="0"/>
        <w:spacing w:after="0" w:line="580" w:lineRule="exact"/>
        <w:ind w:firstLine="1920" w:firstLineChars="600"/>
        <w:rPr>
          <w:rFonts w:ascii="仿宋_GB2312" w:eastAsia="仿宋_GB2312" w:cs="DengXian-Regular"/>
          <w:sz w:val="32"/>
          <w:szCs w:val="32"/>
        </w:rPr>
      </w:pPr>
    </w:p>
    <w:p>
      <w:pPr>
        <w:bidi w:val="0"/>
        <w:jc w:val="center"/>
        <w:rPr>
          <w:rFonts w:ascii="仿宋_GB2312" w:eastAsia="仿宋_GB2312" w:cs="DengXian-Regular"/>
          <w:sz w:val="32"/>
          <w:szCs w:val="32"/>
        </w:rPr>
      </w:pPr>
      <w:r>
        <w:rPr>
          <w:sz w:val="32"/>
        </w:rPr>
        <mc:AlternateContent>
          <mc:Choice Requires="wps">
            <w:drawing>
              <wp:anchor distT="0" distB="0" distL="114300" distR="114300" simplePos="0" relativeHeight="251669504" behindDoc="1" locked="0" layoutInCell="1" allowOverlap="1">
                <wp:simplePos x="0" y="0"/>
                <wp:positionH relativeFrom="column">
                  <wp:posOffset>1280160</wp:posOffset>
                </wp:positionH>
                <wp:positionV relativeFrom="paragraph">
                  <wp:posOffset>2668905</wp:posOffset>
                </wp:positionV>
                <wp:extent cx="3159125" cy="535940"/>
                <wp:effectExtent l="0" t="0" r="3175" b="16510"/>
                <wp:wrapNone/>
                <wp:docPr id="30" name="文本框 30"/>
                <wp:cNvGraphicFramePr/>
                <a:graphic xmlns:a="http://schemas.openxmlformats.org/drawingml/2006/main">
                  <a:graphicData uri="http://schemas.microsoft.com/office/word/2010/wordprocessingShape">
                    <wps:wsp>
                      <wps:cNvSpPr txBox="1"/>
                      <wps:spPr>
                        <a:xfrm>
                          <a:off x="4797425" y="7290435"/>
                          <a:ext cx="3159125" cy="53594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00.8pt;margin-top:210.15pt;height:42.2pt;width:248.75pt;z-index:-251646976;mso-width-relative:page;mso-height-relative:page;" fillcolor="#FFFFFF [3201]" filled="t" stroked="f" coordsize="21600,21600" o:gfxdata="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AAAAABkcnMvUEsBAhQAFAAAAAgAh07iQNoP&#10;Kr/WAAAACwEAAA8AAAAAAAAAAQAgAAAAIgAAAGRycy9kb3ducmV2LnhtbFBLAQIUABQAAAAIAIdO&#10;4kC0VfAuXgIAAJ0EAAAOAAAAAAAAAAEAIAAAACUBAABkcnMvZTJvRG9jLnhtbFBLBQYAAAAABgAG&#10;AFkBAAD1BQ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w:pict>
          </mc:Fallback>
        </mc:AlternateContent>
      </w:r>
      <w:r>
        <w:drawing>
          <wp:inline distT="0" distB="0" distL="114300" distR="114300">
            <wp:extent cx="4143375" cy="2515235"/>
            <wp:effectExtent l="4445" t="4445" r="5080" b="13970"/>
            <wp:docPr id="24"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Pr>
          <w:sz w:val="44"/>
        </w:rPr>
        <mc:AlternateContent>
          <mc:Choice Requires="wpg">
            <w:drawing>
              <wp:anchor distT="0" distB="0" distL="114300" distR="114300" simplePos="0" relativeHeight="251686912"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0" name="组合 70"/>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7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72"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691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CLWTc4QAMAADwJAAAOAAAAAAAAAAEAIAAAACo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p>
    <w:p>
      <w:pPr>
        <w:pStyle w:val="3"/>
        <w:spacing w:before="0" w:after="0" w:line="580" w:lineRule="exact"/>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w:t>
      </w:r>
      <w:r>
        <w:rPr>
          <w:rFonts w:hint="eastAsia" w:ascii="仿宋_GB2312" w:eastAsia="仿宋_GB2312" w:cs="DengXian-Regular"/>
          <w:sz w:val="32"/>
          <w:szCs w:val="32"/>
          <w:lang w:val="en-US" w:eastAsia="zh-CN"/>
        </w:rPr>
        <w:t>41387.99</w:t>
      </w:r>
      <w:r>
        <w:rPr>
          <w:rFonts w:hint="eastAsia" w:ascii="仿宋_GB2312" w:eastAsia="仿宋_GB2312" w:cs="DengXian-Regular"/>
          <w:sz w:val="32"/>
          <w:szCs w:val="32"/>
        </w:rPr>
        <w:t>万元,比2017年度减少</w:t>
      </w:r>
      <w:r>
        <w:rPr>
          <w:rFonts w:hint="eastAsia" w:ascii="仿宋_GB2312" w:eastAsia="仿宋_GB2312" w:cs="DengXian-Regular"/>
          <w:sz w:val="32"/>
          <w:szCs w:val="32"/>
          <w:lang w:val="en-US" w:eastAsia="zh-CN"/>
        </w:rPr>
        <w:t>15067.1</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26.69</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年初结余额度较大</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48756.57</w:t>
      </w:r>
      <w:r>
        <w:rPr>
          <w:rFonts w:hint="eastAsia" w:ascii="仿宋_GB2312" w:eastAsia="仿宋_GB2312" w:cs="DengXian-Regular"/>
          <w:sz w:val="32"/>
          <w:szCs w:val="32"/>
        </w:rPr>
        <w:t>万元，增加</w:t>
      </w:r>
      <w:r>
        <w:rPr>
          <w:rFonts w:hint="eastAsia" w:ascii="仿宋_GB2312" w:eastAsia="仿宋_GB2312" w:cs="DengXian-Regular"/>
          <w:sz w:val="32"/>
          <w:szCs w:val="32"/>
          <w:lang w:val="en-US" w:eastAsia="zh-CN"/>
        </w:rPr>
        <w:t>13795.67</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39.46</w:t>
      </w:r>
      <w:r>
        <w:rPr>
          <w:rFonts w:hint="eastAsia" w:ascii="仿宋_GB2312" w:eastAsia="仿宋_GB2312" w:cs="DengXian-Regular"/>
          <w:sz w:val="32"/>
          <w:szCs w:val="32"/>
        </w:rPr>
        <w:t>%，主要是</w:t>
      </w:r>
      <w:r>
        <w:rPr>
          <w:rFonts w:hint="eastAsia" w:ascii="仿宋" w:hAnsi="仿宋" w:eastAsia="仿宋" w:cs="仿宋"/>
          <w:sz w:val="32"/>
          <w:szCs w:val="32"/>
          <w:lang w:eastAsia="zh-CN"/>
        </w:rPr>
        <w:t>基础设施建设增加</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6"/>
          <w:szCs w:val="36"/>
        </w:rPr>
      </w:pPr>
      <w:r>
        <w:rPr>
          <w:rFonts w:hint="eastAsia" w:ascii="仿宋_GB2312" w:eastAsia="仿宋_GB2312" w:cs="DengXian-Regular"/>
          <w:sz w:val="32"/>
          <w:szCs w:val="32"/>
        </w:rPr>
        <w:t>其中：一般公共预算财政拨款本年收入</w:t>
      </w:r>
      <w:r>
        <w:rPr>
          <w:rFonts w:hint="eastAsia" w:ascii="仿宋_GB2312" w:eastAsia="仿宋_GB2312" w:cs="DengXian-Regular"/>
          <w:sz w:val="32"/>
          <w:szCs w:val="32"/>
          <w:lang w:val="en-US" w:eastAsia="zh-CN"/>
        </w:rPr>
        <w:t>31661.4</w:t>
      </w:r>
      <w:r>
        <w:rPr>
          <w:rFonts w:hint="eastAsia" w:ascii="仿宋_GB2312" w:eastAsia="仿宋_GB2312" w:cs="DengXian-Regular"/>
          <w:sz w:val="32"/>
          <w:szCs w:val="32"/>
        </w:rPr>
        <w:t>万元，比上年减少</w:t>
      </w:r>
      <w:r>
        <w:rPr>
          <w:rFonts w:hint="eastAsia" w:ascii="仿宋_GB2312" w:eastAsia="仿宋_GB2312" w:cs="DengXian-Regular"/>
          <w:sz w:val="32"/>
          <w:szCs w:val="32"/>
          <w:lang w:val="en-US" w:eastAsia="zh-CN"/>
        </w:rPr>
        <w:t>13750.5</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w:t>
      </w:r>
      <w:r>
        <w:rPr>
          <w:rFonts w:hint="eastAsia" w:ascii="仿宋_GB2312" w:eastAsia="仿宋_GB2312" w:cs="DengXian-Regular"/>
          <w:sz w:val="32"/>
          <w:szCs w:val="32"/>
        </w:rPr>
        <w:t>降低</w:t>
      </w:r>
      <w:r>
        <w:rPr>
          <w:rFonts w:hint="eastAsia" w:ascii="仿宋_GB2312" w:eastAsia="仿宋_GB2312" w:cs="DengXian-Regular"/>
          <w:sz w:val="32"/>
          <w:szCs w:val="32"/>
          <w:lang w:val="en-US" w:eastAsia="zh-CN"/>
        </w:rPr>
        <w:t>30.28</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年初结余额度较大</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37248.87</w:t>
      </w:r>
      <w:r>
        <w:rPr>
          <w:rFonts w:hint="eastAsia" w:ascii="仿宋_GB2312" w:eastAsia="仿宋_GB2312" w:cs="DengXian-Regular"/>
          <w:sz w:val="32"/>
          <w:szCs w:val="32"/>
        </w:rPr>
        <w:t>万元，比上年增加</w:t>
      </w:r>
      <w:r>
        <w:rPr>
          <w:rFonts w:hint="eastAsia" w:ascii="仿宋_GB2312" w:eastAsia="仿宋_GB2312" w:cs="DengXian-Regular"/>
          <w:sz w:val="32"/>
          <w:szCs w:val="32"/>
          <w:lang w:val="en-US" w:eastAsia="zh-CN"/>
        </w:rPr>
        <w:t>11830.12</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46.54</w:t>
      </w:r>
      <w:r>
        <w:rPr>
          <w:rFonts w:hint="eastAsia" w:ascii="仿宋_GB2312" w:eastAsia="仿宋_GB2312" w:cs="DengXian-Regular"/>
          <w:sz w:val="32"/>
          <w:szCs w:val="32"/>
        </w:rPr>
        <w:t>%，主要是</w:t>
      </w:r>
      <w:r>
        <w:rPr>
          <w:rFonts w:hint="eastAsia" w:ascii="仿宋" w:hAnsi="仿宋" w:eastAsia="仿宋" w:cs="仿宋"/>
          <w:sz w:val="32"/>
          <w:szCs w:val="32"/>
          <w:lang w:eastAsia="zh-CN"/>
        </w:rPr>
        <w:t>基础设施建设增加</w:t>
      </w:r>
      <w:r>
        <w:rPr>
          <w:rFonts w:hint="eastAsia" w:ascii="仿宋_GB2312" w:eastAsia="仿宋_GB2312" w:cs="DengXian-Regular"/>
          <w:sz w:val="32"/>
          <w:szCs w:val="32"/>
        </w:rPr>
        <w:t>。政府性基金预算财政拨款本年收入</w:t>
      </w:r>
      <w:r>
        <w:rPr>
          <w:rFonts w:hint="eastAsia" w:ascii="仿宋_GB2312" w:eastAsia="仿宋_GB2312" w:cs="DengXian-Regular"/>
          <w:sz w:val="32"/>
          <w:szCs w:val="32"/>
          <w:lang w:val="en-US" w:eastAsia="zh-CN"/>
        </w:rPr>
        <w:t>9726.59</w:t>
      </w:r>
      <w:r>
        <w:rPr>
          <w:rFonts w:hint="eastAsia" w:ascii="仿宋_GB2312" w:eastAsia="仿宋_GB2312" w:cs="DengXian-Regular"/>
          <w:sz w:val="32"/>
          <w:szCs w:val="32"/>
        </w:rPr>
        <w:t>万元，比上年减少</w:t>
      </w:r>
      <w:r>
        <w:rPr>
          <w:rFonts w:hint="eastAsia" w:ascii="仿宋_GB2312" w:eastAsia="仿宋_GB2312" w:cs="DengXian-Regular"/>
          <w:sz w:val="32"/>
          <w:szCs w:val="32"/>
          <w:lang w:val="en-US" w:eastAsia="zh-CN"/>
        </w:rPr>
        <w:t>1316.6</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11.92</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年初结余额度较大</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11507.71</w:t>
      </w:r>
      <w:r>
        <w:rPr>
          <w:rFonts w:hint="eastAsia" w:ascii="仿宋_GB2312" w:eastAsia="仿宋_GB2312" w:cs="DengXian-Regular"/>
          <w:sz w:val="32"/>
          <w:szCs w:val="32"/>
        </w:rPr>
        <w:t>万元，比上年增加</w:t>
      </w:r>
      <w:r>
        <w:rPr>
          <w:rFonts w:hint="eastAsia" w:ascii="仿宋_GB2312" w:eastAsia="仿宋_GB2312" w:cs="DengXian-Regular"/>
          <w:sz w:val="32"/>
          <w:szCs w:val="32"/>
          <w:lang w:val="en-US" w:eastAsia="zh-CN"/>
        </w:rPr>
        <w:t>1965.56</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20.6</w:t>
      </w:r>
      <w:r>
        <w:rPr>
          <w:rFonts w:hint="eastAsia" w:ascii="仿宋_GB2312" w:eastAsia="仿宋_GB2312" w:cs="DengXian-Regular"/>
          <w:sz w:val="32"/>
          <w:szCs w:val="32"/>
        </w:rPr>
        <w:t>%，主要是</w:t>
      </w:r>
      <w:r>
        <w:rPr>
          <w:rFonts w:hint="eastAsia" w:ascii="仿宋" w:hAnsi="仿宋" w:eastAsia="仿宋" w:cs="仿宋"/>
          <w:sz w:val="32"/>
          <w:szCs w:val="32"/>
          <w:lang w:eastAsia="zh-CN"/>
        </w:rPr>
        <w:t>基础设施建设增加</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2"/>
          <w:szCs w:val="32"/>
        </w:rPr>
      </w:pPr>
    </w:p>
    <w:p>
      <w:pPr>
        <w:bidi w:val="0"/>
        <w:jc w:val="center"/>
      </w:pPr>
      <w:r>
        <w:rPr>
          <w:sz w:val="32"/>
        </w:rPr>
        <mc:AlternateContent>
          <mc:Choice Requires="wps">
            <w:drawing>
              <wp:anchor distT="0" distB="0" distL="114300" distR="114300" simplePos="0" relativeHeight="251696128" behindDoc="1" locked="0" layoutInCell="1" allowOverlap="1">
                <wp:simplePos x="0" y="0"/>
                <wp:positionH relativeFrom="column">
                  <wp:posOffset>879475</wp:posOffset>
                </wp:positionH>
                <wp:positionV relativeFrom="paragraph">
                  <wp:posOffset>2561590</wp:posOffset>
                </wp:positionV>
                <wp:extent cx="4204970" cy="535305"/>
                <wp:effectExtent l="0" t="0" r="5080" b="17145"/>
                <wp:wrapNone/>
                <wp:docPr id="66" name="文本框 66"/>
                <wp:cNvGraphicFramePr/>
                <a:graphic xmlns:a="http://schemas.openxmlformats.org/drawingml/2006/main">
                  <a:graphicData uri="http://schemas.microsoft.com/office/word/2010/wordprocessingShape">
                    <wps:wsp>
                      <wps:cNvSpPr txBox="1"/>
                      <wps:spPr>
                        <a:xfrm>
                          <a:off x="1878330" y="7539990"/>
                          <a:ext cx="4204970" cy="53530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9.25pt;margin-top:201.7pt;height:42.15pt;width:331.1pt;z-index:-251620352;mso-width-relative:page;mso-height-relative:page;" fillcolor="#FFFFFF [3201]" filled="t" stroked="f" coordsize="21600,21600" o:gfxdata="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iTjNQ9UA&#10;AAALAQAADwAAAAAAAAABACAAAAAiAAAAZHJzL2Rvd25yZXYueG1sUEsBAhQAFAAAAAgAh07iQKSc&#10;+3RbAgAAnQQAAA4AAAAAAAAAAQAgAAAAJAEAAGRycy9lMm9Eb2MueG1sUEsFBgAAAAAGAAYAWQEA&#10;APEF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w:pict>
          </mc:Fallback>
        </mc:AlternateContent>
      </w:r>
      <w:r>
        <w:drawing>
          <wp:inline distT="0" distB="0" distL="114300" distR="114300">
            <wp:extent cx="3818890" cy="2505710"/>
            <wp:effectExtent l="4445" t="4445" r="5715" b="23495"/>
            <wp:docPr id="25"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rPr>
          <w:rFonts w:hint="eastAsia" w:ascii="楷体_GB2312" w:eastAsia="楷体_GB2312" w:cs="DengXian-Bold"/>
          <w:b/>
          <w:bCs/>
          <w:sz w:val="32"/>
          <w:szCs w:val="32"/>
        </w:rPr>
      </w:pPr>
    </w:p>
    <w:p>
      <w:pPr>
        <w:spacing w:after="0" w:line="580" w:lineRule="exact"/>
        <w:rPr>
          <w:rFonts w:ascii="仿宋_GB2312" w:eastAsia="仿宋_GB2312" w:cs="DengXian-Bold"/>
          <w:b/>
          <w:bCs/>
          <w:sz w:val="32"/>
          <w:szCs w:val="32"/>
        </w:rPr>
      </w:pPr>
      <w:r>
        <w:rPr>
          <w:rFonts w:hint="eastAsia" w:ascii="楷体_GB2312" w:eastAsia="楷体_GB2312" w:cs="DengXian-Bold"/>
          <w:b/>
          <w:bCs/>
          <w:sz w:val="32"/>
          <w:szCs w:val="32"/>
        </w:rPr>
        <w:t>（二）</w:t>
      </w:r>
      <w:r>
        <w:rPr>
          <w:rFonts w:hint="eastAsia" w:ascii="楷体_GB2312" w:eastAsia="楷体_GB2312" w:cs="DengXian-Bold"/>
          <w:b/>
          <w:bCs/>
          <w:sz w:val="32"/>
          <w:szCs w:val="32"/>
          <w:highlight w:val="none"/>
        </w:rPr>
        <w:t>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w:t>
      </w:r>
      <w:r>
        <w:rPr>
          <w:rFonts w:hint="eastAsia" w:ascii="仿宋_GB2312" w:eastAsia="仿宋_GB2312" w:cs="DengXian-Regular"/>
          <w:sz w:val="32"/>
          <w:szCs w:val="32"/>
          <w:lang w:val="en-US" w:eastAsia="zh-CN"/>
        </w:rPr>
        <w:t>41387.99</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201.38</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20835.71</w:t>
      </w:r>
      <w:r>
        <w:rPr>
          <w:rFonts w:hint="eastAsia" w:ascii="仿宋_GB2312" w:eastAsia="仿宋_GB2312" w:cs="DengXian-Regular"/>
          <w:sz w:val="32"/>
          <w:szCs w:val="32"/>
        </w:rPr>
        <w:t>万元，决算数大于预算数主要原因是</w:t>
      </w:r>
      <w:r>
        <w:rPr>
          <w:rFonts w:hint="eastAsia" w:ascii="仿宋_GB2312" w:eastAsia="仿宋_GB2312" w:cs="DengXian-Regular"/>
          <w:sz w:val="32"/>
          <w:szCs w:val="32"/>
          <w:lang w:eastAsia="zh-CN"/>
        </w:rPr>
        <w:t>财政部门调整预算指标、基础设施建设增加</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49553.21</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241.11</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29000.93</w:t>
      </w:r>
      <w:r>
        <w:rPr>
          <w:rFonts w:hint="eastAsia" w:ascii="仿宋_GB2312" w:eastAsia="仿宋_GB2312" w:cs="DengXian-Regular"/>
          <w:sz w:val="32"/>
          <w:szCs w:val="32"/>
        </w:rPr>
        <w:t>万元，决算数大于预算数主要原因是主要是</w:t>
      </w:r>
      <w:r>
        <w:rPr>
          <w:rFonts w:hint="eastAsia" w:ascii="仿宋_GB2312" w:eastAsia="仿宋_GB2312" w:cs="DengXian-Regular"/>
          <w:sz w:val="32"/>
          <w:szCs w:val="32"/>
          <w:lang w:eastAsia="zh-CN"/>
        </w:rPr>
        <w:t>预算调整后基础设施建设增加</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其中，一般公共预算财政拨款本年收入完成年初预算</w:t>
      </w:r>
      <w:r>
        <w:rPr>
          <w:rFonts w:hint="eastAsia" w:ascii="仿宋_GB2312" w:eastAsia="仿宋_GB2312" w:cs="DengXian-Regular"/>
          <w:sz w:val="32"/>
          <w:szCs w:val="32"/>
          <w:lang w:val="en-US" w:eastAsia="zh-CN"/>
        </w:rPr>
        <w:t>436.92</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24414.82</w:t>
      </w:r>
      <w:r>
        <w:rPr>
          <w:rFonts w:hint="eastAsia" w:ascii="仿宋_GB2312" w:eastAsia="仿宋_GB2312" w:cs="DengXian-Regular"/>
          <w:sz w:val="32"/>
          <w:szCs w:val="32"/>
        </w:rPr>
        <w:t>万元，主要是</w:t>
      </w:r>
      <w:r>
        <w:rPr>
          <w:rFonts w:hint="eastAsia" w:ascii="仿宋_GB2312" w:eastAsia="仿宋_GB2312" w:cs="DengXian-Regular"/>
          <w:sz w:val="32"/>
          <w:szCs w:val="32"/>
          <w:lang w:eastAsia="zh-CN"/>
        </w:rPr>
        <w:t>调整预算、基础设施建设增加、加大大气污染治理</w:t>
      </w:r>
      <w:r>
        <w:rPr>
          <w:rFonts w:hint="eastAsia" w:ascii="仿宋_GB2312" w:eastAsia="仿宋_GB2312" w:cs="DengXian-Regular"/>
          <w:sz w:val="32"/>
          <w:szCs w:val="32"/>
        </w:rPr>
        <w:t>；支出完成年初预算</w:t>
      </w:r>
      <w:r>
        <w:rPr>
          <w:rFonts w:hint="eastAsia" w:ascii="仿宋_GB2312" w:eastAsia="仿宋_GB2312" w:cs="DengXian-Regular"/>
          <w:sz w:val="32"/>
          <w:szCs w:val="32"/>
          <w:lang w:val="en-US" w:eastAsia="zh-CN"/>
        </w:rPr>
        <w:t>514.02</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30002.29</w:t>
      </w:r>
      <w:r>
        <w:rPr>
          <w:rFonts w:hint="eastAsia" w:ascii="仿宋_GB2312" w:eastAsia="仿宋_GB2312" w:cs="DengXian-Regular"/>
          <w:sz w:val="32"/>
          <w:szCs w:val="32"/>
        </w:rPr>
        <w:t>万元，主要是</w:t>
      </w:r>
      <w:r>
        <w:rPr>
          <w:rFonts w:hint="eastAsia" w:ascii="仿宋_GB2312" w:eastAsia="仿宋_GB2312" w:cs="DengXian-Regular"/>
          <w:sz w:val="32"/>
          <w:szCs w:val="32"/>
          <w:lang w:eastAsia="zh-CN"/>
        </w:rPr>
        <w:t>调整预算、基础设施建设增加、加大大气污染治理</w:t>
      </w:r>
      <w:r>
        <w:rPr>
          <w:rFonts w:hint="eastAsia" w:ascii="仿宋_GB2312" w:eastAsia="仿宋_GB2312" w:cs="DengXian-Regular"/>
          <w:sz w:val="32"/>
          <w:szCs w:val="32"/>
        </w:rPr>
        <w:t>。</w:t>
      </w:r>
    </w:p>
    <w:p>
      <w:pPr>
        <w:adjustRightInd w:val="0"/>
        <w:snapToGrid w:val="0"/>
        <w:spacing w:after="0" w:line="580" w:lineRule="exact"/>
        <w:ind w:firstLine="640" w:firstLineChars="200"/>
      </w:pPr>
      <w:r>
        <w:rPr>
          <w:rFonts w:hint="eastAsia" w:ascii="仿宋_GB2312" w:eastAsia="仿宋_GB2312" w:cs="DengXian-Regular"/>
          <w:sz w:val="32"/>
          <w:szCs w:val="32"/>
        </w:rPr>
        <w:t>政府性基金预算财政拨款本年收入完成年初预算</w:t>
      </w:r>
      <w:r>
        <w:rPr>
          <w:rFonts w:hint="eastAsia" w:ascii="仿宋_GB2312" w:eastAsia="仿宋_GB2312" w:cs="DengXian-Regular"/>
          <w:sz w:val="32"/>
          <w:szCs w:val="32"/>
          <w:lang w:val="en-US" w:eastAsia="zh-CN"/>
        </w:rPr>
        <w:t>73.1</w:t>
      </w:r>
      <w:r>
        <w:rPr>
          <w:rFonts w:hint="eastAsia" w:ascii="仿宋_GB2312" w:eastAsia="仿宋_GB2312" w:cs="DengXian-Regular"/>
          <w:sz w:val="32"/>
          <w:szCs w:val="32"/>
        </w:rPr>
        <w:t>%，比年初预算减少</w:t>
      </w:r>
      <w:r>
        <w:rPr>
          <w:rFonts w:hint="eastAsia" w:ascii="仿宋_GB2312" w:eastAsia="仿宋_GB2312" w:cs="DengXian-Regular"/>
          <w:sz w:val="32"/>
          <w:szCs w:val="32"/>
          <w:lang w:val="en-US" w:eastAsia="zh-CN"/>
        </w:rPr>
        <w:t>3579.11</w:t>
      </w:r>
      <w:r>
        <w:rPr>
          <w:rFonts w:hint="eastAsia" w:ascii="仿宋_GB2312" w:eastAsia="仿宋_GB2312" w:cs="DengXian-Regular"/>
          <w:sz w:val="32"/>
          <w:szCs w:val="32"/>
        </w:rPr>
        <w:t>万元，主要是</w:t>
      </w:r>
      <w:r>
        <w:rPr>
          <w:rFonts w:hint="eastAsia" w:ascii="仿宋_GB2312" w:eastAsia="仿宋_GB2312" w:cs="DengXian-Regular"/>
          <w:sz w:val="32"/>
          <w:szCs w:val="32"/>
          <w:lang w:eastAsia="zh-CN"/>
        </w:rPr>
        <w:t>基础设施建设减</w:t>
      </w:r>
      <w:r>
        <w:rPr>
          <w:rFonts w:hint="eastAsia" w:ascii="仿宋_GB2312" w:eastAsia="仿宋_GB2312" w:cs="DengXian-Regular"/>
          <w:sz w:val="32"/>
          <w:szCs w:val="32"/>
        </w:rPr>
        <w:t>；支出完成年初预算</w:t>
      </w:r>
      <w:r>
        <w:rPr>
          <w:rFonts w:hint="eastAsia" w:ascii="仿宋_GB2312" w:eastAsia="仿宋_GB2312" w:cs="DengXian-Regular"/>
          <w:sz w:val="32"/>
          <w:szCs w:val="32"/>
          <w:lang w:val="en-US" w:eastAsia="zh-CN"/>
        </w:rPr>
        <w:t>86.49</w:t>
      </w:r>
      <w:r>
        <w:rPr>
          <w:rFonts w:hint="eastAsia" w:ascii="仿宋_GB2312" w:eastAsia="仿宋_GB2312" w:cs="DengXian-Regular"/>
          <w:sz w:val="32"/>
          <w:szCs w:val="32"/>
        </w:rPr>
        <w:t>%，比年初预算减少</w:t>
      </w:r>
      <w:r>
        <w:rPr>
          <w:rFonts w:hint="eastAsia" w:ascii="仿宋_GB2312" w:eastAsia="仿宋_GB2312" w:cs="DengXian-Regular"/>
          <w:sz w:val="32"/>
          <w:szCs w:val="32"/>
          <w:lang w:val="en-US" w:eastAsia="zh-CN"/>
        </w:rPr>
        <w:t>1798</w:t>
      </w:r>
      <w:r>
        <w:rPr>
          <w:rFonts w:hint="eastAsia" w:ascii="仿宋_GB2312" w:eastAsia="仿宋_GB2312" w:cs="DengXian-Regular"/>
          <w:sz w:val="32"/>
          <w:szCs w:val="32"/>
        </w:rPr>
        <w:t>万元，主要是</w:t>
      </w:r>
      <w:r>
        <w:rPr>
          <w:rFonts w:hint="eastAsia" w:ascii="仿宋_GB2312" w:eastAsia="仿宋_GB2312" w:cs="DengXian-Regular"/>
          <w:sz w:val="32"/>
          <w:szCs w:val="32"/>
          <w:lang w:eastAsia="zh-CN"/>
        </w:rPr>
        <w:t>基础设施建设减少</w:t>
      </w:r>
      <w:r>
        <w:rPr>
          <w:rFonts w:hint="eastAsia" w:ascii="仿宋_GB2312" w:eastAsia="仿宋_GB2312" w:cs="DengXian-Regular"/>
          <w:sz w:val="32"/>
          <w:szCs w:val="32"/>
        </w:rPr>
        <w:t>。</w:t>
      </w:r>
    </w:p>
    <w:p>
      <w:pPr>
        <w:bidi w:val="0"/>
        <w:jc w:val="center"/>
      </w:pPr>
      <w:r>
        <w:drawing>
          <wp:inline distT="0" distB="0" distL="114300" distR="114300">
            <wp:extent cx="3695700" cy="2743200"/>
            <wp:effectExtent l="4445" t="4445" r="14605" b="14605"/>
            <wp:docPr id="6"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sz w:val="32"/>
        </w:rPr>
        <mc:AlternateContent>
          <mc:Choice Requires="wps">
            <w:drawing>
              <wp:anchor distT="0" distB="0" distL="114300" distR="114300" simplePos="0" relativeHeight="251697152" behindDoc="1" locked="0" layoutInCell="1" allowOverlap="1">
                <wp:simplePos x="0" y="0"/>
                <wp:positionH relativeFrom="column">
                  <wp:posOffset>627380</wp:posOffset>
                </wp:positionH>
                <wp:positionV relativeFrom="paragraph">
                  <wp:posOffset>2751455</wp:posOffset>
                </wp:positionV>
                <wp:extent cx="4358005" cy="494665"/>
                <wp:effectExtent l="0" t="0" r="4445" b="635"/>
                <wp:wrapNone/>
                <wp:docPr id="37" name="文本框 28"/>
                <wp:cNvGraphicFramePr/>
                <a:graphic xmlns:a="http://schemas.openxmlformats.org/drawingml/2006/main">
                  <a:graphicData uri="http://schemas.microsoft.com/office/word/2010/wordprocessingShape">
                    <wps:wsp>
                      <wps:cNvSpPr txBox="1"/>
                      <wps:spPr>
                        <a:xfrm>
                          <a:off x="2039620" y="9211310"/>
                          <a:ext cx="4358005" cy="49466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28" o:spid="_x0000_s1026" o:spt="202" type="#_x0000_t202" style="position:absolute;left:0pt;margin-left:49.4pt;margin-top:216.65pt;height:38.95pt;width:343.15pt;z-index:-251619328;mso-width-relative:page;mso-height-relative:page;" fillcolor="#FFFFFF [3201]" filled="t" stroked="f" coordsize="21600,21600" o:gfxdata="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nd7m&#10;WtYAAAAKAQAADwAAAAAAAAABACAAAAAiAAAAZHJzL2Rvd25yZXYueG1sUEsBAhQAFAAAAAgAh07i&#10;QNp6H3VdAgAAnQQAAA4AAAAAAAAAAQAgAAAAJQEAAGRycy9lMm9Eb2MueG1sUEsFBgAAAAAGAAYA&#10;WQEAAPQF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w:pict>
          </mc:Fallback>
        </mc:AlternateContent>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numPr>
          <w:ilvl w:val="0"/>
          <w:numId w:val="2"/>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2018 年度财政拨款支出</w:t>
      </w:r>
      <w:r>
        <w:rPr>
          <w:rFonts w:hint="eastAsia" w:ascii="仿宋_GB2312" w:eastAsia="仿宋_GB2312" w:cs="DengXian-Regular"/>
          <w:sz w:val="32"/>
          <w:szCs w:val="32"/>
          <w:lang w:val="en-US" w:eastAsia="zh-CN"/>
        </w:rPr>
        <w:t>48756.57</w:t>
      </w:r>
      <w:r>
        <w:rPr>
          <w:rFonts w:hint="eastAsia" w:ascii="仿宋_GB2312" w:eastAsia="仿宋_GB2312" w:cs="DengXian-Regular"/>
          <w:sz w:val="32"/>
          <w:szCs w:val="32"/>
        </w:rPr>
        <w:t>万元，主要用于以下方面</w:t>
      </w:r>
      <w:r>
        <w:rPr>
          <w:rFonts w:hint="eastAsia" w:ascii="仿宋_GB2312" w:eastAsia="仿宋_GB2312" w:cs="DengXian-Regular"/>
          <w:sz w:val="32"/>
          <w:szCs w:val="32"/>
          <w:lang w:eastAsia="zh-CN"/>
        </w:rPr>
        <w:t>：</w:t>
      </w:r>
      <w:r>
        <w:rPr>
          <w:rFonts w:hint="eastAsia" w:ascii="仿宋_GB2312" w:eastAsia="仿宋_GB2312" w:cs="DengXian-Regular"/>
          <w:sz w:val="32"/>
          <w:szCs w:val="32"/>
        </w:rPr>
        <w:t>一般公共服务（类）支出</w:t>
      </w:r>
      <w:r>
        <w:rPr>
          <w:rFonts w:hint="eastAsia" w:ascii="仿宋_GB2312" w:eastAsia="仿宋_GB2312" w:cs="DengXian-Regular"/>
          <w:sz w:val="32"/>
          <w:szCs w:val="32"/>
          <w:lang w:val="en-US" w:eastAsia="zh-CN"/>
        </w:rPr>
        <w:t>6.26</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0.01</w:t>
      </w:r>
      <w:r>
        <w:rPr>
          <w:rFonts w:hint="eastAsia" w:ascii="仿宋_GB2312" w:eastAsia="仿宋_GB2312" w:cs="DengXian-Regular"/>
          <w:sz w:val="32"/>
          <w:szCs w:val="32"/>
        </w:rPr>
        <w:t>%；社会保障和就业（类）支出</w:t>
      </w:r>
      <w:r>
        <w:rPr>
          <w:rFonts w:hint="eastAsia" w:ascii="仿宋_GB2312" w:eastAsia="仿宋_GB2312" w:cs="DengXian-Regular"/>
          <w:sz w:val="32"/>
          <w:szCs w:val="32"/>
          <w:lang w:val="en-US" w:eastAsia="zh-CN"/>
        </w:rPr>
        <w:t>280.22</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0.57</w:t>
      </w:r>
      <w:r>
        <w:rPr>
          <w:rFonts w:hint="eastAsia" w:ascii="仿宋_GB2312" w:eastAsia="仿宋_GB2312" w:cs="DengXian-Regular"/>
          <w:sz w:val="32"/>
          <w:szCs w:val="32"/>
        </w:rPr>
        <w:t>%；住房保障（类）支出</w:t>
      </w:r>
      <w:r>
        <w:rPr>
          <w:rFonts w:hint="eastAsia" w:ascii="仿宋_GB2312" w:eastAsia="仿宋_GB2312" w:cs="DengXian-Regular"/>
          <w:sz w:val="32"/>
          <w:szCs w:val="32"/>
          <w:lang w:val="en-US" w:eastAsia="zh-CN"/>
        </w:rPr>
        <w:t>1524.56</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3.13</w:t>
      </w:r>
      <w:r>
        <w:rPr>
          <w:rFonts w:hint="eastAsia" w:ascii="仿宋_GB2312" w:eastAsia="仿宋_GB2312" w:cs="DengXian-Regular"/>
          <w:sz w:val="32"/>
          <w:szCs w:val="32"/>
        </w:rPr>
        <w:t>%;</w:t>
      </w:r>
      <w:r>
        <w:rPr>
          <w:rFonts w:hint="eastAsia" w:ascii="仿宋_GB2312" w:eastAsia="仿宋_GB2312" w:cs="DengXian-Regular"/>
          <w:sz w:val="32"/>
          <w:szCs w:val="32"/>
          <w:lang w:eastAsia="zh-CN"/>
        </w:rPr>
        <w:t>医疗卫生与计划生育支出</w:t>
      </w:r>
      <w:r>
        <w:rPr>
          <w:rFonts w:hint="eastAsia" w:ascii="仿宋_GB2312" w:eastAsia="仿宋_GB2312" w:cs="DengXian-Regular"/>
          <w:sz w:val="32"/>
          <w:szCs w:val="32"/>
          <w:lang w:val="en-US" w:eastAsia="zh-CN"/>
        </w:rPr>
        <w:t>139.04万元，占0.29%；节能环保支出31995.6万元，占65.62%；城乡社区支出14780.88万元，占30.38%</w:t>
      </w:r>
      <w:r>
        <w:rPr>
          <w:rFonts w:hint="eastAsia" w:ascii="仿宋_GB2312" w:eastAsia="仿宋_GB2312" w:cs="DengXian-Regular"/>
          <w:sz w:val="32"/>
          <w:szCs w:val="32"/>
        </w:rPr>
        <w:t>。</w:t>
      </w:r>
    </w:p>
    <w:p>
      <w:pPr>
        <w:adjustRightInd w:val="0"/>
        <w:snapToGrid w:val="0"/>
        <w:spacing w:after="0" w:line="580" w:lineRule="exact"/>
        <w:ind w:firstLine="640" w:firstLineChars="200"/>
        <w:rPr>
          <w:rFonts w:hint="eastAsia" w:ascii="仿宋_GB2312" w:eastAsia="仿宋_GB2312" w:cs="DengXian-Regular"/>
          <w:sz w:val="32"/>
          <w:szCs w:val="32"/>
        </w:rPr>
      </w:pPr>
    </w:p>
    <w:p>
      <w:pPr>
        <w:bidi w:val="0"/>
        <w:jc w:val="center"/>
        <w:rPr>
          <w:rFonts w:hint="eastAsia"/>
        </w:rPr>
      </w:pPr>
      <w:r>
        <w:rPr>
          <w:sz w:val="32"/>
        </w:rPr>
        <mc:AlternateContent>
          <mc:Choice Requires="wps">
            <w:drawing>
              <wp:anchor distT="0" distB="0" distL="114300" distR="114300" simplePos="0" relativeHeight="251695104" behindDoc="1" locked="0" layoutInCell="1" allowOverlap="1">
                <wp:simplePos x="0" y="0"/>
                <wp:positionH relativeFrom="column">
                  <wp:posOffset>833755</wp:posOffset>
                </wp:positionH>
                <wp:positionV relativeFrom="paragraph">
                  <wp:posOffset>2724150</wp:posOffset>
                </wp:positionV>
                <wp:extent cx="3763645" cy="660400"/>
                <wp:effectExtent l="0" t="0" r="8255" b="6350"/>
                <wp:wrapNone/>
                <wp:docPr id="9" name="文本框 32"/>
                <wp:cNvGraphicFramePr/>
                <a:graphic xmlns:a="http://schemas.openxmlformats.org/drawingml/2006/main">
                  <a:graphicData uri="http://schemas.microsoft.com/office/word/2010/wordprocessingShape">
                    <wps:wsp>
                      <wps:cNvSpPr txBox="1"/>
                      <wps:spPr>
                        <a:xfrm>
                          <a:off x="2133600" y="6817995"/>
                          <a:ext cx="3763645" cy="66040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65.65pt;margin-top:214.5pt;height:52pt;width:296.35pt;z-index:-251621376;mso-width-relative:page;mso-height-relative:page;" fillcolor="#FFFFFF [3201]" filled="t" stroked="f" coordsize="21600,21600" o:gfxdata="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w:pict>
          </mc:Fallback>
        </mc:AlternateContent>
      </w:r>
      <w:r>
        <w:drawing>
          <wp:inline distT="0" distB="0" distL="114300" distR="114300">
            <wp:extent cx="4057650" cy="2658110"/>
            <wp:effectExtent l="4445" t="4445" r="14605" b="23495"/>
            <wp:docPr id="28"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sz w:val="44"/>
        </w:rPr>
        <mc:AlternateContent>
          <mc:Choice Requires="wpg">
            <w:drawing>
              <wp:anchor distT="0" distB="0" distL="114300" distR="114300" simplePos="0" relativeHeight="251687936"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9" name="组合 79"/>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793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qlURUIDAAA8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IqpVEV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hint="eastAsia"/>
        </w:rPr>
      </w:pPr>
      <w:r>
        <w:rPr>
          <w:rFonts w:hint="eastAsia" w:ascii="仿宋_GB2312" w:eastAsia="仿宋_GB2312" w:cs="DengXian-Regular"/>
          <w:sz w:val="32"/>
          <w:szCs w:val="32"/>
        </w:rPr>
        <w:t>2018 年度一般公共预算财政拨款基本支出</w:t>
      </w:r>
      <w:r>
        <w:rPr>
          <w:rFonts w:hint="eastAsia" w:ascii="仿宋_GB2312" w:eastAsia="仿宋_GB2312" w:cs="DengXian-Regular"/>
          <w:sz w:val="32"/>
          <w:szCs w:val="32"/>
          <w:lang w:val="en-US" w:eastAsia="zh-CN"/>
        </w:rPr>
        <w:t>2948.13</w:t>
      </w:r>
      <w:r>
        <w:rPr>
          <w:rFonts w:hint="eastAsia" w:ascii="仿宋_GB2312" w:eastAsia="仿宋_GB2312" w:cs="DengXian-Regular"/>
          <w:sz w:val="32"/>
          <w:szCs w:val="32"/>
        </w:rPr>
        <w:t>万元，其中：人员经费</w:t>
      </w:r>
      <w:r>
        <w:rPr>
          <w:rFonts w:hint="eastAsia" w:ascii="仿宋_GB2312" w:eastAsia="仿宋_GB2312" w:cs="DengXian-Regular"/>
          <w:sz w:val="32"/>
          <w:szCs w:val="32"/>
          <w:lang w:val="en-US" w:eastAsia="zh-CN"/>
        </w:rPr>
        <w:t>2461.05</w:t>
      </w:r>
      <w:r>
        <w:rPr>
          <w:rFonts w:hint="eastAsia" w:ascii="仿宋_GB2312"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eastAsia="仿宋_GB2312" w:cs="DengXian-Regular"/>
          <w:sz w:val="32"/>
          <w:szCs w:val="32"/>
          <w:lang w:val="en-US" w:eastAsia="zh-CN"/>
        </w:rPr>
        <w:t>487.08</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eastAsia="仿宋_GB2312" w:cs="DengXian-Regular"/>
          <w:sz w:val="32"/>
          <w:szCs w:val="32"/>
          <w:lang w:val="en-US" w:eastAsia="zh-CN"/>
        </w:rPr>
        <w:t>22.51</w:t>
      </w:r>
      <w:r>
        <w:rPr>
          <w:rFonts w:hint="eastAsia" w:ascii="仿宋_GB2312" w:eastAsia="仿宋_GB2312" w:cs="DengXian-Regular"/>
          <w:sz w:val="32"/>
          <w:szCs w:val="32"/>
        </w:rPr>
        <w:t>万元，</w:t>
      </w:r>
      <w:r>
        <w:rPr>
          <w:rFonts w:hint="eastAsia" w:ascii="仿宋_GB2312" w:eastAsia="仿宋_GB2312" w:cs="DengXian-Regular"/>
          <w:b w:val="0"/>
          <w:bCs w:val="0"/>
          <w:sz w:val="32"/>
          <w:szCs w:val="32"/>
        </w:rPr>
        <w:t>较年初预算减少</w:t>
      </w:r>
      <w:r>
        <w:rPr>
          <w:rFonts w:hint="eastAsia" w:ascii="仿宋_GB2312" w:eastAsia="仿宋_GB2312" w:cs="DengXian-Regular"/>
          <w:b w:val="0"/>
          <w:bCs w:val="0"/>
          <w:sz w:val="32"/>
          <w:szCs w:val="32"/>
          <w:lang w:val="en-US" w:eastAsia="zh-CN"/>
        </w:rPr>
        <w:t>1.79</w:t>
      </w:r>
      <w:r>
        <w:rPr>
          <w:rFonts w:hint="eastAsia" w:ascii="仿宋_GB2312" w:eastAsia="仿宋_GB2312" w:cs="DengXian-Regular"/>
          <w:b w:val="0"/>
          <w:bCs w:val="0"/>
          <w:sz w:val="32"/>
          <w:szCs w:val="32"/>
        </w:rPr>
        <w:t>万元，降低</w:t>
      </w:r>
      <w:r>
        <w:rPr>
          <w:rFonts w:hint="eastAsia" w:ascii="仿宋_GB2312" w:eastAsia="仿宋_GB2312" w:cs="DengXian-Regular"/>
          <w:b w:val="0"/>
          <w:bCs w:val="0"/>
          <w:sz w:val="32"/>
          <w:szCs w:val="32"/>
          <w:lang w:val="en-US" w:eastAsia="zh-CN"/>
        </w:rPr>
        <w:t>7.45</w:t>
      </w:r>
      <w:r>
        <w:rPr>
          <w:rFonts w:hint="eastAsia" w:ascii="仿宋_GB2312" w:eastAsia="仿宋_GB2312" w:cs="DengXian-Regular"/>
          <w:b w:val="0"/>
          <w:bCs w:val="0"/>
          <w:sz w:val="32"/>
          <w:szCs w:val="32"/>
        </w:rPr>
        <w:t>%，主要是认真贯彻落实中</w:t>
      </w:r>
      <w:r>
        <w:rPr>
          <w:rFonts w:hint="eastAsia" w:ascii="仿宋_GB2312" w:eastAsia="仿宋_GB2312" w:cs="DengXian-Regular"/>
          <w:sz w:val="32"/>
          <w:szCs w:val="32"/>
        </w:rPr>
        <w:t>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精神和厉行节约要求，从严控制“三公”经费开支，全年实际支出比预算有所节约。具体情况如下：</w:t>
      </w:r>
    </w:p>
    <w:p>
      <w:pPr>
        <w:ind w:firstLine="640"/>
        <w:rPr>
          <w:rFonts w:hint="eastAsia" w:ascii="仿宋" w:hAnsi="仿宋" w:eastAsia="仿宋" w:cs="仿宋"/>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88960"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2" name="组合 82"/>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896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61dlikA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DrV2WKQAMAADwJAAAOAAAAAAAAAAEAIAAAACo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w:t>
      </w:r>
      <w:r>
        <w:rPr>
          <w:rFonts w:hint="eastAsia" w:ascii="仿宋_GB2312" w:eastAsia="仿宋_GB2312" w:cs="DengXian-Regular"/>
          <w:sz w:val="32"/>
          <w:szCs w:val="32"/>
          <w:lang w:eastAsia="zh-CN"/>
        </w:rPr>
        <w:t>未发生此类支出，</w:t>
      </w:r>
      <w:r>
        <w:rPr>
          <w:rFonts w:hint="eastAsia" w:ascii="仿宋" w:hAnsi="仿宋" w:eastAsia="仿宋" w:cs="仿宋"/>
          <w:sz w:val="32"/>
          <w:szCs w:val="32"/>
          <w:lang w:eastAsia="zh-CN"/>
        </w:rPr>
        <w:t>与年初预算持平</w:t>
      </w:r>
      <w:r>
        <w:rPr>
          <w:rFonts w:hint="eastAsia" w:ascii="仿宋" w:hAnsi="仿宋" w:eastAsia="仿宋" w:cs="仿宋"/>
          <w:sz w:val="32"/>
          <w:szCs w:val="32"/>
        </w:rPr>
        <w:t>。</w:t>
      </w:r>
    </w:p>
    <w:p>
      <w:pPr>
        <w:ind w:firstLine="64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22.51</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w:t>
      </w:r>
      <w:r>
        <w:rPr>
          <w:rFonts w:hint="eastAsia" w:ascii="仿宋_GB2312" w:eastAsia="仿宋_GB2312" w:cs="DengXian-Regular"/>
          <w:sz w:val="32"/>
          <w:szCs w:val="32"/>
          <w:lang w:val="en-US" w:eastAsia="zh-CN"/>
        </w:rPr>
        <w:t>1.79</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7.45</w:t>
      </w:r>
      <w:r>
        <w:rPr>
          <w:rFonts w:hint="eastAsia" w:ascii="仿宋_GB2312" w:eastAsia="仿宋_GB2312" w:cs="DengXian-Regular"/>
          <w:sz w:val="32"/>
          <w:szCs w:val="32"/>
        </w:rPr>
        <w:t>%,主要是认真贯彻落实中央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eastAsia="仿宋_GB2312" w:cs="DengXian-Bold"/>
          <w:b/>
          <w:bCs/>
          <w:sz w:val="32"/>
          <w:szCs w:val="32"/>
        </w:rPr>
        <w:t>其中：</w:t>
      </w:r>
    </w:p>
    <w:p>
      <w:pPr>
        <w:ind w:firstLine="640"/>
        <w:rPr>
          <w:rFonts w:ascii="仿宋_GB2312" w:eastAsia="仿宋_GB2312" w:cs="DengXian-Regular"/>
          <w:color w:val="000000" w:themeColor="text1"/>
          <w:sz w:val="32"/>
          <w:szCs w:val="32"/>
          <w14:textFill>
            <w14:solidFill>
              <w14:schemeClr w14:val="tx1"/>
            </w14:solidFill>
          </w14:textFill>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w:t>
      </w:r>
      <w:r>
        <w:rPr>
          <w:rFonts w:hint="eastAsia" w:ascii="仿宋_GB2312" w:eastAsia="仿宋_GB2312" w:cs="DengXian-Regular"/>
          <w:sz w:val="32"/>
          <w:szCs w:val="32"/>
          <w:lang w:eastAsia="zh-CN"/>
        </w:rPr>
        <w:t>未发生此类支出，</w:t>
      </w:r>
      <w:r>
        <w:rPr>
          <w:rFonts w:hint="eastAsia" w:ascii="仿宋" w:hAnsi="仿宋" w:eastAsia="仿宋" w:cs="仿宋"/>
          <w:sz w:val="32"/>
          <w:szCs w:val="32"/>
          <w:lang w:eastAsia="zh-CN"/>
        </w:rPr>
        <w:t>与年初预算持平</w:t>
      </w:r>
      <w:r>
        <w:rPr>
          <w:rFonts w:hint="eastAsia" w:ascii="仿宋" w:hAnsi="仿宋" w:eastAsia="仿宋" w:cs="仿宋"/>
          <w:sz w:val="32"/>
          <w:szCs w:val="32"/>
        </w:rPr>
        <w:t>。</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辆。公车运行维护费支出较年初预</w:t>
      </w:r>
      <w:bookmarkStart w:id="0" w:name="_GoBack"/>
      <w:bookmarkEnd w:id="0"/>
      <w:r>
        <w:rPr>
          <w:rFonts w:hint="eastAsia" w:ascii="仿宋_GB2312" w:eastAsia="仿宋_GB2312" w:cs="DengXian-Regular"/>
          <w:sz w:val="32"/>
          <w:szCs w:val="32"/>
        </w:rPr>
        <w:t>算减少</w:t>
      </w:r>
      <w:r>
        <w:rPr>
          <w:rFonts w:hint="eastAsia" w:ascii="仿宋_GB2312" w:eastAsia="仿宋_GB2312" w:cs="DengXian-Regular"/>
          <w:sz w:val="32"/>
          <w:szCs w:val="32"/>
          <w:lang w:val="en-US" w:eastAsia="zh-CN"/>
        </w:rPr>
        <w:t>1.79</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7.45</w:t>
      </w:r>
      <w:r>
        <w:rPr>
          <w:rFonts w:hint="eastAsia" w:ascii="仿宋_GB2312" w:eastAsia="仿宋_GB2312" w:cs="DengXian-Regular"/>
          <w:sz w:val="32"/>
          <w:szCs w:val="32"/>
        </w:rPr>
        <w:t>%,主要是认真贯彻落实中央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w:t>
      </w:r>
    </w:p>
    <w:p>
      <w:pPr>
        <w:ind w:firstLine="64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w:t>
      </w:r>
      <w:r>
        <w:rPr>
          <w:rFonts w:hint="eastAsia" w:ascii="仿宋_GB2312" w:eastAsia="仿宋_GB2312" w:cs="DengXian-Regular"/>
          <w:sz w:val="32"/>
          <w:szCs w:val="32"/>
          <w:lang w:eastAsia="zh-CN"/>
        </w:rPr>
        <w:t>未发生此类支出，</w:t>
      </w:r>
      <w:r>
        <w:rPr>
          <w:rFonts w:hint="eastAsia" w:ascii="仿宋" w:hAnsi="仿宋" w:eastAsia="仿宋" w:cs="仿宋"/>
          <w:sz w:val="32"/>
          <w:szCs w:val="32"/>
          <w:lang w:eastAsia="zh-CN"/>
        </w:rPr>
        <w:t>与年初预算持平</w:t>
      </w:r>
      <w:r>
        <w:rPr>
          <w:rFonts w:hint="eastAsia" w:ascii="仿宋" w:hAnsi="仿宋" w:eastAsia="仿宋" w:cs="仿宋"/>
          <w:sz w:val="32"/>
          <w:szCs w:val="32"/>
        </w:rPr>
        <w:t>。</w:t>
      </w:r>
      <w:r>
        <w:rPr>
          <w:sz w:val="44"/>
        </w:rPr>
        <mc:AlternateContent>
          <mc:Choice Requires="wpg">
            <w:drawing>
              <wp:anchor distT="0" distB="0" distL="114300" distR="114300" simplePos="0" relativeHeight="251689984"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998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GOEJf9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p>
    <w:p>
      <w:pPr>
        <w:pStyle w:val="3"/>
        <w:spacing w:before="0" w:after="0" w:line="500" w:lineRule="exact"/>
        <w:rPr>
          <w:rFonts w:ascii="黑体" w:eastAsia="黑体" w:cs="Times New Roman"/>
          <w:shd w:val="clear" w:color="auto" w:fill="auto"/>
        </w:rPr>
      </w:pPr>
      <w:r>
        <w:rPr>
          <w:rFonts w:hint="eastAsia" w:ascii="黑体" w:eastAsia="黑体"/>
          <w:szCs w:val="40"/>
        </w:rPr>
        <w:t>六、</w:t>
      </w:r>
      <w:r>
        <w:rPr>
          <w:rFonts w:hint="eastAsia" w:ascii="黑体" w:eastAsia="黑体" w:cs="Times New Roman"/>
          <w:shd w:val="clear" w:color="auto" w:fill="auto"/>
        </w:rPr>
        <w:t>绩效预算情况说明</w:t>
      </w:r>
    </w:p>
    <w:p>
      <w:pPr>
        <w:adjustRightInd w:val="0"/>
        <w:snapToGrid w:val="0"/>
        <w:spacing w:after="0" w:line="500" w:lineRule="exact"/>
        <w:ind w:firstLine="640" w:firstLineChars="200"/>
        <w:rPr>
          <w:rFonts w:hint="eastAsia"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（一）绩效管理工作开展情况</w:t>
      </w:r>
    </w:p>
    <w:p>
      <w:pPr>
        <w:adjustRightInd w:val="0"/>
        <w:snapToGrid w:val="0"/>
        <w:spacing w:after="0" w:line="500" w:lineRule="exact"/>
        <w:ind w:firstLine="640" w:firstLineChars="200"/>
        <w:rPr>
          <w:rFonts w:hint="eastAsia" w:ascii="仿宋_GB2312" w:eastAsia="仿宋_GB2312" w:cs="DengXian-Regular"/>
          <w:color w:val="FF0000"/>
          <w:sz w:val="32"/>
          <w:szCs w:val="32"/>
          <w:shd w:val="clear" w:color="auto" w:fill="auto"/>
          <w:lang w:eastAsia="zh-CN"/>
        </w:rPr>
      </w:pPr>
      <w:r>
        <w:rPr>
          <w:rFonts w:hint="eastAsia" w:ascii="仿宋_GB2312" w:eastAsia="仿宋_GB2312" w:cs="DengXian-Regular"/>
          <w:sz w:val="32"/>
          <w:szCs w:val="32"/>
          <w:shd w:val="clear" w:color="auto" w:fill="auto"/>
        </w:rPr>
        <w:t>根据《关于开展2018年度财政专项资金部门绩效自评价工作的通知》（石财绩</w:t>
      </w:r>
      <w:r>
        <w:rPr>
          <w:rFonts w:hint="eastAsia" w:ascii="宋体" w:hAnsi="宋体" w:cs="宋体"/>
          <w:sz w:val="32"/>
          <w:szCs w:val="32"/>
          <w:shd w:val="clear" w:color="auto" w:fill="auto"/>
        </w:rPr>
        <w:t>[2019]</w:t>
      </w:r>
      <w:r>
        <w:rPr>
          <w:rFonts w:hint="eastAsia" w:ascii="仿宋_GB2312" w:eastAsia="仿宋_GB2312" w:cs="DengXian-Regular"/>
          <w:sz w:val="32"/>
          <w:szCs w:val="32"/>
          <w:shd w:val="clear" w:color="auto" w:fill="auto"/>
        </w:rPr>
        <w:t>1号），本单位认真开展了预算绩效管理改革开展情况自查，对部门全面规范绩效预算编制、严格预算执行管理、推进绩效评价工作、推进预决算信息公开等方面进行了自评，考核结果为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color w:val="auto"/>
          <w:sz w:val="32"/>
          <w:szCs w:val="32"/>
          <w:highlight w:val="none"/>
          <w:shd w:val="clear" w:color="auto" w:fill="auto"/>
        </w:rPr>
        <w:t>一般</w:t>
      </w:r>
      <w:r>
        <w:rPr>
          <w:rFonts w:hint="eastAsia" w:ascii="仿宋_GB2312" w:eastAsia="仿宋_GB2312" w:cs="DengXian-Regular"/>
          <w:color w:val="auto"/>
          <w:sz w:val="32"/>
          <w:szCs w:val="32"/>
          <w:highlight w:val="none"/>
          <w:shd w:val="clear" w:color="auto" w:fill="auto"/>
          <w:lang w:eastAsia="zh-CN"/>
        </w:rPr>
        <w:t>。</w:t>
      </w:r>
    </w:p>
    <w:p>
      <w:pPr>
        <w:numPr>
          <w:ilvl w:val="0"/>
          <w:numId w:val="3"/>
        </w:numPr>
        <w:adjustRightInd w:val="0"/>
        <w:snapToGrid w:val="0"/>
        <w:spacing w:after="0" w:line="500" w:lineRule="exact"/>
        <w:ind w:firstLine="640" w:firstLineChars="200"/>
        <w:rPr>
          <w:rFonts w:hint="eastAsia"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预算项目绩效评价开展情况</w:t>
      </w:r>
    </w:p>
    <w:p>
      <w:pPr>
        <w:numPr>
          <w:ilvl w:val="0"/>
          <w:numId w:val="0"/>
        </w:numPr>
        <w:adjustRightInd w:val="0"/>
        <w:snapToGrid w:val="0"/>
        <w:spacing w:after="0" w:line="500" w:lineRule="exact"/>
        <w:ind w:firstLine="640" w:firstLineChars="200"/>
        <w:rPr>
          <w:rFonts w:hint="eastAsia"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根据预算绩效管理要求，本单位组织对201</w:t>
      </w:r>
      <w:r>
        <w:rPr>
          <w:rFonts w:hint="eastAsia" w:ascii="仿宋_GB2312" w:eastAsia="仿宋_GB2312" w:cs="DengXian-Regular"/>
          <w:sz w:val="32"/>
          <w:szCs w:val="32"/>
          <w:shd w:val="clear" w:color="auto" w:fill="auto"/>
          <w:lang w:val="en-US" w:eastAsia="zh-CN"/>
        </w:rPr>
        <w:t>8</w:t>
      </w:r>
      <w:r>
        <w:rPr>
          <w:rFonts w:hint="eastAsia" w:ascii="仿宋_GB2312" w:eastAsia="仿宋_GB2312" w:cs="DengXian-Regular"/>
          <w:sz w:val="32"/>
          <w:szCs w:val="32"/>
          <w:shd w:val="clear" w:color="auto" w:fill="auto"/>
        </w:rPr>
        <w:t>年度一般公共预算项目支出全面开展绩效自评，涉及</w:t>
      </w:r>
      <w:r>
        <w:rPr>
          <w:rFonts w:hint="eastAsia" w:ascii="仿宋_GB2312" w:eastAsia="仿宋_GB2312" w:cs="DengXian-Regular"/>
          <w:sz w:val="32"/>
          <w:szCs w:val="32"/>
          <w:shd w:val="clear" w:color="auto" w:fill="auto"/>
          <w:lang w:eastAsia="zh-CN"/>
        </w:rPr>
        <w:t>大气污染防治、建筑节能改造</w:t>
      </w:r>
      <w:r>
        <w:rPr>
          <w:rFonts w:hint="eastAsia" w:ascii="仿宋_GB2312" w:eastAsia="仿宋_GB2312" w:cs="DengXian-Regular"/>
          <w:sz w:val="32"/>
          <w:szCs w:val="32"/>
          <w:shd w:val="clear" w:color="auto" w:fill="auto"/>
        </w:rPr>
        <w:t>等</w:t>
      </w:r>
      <w:r>
        <w:rPr>
          <w:rFonts w:hint="eastAsia" w:ascii="仿宋_GB2312" w:eastAsia="仿宋_GB2312" w:cs="DengXian-Regular"/>
          <w:sz w:val="32"/>
          <w:szCs w:val="32"/>
          <w:shd w:val="clear" w:color="auto" w:fill="auto"/>
          <w:lang w:val="en-US" w:eastAsia="zh-CN"/>
        </w:rPr>
        <w:t>2</w:t>
      </w:r>
      <w:r>
        <w:rPr>
          <w:rFonts w:hint="eastAsia" w:ascii="仿宋_GB2312" w:eastAsia="仿宋_GB2312" w:cs="DengXian-Regular"/>
          <w:sz w:val="32"/>
          <w:szCs w:val="32"/>
          <w:shd w:val="clear" w:color="auto" w:fill="auto"/>
        </w:rPr>
        <w:t>个项目，涉及资金</w:t>
      </w:r>
      <w:r>
        <w:rPr>
          <w:rFonts w:hint="eastAsia" w:ascii="仿宋_GB2312" w:eastAsia="仿宋_GB2312" w:cs="DengXian-Regular"/>
          <w:sz w:val="32"/>
          <w:szCs w:val="32"/>
          <w:shd w:val="clear" w:color="auto" w:fill="auto"/>
          <w:lang w:val="en-US" w:eastAsia="zh-CN"/>
        </w:rPr>
        <w:t>3194.13</w:t>
      </w:r>
      <w:r>
        <w:rPr>
          <w:rFonts w:hint="eastAsia" w:ascii="仿宋_GB2312" w:eastAsia="仿宋_GB2312" w:cs="DengXian-Regular"/>
          <w:sz w:val="32"/>
          <w:szCs w:val="32"/>
          <w:shd w:val="clear" w:color="auto" w:fill="auto"/>
        </w:rPr>
        <w:t>万元。从评价情况看，评价结果为一般的项目有</w:t>
      </w:r>
      <w:r>
        <w:rPr>
          <w:rFonts w:hint="eastAsia" w:ascii="仿宋_GB2312" w:eastAsia="仿宋_GB2312" w:cs="DengXian-Regular"/>
          <w:sz w:val="32"/>
          <w:szCs w:val="32"/>
          <w:shd w:val="clear" w:color="auto" w:fill="auto"/>
          <w:lang w:val="en-US" w:eastAsia="zh-CN"/>
        </w:rPr>
        <w:t>2</w:t>
      </w:r>
      <w:r>
        <w:rPr>
          <w:rFonts w:hint="eastAsia" w:ascii="仿宋_GB2312" w:eastAsia="仿宋_GB2312" w:cs="DengXian-Regular"/>
          <w:sz w:val="32"/>
          <w:szCs w:val="32"/>
          <w:shd w:val="clear" w:color="auto" w:fill="auto"/>
        </w:rPr>
        <w:t>个。</w:t>
      </w:r>
    </w:p>
    <w:p>
      <w:pPr>
        <w:numPr>
          <w:ilvl w:val="0"/>
          <w:numId w:val="3"/>
        </w:numPr>
        <w:adjustRightInd w:val="0"/>
        <w:snapToGrid w:val="0"/>
        <w:spacing w:after="0" w:line="500" w:lineRule="exact"/>
        <w:ind w:left="0" w:leftChars="0" w:firstLine="640" w:firstLineChars="200"/>
        <w:rPr>
          <w:rFonts w:hint="eastAsia" w:ascii="仿宋_GB2312" w:eastAsia="仿宋_GB2312" w:cs="DengXian-Regular"/>
          <w:sz w:val="32"/>
          <w:szCs w:val="32"/>
          <w:shd w:val="clear" w:color="auto" w:fill="auto"/>
        </w:rPr>
      </w:pPr>
      <w:r>
        <w:rPr>
          <w:rFonts w:hint="eastAsia" w:ascii="仿宋_GB2312" w:eastAsia="仿宋_GB2312" w:cs="DengXian-Regular"/>
          <w:sz w:val="32"/>
          <w:szCs w:val="32"/>
          <w:shd w:val="clear" w:color="auto" w:fill="auto"/>
        </w:rPr>
        <w:t>预算项目绩效自评选例</w:t>
      </w:r>
    </w:p>
    <w:p>
      <w:pPr>
        <w:keepNext w:val="0"/>
        <w:keepLines w:val="0"/>
        <w:pageBreakBefore w:val="0"/>
        <w:kinsoku/>
        <w:wordWrap/>
        <w:overflowPunct/>
        <w:topLinePunct w:val="0"/>
        <w:autoSpaceDE/>
        <w:autoSpaceDN/>
        <w:bidi w:val="0"/>
        <w:adjustRightInd w:val="0"/>
        <w:snapToGrid w:val="0"/>
        <w:spacing w:after="0" w:line="578" w:lineRule="exact"/>
        <w:ind w:firstLine="640" w:firstLineChars="200"/>
        <w:jc w:val="left"/>
        <w:textAlignment w:val="auto"/>
        <w:rPr>
          <w:rFonts w:hint="eastAsia" w:ascii="仿宋_GB2312" w:eastAsia="仿宋_GB2312" w:cs="DengXian-Regular"/>
          <w:sz w:val="32"/>
          <w:szCs w:val="32"/>
          <w:shd w:val="clear" w:color="auto" w:fill="auto"/>
          <w:lang w:eastAsia="zh-CN"/>
        </w:rPr>
      </w:pPr>
      <w:r>
        <w:rPr>
          <w:rFonts w:hint="eastAsia" w:ascii="仿宋_GB2312" w:eastAsia="仿宋_GB2312" w:cs="DengXian-Regular"/>
          <w:sz w:val="32"/>
          <w:szCs w:val="32"/>
          <w:shd w:val="clear" w:color="auto" w:fill="auto"/>
        </w:rPr>
        <w:t>本单位</w:t>
      </w:r>
      <w:r>
        <w:rPr>
          <w:rFonts w:hint="eastAsia" w:ascii="仿宋" w:hAnsi="仿宋" w:eastAsia="仿宋" w:cs="仿宋"/>
          <w:sz w:val="32"/>
          <w:szCs w:val="32"/>
        </w:rPr>
        <w:t>市委党校、票证中心、反恐训练基地等项目污水收集</w:t>
      </w:r>
      <w:r>
        <w:rPr>
          <w:rFonts w:hint="eastAsia" w:ascii="仿宋" w:hAnsi="仿宋" w:eastAsia="仿宋" w:cs="仿宋"/>
          <w:sz w:val="32"/>
          <w:szCs w:val="32"/>
          <w:shd w:val="clear" w:color="auto" w:fill="auto"/>
        </w:rPr>
        <w:t>项</w:t>
      </w:r>
      <w:r>
        <w:rPr>
          <w:rFonts w:hint="eastAsia" w:ascii="仿宋_GB2312" w:eastAsia="仿宋_GB2312" w:cs="DengXian-Regular"/>
          <w:sz w:val="32"/>
          <w:szCs w:val="32"/>
          <w:shd w:val="clear" w:color="auto" w:fill="auto"/>
        </w:rPr>
        <w:t>目绩效自评：根据年初设定的绩效目标，</w:t>
      </w:r>
      <w:r>
        <w:rPr>
          <w:rFonts w:hint="eastAsia" w:ascii="仿宋" w:hAnsi="仿宋" w:eastAsia="仿宋" w:cs="仿宋"/>
          <w:sz w:val="32"/>
          <w:szCs w:val="32"/>
        </w:rPr>
        <w:t>市委党校、票证中心、反恐训练基地等项目污水收集</w:t>
      </w:r>
      <w:r>
        <w:rPr>
          <w:rFonts w:hint="eastAsia" w:ascii="仿宋_GB2312" w:eastAsia="仿宋_GB2312" w:cs="DengXian-Regular"/>
          <w:sz w:val="32"/>
          <w:szCs w:val="32"/>
          <w:shd w:val="clear" w:color="auto" w:fill="auto"/>
        </w:rPr>
        <w:t>项目绩效自评结果为良好。项目全年预算数为</w:t>
      </w:r>
      <w:r>
        <w:rPr>
          <w:rFonts w:hint="eastAsia" w:ascii="仿宋_GB2312" w:eastAsia="仿宋_GB2312" w:cs="DengXian-Regular"/>
          <w:sz w:val="32"/>
          <w:szCs w:val="32"/>
          <w:shd w:val="clear" w:color="auto" w:fill="auto"/>
          <w:lang w:val="en-US" w:eastAsia="zh-CN"/>
        </w:rPr>
        <w:t>800</w:t>
      </w:r>
      <w:r>
        <w:rPr>
          <w:rFonts w:hint="eastAsia" w:ascii="仿宋_GB2312" w:eastAsia="仿宋_GB2312" w:cs="DengXian-Regular"/>
          <w:sz w:val="32"/>
          <w:szCs w:val="32"/>
          <w:shd w:val="clear" w:color="auto" w:fill="auto"/>
        </w:rPr>
        <w:t>万元，执行数为</w:t>
      </w:r>
      <w:r>
        <w:rPr>
          <w:rFonts w:hint="eastAsia" w:ascii="仿宋_GB2312" w:eastAsia="仿宋_GB2312" w:cs="DengXian-Regular"/>
          <w:sz w:val="32"/>
          <w:szCs w:val="32"/>
          <w:shd w:val="clear" w:color="auto" w:fill="auto"/>
          <w:lang w:val="en-US" w:eastAsia="zh-CN"/>
        </w:rPr>
        <w:t>800万</w:t>
      </w:r>
      <w:r>
        <w:rPr>
          <w:rFonts w:hint="eastAsia" w:ascii="仿宋_GB2312" w:eastAsia="仿宋_GB2312" w:cs="DengXian-Regular"/>
          <w:sz w:val="32"/>
          <w:szCs w:val="32"/>
          <w:shd w:val="clear" w:color="auto" w:fill="auto"/>
        </w:rPr>
        <w:t>元，完成预算的</w:t>
      </w:r>
      <w:r>
        <w:rPr>
          <w:rFonts w:hint="eastAsia" w:ascii="仿宋_GB2312" w:eastAsia="仿宋_GB2312" w:cs="DengXian-Regular"/>
          <w:sz w:val="32"/>
          <w:szCs w:val="32"/>
          <w:shd w:val="clear" w:color="auto" w:fill="auto"/>
          <w:lang w:val="en-US" w:eastAsia="zh-CN"/>
        </w:rPr>
        <w:t>100</w:t>
      </w:r>
      <w:r>
        <w:rPr>
          <w:rFonts w:hint="eastAsia" w:ascii="仿宋_GB2312" w:eastAsia="仿宋_GB2312" w:cs="DengXian-Regular"/>
          <w:sz w:val="32"/>
          <w:szCs w:val="32"/>
          <w:shd w:val="clear" w:color="auto" w:fill="auto"/>
        </w:rPr>
        <w:t>%。主要产出和效果是</w:t>
      </w:r>
      <w:r>
        <w:rPr>
          <w:rFonts w:hint="eastAsia" w:ascii="仿宋_GB2312" w:eastAsia="仿宋_GB2312" w:cs="DengXian-Regular"/>
          <w:sz w:val="32"/>
          <w:szCs w:val="32"/>
          <w:shd w:val="clear" w:color="auto" w:fill="auto"/>
          <w:lang w:eastAsia="zh-CN"/>
        </w:rPr>
        <w:t>及时将收集的污水并主管网，进行统一处理，保护生态环境。</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pStyle w:val="4"/>
        <w:spacing w:before="0" w:after="0" w:line="580" w:lineRule="exact"/>
        <w:ind w:firstLine="640" w:firstLineChars="200"/>
        <w:rPr>
          <w:rFonts w:ascii="楷体_GB2312" w:eastAsia="楷体_GB2312" w:cs="DengXian-Bold"/>
          <w:b w:val="0"/>
          <w:bCs w:val="0"/>
        </w:rPr>
      </w:pPr>
      <w:r>
        <w:rPr>
          <w:rFonts w:hint="eastAsia" w:ascii="仿宋_GB2312" w:eastAsia="仿宋_GB2312" w:cs="DengXian-Regular"/>
          <w:b w:val="0"/>
          <w:bCs w:val="0"/>
          <w:sz w:val="32"/>
          <w:szCs w:val="32"/>
        </w:rPr>
        <w:t>本部门2018年度机关运行经费支出</w:t>
      </w:r>
      <w:r>
        <w:rPr>
          <w:rFonts w:hint="eastAsia" w:ascii="仿宋_GB2312" w:eastAsia="仿宋_GB2312" w:cs="DengXian-Regular"/>
          <w:b w:val="0"/>
          <w:bCs w:val="0"/>
          <w:sz w:val="32"/>
          <w:szCs w:val="32"/>
          <w:lang w:val="en-US" w:eastAsia="zh-CN"/>
        </w:rPr>
        <w:t>115</w:t>
      </w:r>
      <w:r>
        <w:rPr>
          <w:rFonts w:hint="eastAsia" w:ascii="仿宋_GB2312" w:eastAsia="仿宋_GB2312" w:cs="DengXian-Regular"/>
          <w:b w:val="0"/>
          <w:bCs w:val="0"/>
          <w:sz w:val="32"/>
          <w:szCs w:val="32"/>
        </w:rPr>
        <w:t>万元，比年初预算数增加</w:t>
      </w:r>
      <w:r>
        <w:rPr>
          <w:rFonts w:hint="eastAsia" w:ascii="仿宋_GB2312" w:eastAsia="仿宋_GB2312" w:cs="DengXian-Regular"/>
          <w:b w:val="0"/>
          <w:bCs w:val="0"/>
          <w:sz w:val="32"/>
          <w:szCs w:val="32"/>
          <w:lang w:val="en-US" w:eastAsia="zh-CN"/>
        </w:rPr>
        <w:t>50.53</w:t>
      </w:r>
      <w:r>
        <w:rPr>
          <w:rFonts w:hint="eastAsia" w:ascii="仿宋_GB2312" w:eastAsia="仿宋_GB2312" w:cs="DengXian-Regular"/>
          <w:b w:val="0"/>
          <w:bCs w:val="0"/>
          <w:sz w:val="32"/>
          <w:szCs w:val="32"/>
        </w:rPr>
        <w:t>万元，增长</w:t>
      </w:r>
      <w:r>
        <w:rPr>
          <w:rFonts w:hint="eastAsia" w:ascii="仿宋_GB2312" w:eastAsia="仿宋_GB2312" w:cs="DengXian-Regular"/>
          <w:b w:val="0"/>
          <w:bCs w:val="0"/>
          <w:sz w:val="32"/>
          <w:szCs w:val="32"/>
          <w:lang w:val="en-US" w:eastAsia="zh-CN"/>
        </w:rPr>
        <w:t>78.38</w:t>
      </w:r>
      <w:r>
        <w:rPr>
          <w:rFonts w:hint="eastAsia" w:ascii="仿宋_GB2312" w:eastAsia="仿宋_GB2312" w:cs="DengXian-Regular"/>
          <w:b w:val="0"/>
          <w:bCs w:val="0"/>
          <w:sz w:val="32"/>
          <w:szCs w:val="32"/>
        </w:rPr>
        <w:t>%。主要原因是</w:t>
      </w:r>
      <w:r>
        <w:rPr>
          <w:rFonts w:hint="eastAsia" w:ascii="仿宋" w:hAnsi="仿宋" w:eastAsia="仿宋" w:cs="仿宋"/>
          <w:b w:val="0"/>
          <w:bCs w:val="0"/>
          <w:sz w:val="32"/>
          <w:szCs w:val="32"/>
          <w:lang w:val="en-US" w:eastAsia="zh-CN"/>
        </w:rPr>
        <w:t>办公楼年久失修，维护费用较大、中央空调电费维护费支出较大</w:t>
      </w:r>
      <w:r>
        <w:rPr>
          <w:rFonts w:hint="eastAsia" w:ascii="仿宋_GB2312" w:eastAsia="仿宋_GB2312" w:cs="DengXian-Regular"/>
          <w:b w:val="0"/>
          <w:bCs w:val="0"/>
          <w:sz w:val="32"/>
          <w:szCs w:val="32"/>
        </w:rPr>
        <w:t>。</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w:t>
      </w:r>
      <w:r>
        <w:rPr>
          <w:rFonts w:hint="eastAsia" w:ascii="仿宋_GB2312" w:eastAsia="仿宋_GB2312" w:cs="DengXian-Regular"/>
          <w:sz w:val="32"/>
          <w:szCs w:val="32"/>
          <w:lang w:val="en-US" w:eastAsia="zh-CN"/>
        </w:rPr>
        <w:t>6758.32</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55.58</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6036.94</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665.8</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0万</w:t>
      </w:r>
      <w:r>
        <w:rPr>
          <w:rFonts w:ascii="仿宋_GB2312" w:hAnsi="仿宋_GB2312" w:eastAsia="仿宋_GB2312" w:cs="仿宋_GB2312"/>
          <w:color w:val="000000"/>
          <w:kern w:val="0"/>
          <w:sz w:val="32"/>
          <w:szCs w:val="32"/>
          <w:lang w:bidi="ar"/>
        </w:rPr>
        <w:t xml:space="preserve">元，占政府采购支出总额的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上年</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。其中，机要通信用车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辆，执法执勤用车</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6</w:t>
      </w:r>
      <w:r>
        <w:rPr>
          <w:rFonts w:hint="eastAsia" w:ascii="仿宋_GB2312" w:eastAsia="仿宋_GB2312" w:cs="DengXian-Regular"/>
          <w:sz w:val="32"/>
          <w:szCs w:val="32"/>
        </w:rPr>
        <w:t>辆，其他用车主要是</w:t>
      </w:r>
      <w:r>
        <w:rPr>
          <w:rFonts w:hint="eastAsia" w:ascii="仿宋_GB2312" w:eastAsia="仿宋_GB2312" w:cs="DengXian-Regular"/>
          <w:sz w:val="32"/>
          <w:szCs w:val="32"/>
          <w:lang w:eastAsia="zh-CN"/>
        </w:rPr>
        <w:t>老干部用车、检查巡查用车。</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w:t>
      </w:r>
      <w:r>
        <w:rPr>
          <w:rFonts w:hint="eastAsia" w:ascii="仿宋_GB2312" w:eastAsia="仿宋_GB2312" w:cs="DengXian-Regular"/>
          <w:sz w:val="32"/>
          <w:szCs w:val="32"/>
          <w:lang w:eastAsia="zh-CN"/>
        </w:rPr>
        <w:t>国有资本经营预算财政拨款支出决算表</w:t>
      </w:r>
      <w:r>
        <w:rPr>
          <w:rFonts w:hint="eastAsia" w:ascii="仿宋_GB2312" w:eastAsia="仿宋_GB2312" w:cs="DengXian-Regular"/>
          <w:sz w:val="32"/>
          <w:szCs w:val="32"/>
        </w:rPr>
        <w:t>无收支及结转结余情况，故</w:t>
      </w:r>
      <w:r>
        <w:rPr>
          <w:rFonts w:hint="eastAsia" w:ascii="仿宋_GB2312" w:eastAsia="仿宋_GB2312" w:cs="DengXian-Regular"/>
          <w:sz w:val="32"/>
          <w:szCs w:val="32"/>
          <w:lang w:eastAsia="zh-CN"/>
        </w:rPr>
        <w:t>国有资本经营预算财政拨款支出决算</w:t>
      </w:r>
      <w:r>
        <w:rPr>
          <w:rFonts w:hint="eastAsia" w:ascii="仿宋_GB2312" w:eastAsia="仿宋_GB2312" w:cs="DengXian-Regular"/>
          <w:sz w:val="32"/>
          <w:szCs w:val="32"/>
        </w:rPr>
        <w:t>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91008"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91" name="组合 91"/>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9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91008;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z6gAj4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AAAAAZHJzL1BLAQIUABQAAAAIAIdO4kAS&#10;fsrO2wAAAAsBAAAPAAAAAAAAAAEAIAAAACIAAABkcnMvZG93bnJldi54bWxQSwECFAAUAAAACACH&#10;TuJAvz6gAj4DAAA8CQAADgAAAAAAAAABACAAAAAqAQAAZHJzL2Uyb0RvYy54bWxQSwUGAAAAAAYA&#10;BgBZAQAA2g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7456"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M0wAiT4CAABp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uNhBDEUG6XQr/o9spWptgDmzDAb3vKrFsmvmQ+3zGEYUDDWJdzgqKVBErOXKGmM+/Yv&#10;ffRHj2ClpMNwldR/XTMnKJEfNLr3dnQaeQjpcjqeFLi4x5bVY4teqwuD+R1hMS1PYvQP8iDWzqgv&#10;2KpFzAoT0xy5SxoO4kUYRh5bycVikZwwf5aFa720PIYe6Fysg6nbxHSkaeBmzx4mMDVgvy1xxB/f&#10;k9fDH2L+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NlmnozeAAAADQEAAA8AAAAAAAAAAQAgAAAA&#10;IgAAAGRycy9kb3ducmV2LnhtbFBLAQIUABQAAAAIAIdO4kAzTACJPgIAAGkEAAAOAAAAAAAAAAEA&#10;IAAAAC0BAABkcnMvZTJvRG9jLnhtbFBLBQYAAAAABgAGAFkBAADd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73600"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149"/>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1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3600;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7ZytUMDAABA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IWM/JvbAAAACwEAAA8AAAAAAAAAAQAgAAAAIgAAAGRycy9kb3ducmV2LnhtbFBLAQIUABQA&#10;AAAIAIdO4kDjtnK1QwMAAEAJAAAOAAAAAAAAAAEAIAAAACo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hint="eastAsia"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92032"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94"/>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92032;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Yz8m9sAAAALAQAADwAAAAAAAAABACAAAAAiAAAAZHJzL2Rvd25yZXYueG1sUEsBAhQA&#10;FAAAAAgAh07iQGz6TMFFAwAAPAkAAA4AAAAAAAAAAQAgAAAAKg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93056"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97"/>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93056;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hYz8m9sAAAALAQAADwAAAAAAAAABACAAAAAiAAAAZHJzL2Rvd25yZXYueG1sUEsBAhQAFAAA&#10;AAgAh07iQKt72zh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7155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41542FE6-31C4-4688-B7D9-B8D102822673}"/>
  </w:font>
  <w:font w:name="黑体">
    <w:panose1 w:val="02010609060101010101"/>
    <w:charset w:val="86"/>
    <w:family w:val="auto"/>
    <w:pitch w:val="default"/>
    <w:sig w:usb0="800002BF" w:usb1="38CF7CFA" w:usb2="00000016" w:usb3="00000000" w:csb0="00040001" w:csb1="00000000"/>
    <w:embedRegular r:id="rId2" w:fontKey="{596FAD74-A5F4-48B5-A308-F90E853270C1}"/>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78587985-A070-4374-8B66-A8F068E60906}"/>
  </w:font>
  <w:font w:name="Cambria">
    <w:panose1 w:val="02040503050406030204"/>
    <w:charset w:val="00"/>
    <w:family w:val="roman"/>
    <w:pitch w:val="default"/>
    <w:sig w:usb0="E00002FF" w:usb1="400004FF" w:usb2="00000000" w:usb3="00000000" w:csb0="2000019F" w:csb1="00000000"/>
    <w:embedRegular r:id="rId4" w:fontKey="{8E712F26-2B67-46F5-B561-F596967FEDDB}"/>
  </w:font>
  <w:font w:name="楷体">
    <w:panose1 w:val="02010609060101010101"/>
    <w:charset w:val="86"/>
    <w:family w:val="modern"/>
    <w:pitch w:val="default"/>
    <w:sig w:usb0="800002BF" w:usb1="38CF7CFA" w:usb2="00000016" w:usb3="00000000" w:csb0="00040001" w:csb1="00000000"/>
    <w:embedRegular r:id="rId5" w:fontKey="{E352A270-B392-4DD2-8C8B-D2DD76DF7A38}"/>
  </w:font>
  <w:font w:name="楷体_GB2312">
    <w:panose1 w:val="02010609030101010101"/>
    <w:charset w:val="86"/>
    <w:family w:val="modern"/>
    <w:pitch w:val="default"/>
    <w:sig w:usb0="00000001" w:usb1="080E0000" w:usb2="00000000" w:usb3="00000000" w:csb0="00040000" w:csb1="00000000"/>
    <w:embedRegular r:id="rId6" w:fontKey="{A1FAC273-39D4-4DD0-BF9A-A3966CE6C926}"/>
  </w:font>
  <w:font w:name="仿宋_GB2312">
    <w:panose1 w:val="02010609030101010101"/>
    <w:charset w:val="86"/>
    <w:family w:val="modern"/>
    <w:pitch w:val="default"/>
    <w:sig w:usb0="00000001" w:usb1="080E0000" w:usb2="00000000" w:usb3="00000000" w:csb0="00040000" w:csb1="00000000"/>
    <w:embedRegular r:id="rId7" w:fontKey="{FBFFE8BB-C5EB-401A-9D4E-CA9E9912BCF1}"/>
  </w:font>
  <w:font w:name="ArialUnicodeMS">
    <w:altName w:val="Malgun Gothic"/>
    <w:panose1 w:val="00000000000000000000"/>
    <w:charset w:val="81"/>
    <w:family w:val="auto"/>
    <w:pitch w:val="default"/>
    <w:sig w:usb0="00000000" w:usb1="00000000" w:usb2="00000010" w:usb3="00000000" w:csb0="00080001" w:csb1="00000000"/>
    <w:embedRegular r:id="rId8" w:fontKey="{DF8E5616-668E-4899-B9A9-306BA1E64697}"/>
  </w:font>
  <w:font w:name="仿宋">
    <w:panose1 w:val="02010609060101010101"/>
    <w:charset w:val="86"/>
    <w:family w:val="modern"/>
    <w:pitch w:val="default"/>
    <w:sig w:usb0="800002BF" w:usb1="38CF7CFA" w:usb2="00000016" w:usb3="00000000" w:csb0="00040001" w:csb1="00000000"/>
    <w:embedRegular r:id="rId9" w:fontKey="{7AE8657B-ECA1-416A-9C23-B5E6FB04F499}"/>
  </w:font>
  <w:font w:name="MS-UIGothic,Bold">
    <w:altName w:val="Malgun Gothic"/>
    <w:panose1 w:val="00000000000000000000"/>
    <w:charset w:val="81"/>
    <w:family w:val="auto"/>
    <w:pitch w:val="default"/>
    <w:sig w:usb0="00000000" w:usb1="00000000" w:usb2="00000010" w:usb3="00000000" w:csb0="00080000" w:csb1="00000000"/>
    <w:embedRegular r:id="rId10" w:fontKey="{CC8D686E-A2D9-4B8C-BB6E-4A8996009461}"/>
  </w:font>
  <w:font w:name="DengXian-Regular">
    <w:altName w:val="宋体"/>
    <w:panose1 w:val="00000000000000000000"/>
    <w:charset w:val="86"/>
    <w:family w:val="auto"/>
    <w:pitch w:val="default"/>
    <w:sig w:usb0="00000000" w:usb1="00000000" w:usb2="00000010" w:usb3="00000000" w:csb0="00040001" w:csb1="00000000"/>
    <w:embedRegular r:id="rId11" w:fontKey="{D7F070C4-366A-4AAC-B77C-8C26E1C902E1}"/>
  </w:font>
  <w:font w:name="DengXian-Bold">
    <w:altName w:val="宋体"/>
    <w:panose1 w:val="00000000000000000000"/>
    <w:charset w:val="86"/>
    <w:family w:val="auto"/>
    <w:pitch w:val="default"/>
    <w:sig w:usb0="00000000" w:usb1="00000000" w:usb2="00000010" w:usb3="00000000" w:csb0="00040001" w:csb1="00000000"/>
    <w:embedRegular r:id="rId12" w:fontKey="{B6B55A7F-8A15-4519-A9E3-31A28703A148}"/>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AD585E2"/>
    <w:multiLevelType w:val="singleLevel"/>
    <w:tmpl w:val="0AD585E2"/>
    <w:lvl w:ilvl="0" w:tentative="0">
      <w:start w:val="2"/>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6A183A41"/>
    <w:multiLevelType w:val="singleLevel"/>
    <w:tmpl w:val="6A183A41"/>
    <w:lvl w:ilvl="0" w:tentative="0">
      <w:start w:val="1"/>
      <w:numFmt w:val="chineseCounting"/>
      <w:suff w:val="nothing"/>
      <w:lvlText w:val="（%1）"/>
      <w:lvlJc w:val="left"/>
      <w:pPr>
        <w:ind w:left="0" w:firstLine="420"/>
      </w:pPr>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JmOGE4NzA1NzUxZGVhMWVmNGI3YTQxZmNkYzE1NWEifQ=="/>
  </w:docVars>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C32BA"/>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E5500"/>
    <w:rsid w:val="007F055B"/>
    <w:rsid w:val="0080644C"/>
    <w:rsid w:val="00811C2F"/>
    <w:rsid w:val="00833D46"/>
    <w:rsid w:val="00840A97"/>
    <w:rsid w:val="008C0149"/>
    <w:rsid w:val="008D5DED"/>
    <w:rsid w:val="008E25CA"/>
    <w:rsid w:val="008F34FC"/>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56722"/>
    <w:rsid w:val="00B74D39"/>
    <w:rsid w:val="00B91DA4"/>
    <w:rsid w:val="00C12630"/>
    <w:rsid w:val="00C34562"/>
    <w:rsid w:val="00C3774E"/>
    <w:rsid w:val="00C57456"/>
    <w:rsid w:val="00C65387"/>
    <w:rsid w:val="00C87FAB"/>
    <w:rsid w:val="00C91FF7"/>
    <w:rsid w:val="00C94E53"/>
    <w:rsid w:val="00D0048E"/>
    <w:rsid w:val="00D23E7A"/>
    <w:rsid w:val="00D61063"/>
    <w:rsid w:val="00DB35AF"/>
    <w:rsid w:val="00DD72D7"/>
    <w:rsid w:val="00DF5B88"/>
    <w:rsid w:val="00E0589E"/>
    <w:rsid w:val="00E241FA"/>
    <w:rsid w:val="00E2595E"/>
    <w:rsid w:val="00E35374"/>
    <w:rsid w:val="00E50C19"/>
    <w:rsid w:val="00E64655"/>
    <w:rsid w:val="00E73081"/>
    <w:rsid w:val="00E856C9"/>
    <w:rsid w:val="00EB6A8B"/>
    <w:rsid w:val="00EF38C6"/>
    <w:rsid w:val="00F679C7"/>
    <w:rsid w:val="00F7711A"/>
    <w:rsid w:val="00FA0D58"/>
    <w:rsid w:val="00FA56F4"/>
    <w:rsid w:val="00FB4EDA"/>
    <w:rsid w:val="00FD3BD5"/>
    <w:rsid w:val="00FE3DC8"/>
    <w:rsid w:val="0284747F"/>
    <w:rsid w:val="04073F84"/>
    <w:rsid w:val="08070F96"/>
    <w:rsid w:val="0934521E"/>
    <w:rsid w:val="09930C3C"/>
    <w:rsid w:val="0B3F3340"/>
    <w:rsid w:val="0B60750A"/>
    <w:rsid w:val="0B6B43F7"/>
    <w:rsid w:val="0C3007BC"/>
    <w:rsid w:val="0DDC31A6"/>
    <w:rsid w:val="0E291B56"/>
    <w:rsid w:val="0E8B6B24"/>
    <w:rsid w:val="0FD96147"/>
    <w:rsid w:val="0FE4045A"/>
    <w:rsid w:val="10686488"/>
    <w:rsid w:val="10DF728A"/>
    <w:rsid w:val="11996364"/>
    <w:rsid w:val="1264200E"/>
    <w:rsid w:val="126C3D49"/>
    <w:rsid w:val="141C5B77"/>
    <w:rsid w:val="14290779"/>
    <w:rsid w:val="15A84686"/>
    <w:rsid w:val="15DF3B0D"/>
    <w:rsid w:val="160F39B2"/>
    <w:rsid w:val="16BE5191"/>
    <w:rsid w:val="17025C2F"/>
    <w:rsid w:val="17062B55"/>
    <w:rsid w:val="17963586"/>
    <w:rsid w:val="18D8339D"/>
    <w:rsid w:val="19A439FF"/>
    <w:rsid w:val="19CA1433"/>
    <w:rsid w:val="1A0C3D23"/>
    <w:rsid w:val="1A21388F"/>
    <w:rsid w:val="1A570D2F"/>
    <w:rsid w:val="1A7338FC"/>
    <w:rsid w:val="1A9046A6"/>
    <w:rsid w:val="1B27745D"/>
    <w:rsid w:val="1B2E5E57"/>
    <w:rsid w:val="1BB26F47"/>
    <w:rsid w:val="1F36690F"/>
    <w:rsid w:val="1FE9705C"/>
    <w:rsid w:val="21892373"/>
    <w:rsid w:val="223405E2"/>
    <w:rsid w:val="2245208F"/>
    <w:rsid w:val="234E02E0"/>
    <w:rsid w:val="23B17FA7"/>
    <w:rsid w:val="23C0569B"/>
    <w:rsid w:val="23EC7D40"/>
    <w:rsid w:val="2465557A"/>
    <w:rsid w:val="254D47D4"/>
    <w:rsid w:val="25970F08"/>
    <w:rsid w:val="25A15BBA"/>
    <w:rsid w:val="25C1246A"/>
    <w:rsid w:val="26F6286C"/>
    <w:rsid w:val="26FE465D"/>
    <w:rsid w:val="270237A8"/>
    <w:rsid w:val="2859699A"/>
    <w:rsid w:val="28A92B0D"/>
    <w:rsid w:val="28FB0B8D"/>
    <w:rsid w:val="29D54D54"/>
    <w:rsid w:val="2A1701ED"/>
    <w:rsid w:val="2A1B0B9F"/>
    <w:rsid w:val="2A9870FC"/>
    <w:rsid w:val="2AE97FF1"/>
    <w:rsid w:val="2C0A58FD"/>
    <w:rsid w:val="2C686E3F"/>
    <w:rsid w:val="2D2B7942"/>
    <w:rsid w:val="2D3F51FE"/>
    <w:rsid w:val="2D46481D"/>
    <w:rsid w:val="2E733B28"/>
    <w:rsid w:val="2F32742E"/>
    <w:rsid w:val="2F770328"/>
    <w:rsid w:val="302621BB"/>
    <w:rsid w:val="31852B5A"/>
    <w:rsid w:val="31DC7F28"/>
    <w:rsid w:val="32D01238"/>
    <w:rsid w:val="32D0733F"/>
    <w:rsid w:val="33791F4E"/>
    <w:rsid w:val="338A1E0C"/>
    <w:rsid w:val="339227EB"/>
    <w:rsid w:val="33E46523"/>
    <w:rsid w:val="34CC393C"/>
    <w:rsid w:val="35165799"/>
    <w:rsid w:val="352F369D"/>
    <w:rsid w:val="35E919E7"/>
    <w:rsid w:val="366E0984"/>
    <w:rsid w:val="366E389D"/>
    <w:rsid w:val="369C7822"/>
    <w:rsid w:val="37B71870"/>
    <w:rsid w:val="38DE3EC9"/>
    <w:rsid w:val="3B263A19"/>
    <w:rsid w:val="3B490A2B"/>
    <w:rsid w:val="3B960BE2"/>
    <w:rsid w:val="3CD30879"/>
    <w:rsid w:val="3DDB7DEF"/>
    <w:rsid w:val="3DFC59A8"/>
    <w:rsid w:val="3E7857F3"/>
    <w:rsid w:val="3ECF245E"/>
    <w:rsid w:val="3F113DE4"/>
    <w:rsid w:val="3F5409FB"/>
    <w:rsid w:val="3FB96314"/>
    <w:rsid w:val="3FDC721E"/>
    <w:rsid w:val="3FEE02AA"/>
    <w:rsid w:val="41BD5672"/>
    <w:rsid w:val="42EB52F6"/>
    <w:rsid w:val="43973A82"/>
    <w:rsid w:val="440B2050"/>
    <w:rsid w:val="454C53D1"/>
    <w:rsid w:val="46CE6EFE"/>
    <w:rsid w:val="46F4239B"/>
    <w:rsid w:val="47374D4E"/>
    <w:rsid w:val="47461EB5"/>
    <w:rsid w:val="493D3C3D"/>
    <w:rsid w:val="496B5760"/>
    <w:rsid w:val="498D2CA0"/>
    <w:rsid w:val="49FE5303"/>
    <w:rsid w:val="4C325106"/>
    <w:rsid w:val="4C5946FD"/>
    <w:rsid w:val="4D441D1D"/>
    <w:rsid w:val="4E0754F6"/>
    <w:rsid w:val="4F160462"/>
    <w:rsid w:val="4FF208CF"/>
    <w:rsid w:val="51974093"/>
    <w:rsid w:val="51A4118B"/>
    <w:rsid w:val="51E44CB5"/>
    <w:rsid w:val="523C2D99"/>
    <w:rsid w:val="53A44FAF"/>
    <w:rsid w:val="53A71F88"/>
    <w:rsid w:val="543C1998"/>
    <w:rsid w:val="545070F7"/>
    <w:rsid w:val="547F578C"/>
    <w:rsid w:val="553C1436"/>
    <w:rsid w:val="568D18A0"/>
    <w:rsid w:val="57027B7A"/>
    <w:rsid w:val="58105A4E"/>
    <w:rsid w:val="58124F27"/>
    <w:rsid w:val="594329EC"/>
    <w:rsid w:val="5B465B7D"/>
    <w:rsid w:val="5B656DC2"/>
    <w:rsid w:val="5BEE1540"/>
    <w:rsid w:val="5C0D1BA5"/>
    <w:rsid w:val="5C28039A"/>
    <w:rsid w:val="5CF74AB1"/>
    <w:rsid w:val="5D8657F7"/>
    <w:rsid w:val="5DDE65CD"/>
    <w:rsid w:val="5DE61A5D"/>
    <w:rsid w:val="5DF27AF4"/>
    <w:rsid w:val="5ED570E5"/>
    <w:rsid w:val="5F6274EC"/>
    <w:rsid w:val="5F6579A4"/>
    <w:rsid w:val="60F42D6B"/>
    <w:rsid w:val="62B130B5"/>
    <w:rsid w:val="62B74372"/>
    <w:rsid w:val="62D21521"/>
    <w:rsid w:val="63C04243"/>
    <w:rsid w:val="63C23DAA"/>
    <w:rsid w:val="63C91826"/>
    <w:rsid w:val="63CF2CAB"/>
    <w:rsid w:val="644D45AF"/>
    <w:rsid w:val="649C01C7"/>
    <w:rsid w:val="668931F0"/>
    <w:rsid w:val="66AA1A8C"/>
    <w:rsid w:val="66DC34A2"/>
    <w:rsid w:val="67141DB6"/>
    <w:rsid w:val="673C100E"/>
    <w:rsid w:val="67F43758"/>
    <w:rsid w:val="696D3017"/>
    <w:rsid w:val="699A3F60"/>
    <w:rsid w:val="6A234385"/>
    <w:rsid w:val="6A965C80"/>
    <w:rsid w:val="6B1A789C"/>
    <w:rsid w:val="6C267113"/>
    <w:rsid w:val="6C7E5716"/>
    <w:rsid w:val="6D3C2FC8"/>
    <w:rsid w:val="6E174634"/>
    <w:rsid w:val="6F8603F6"/>
    <w:rsid w:val="712A7B36"/>
    <w:rsid w:val="718912B9"/>
    <w:rsid w:val="71C76794"/>
    <w:rsid w:val="72902E62"/>
    <w:rsid w:val="72921857"/>
    <w:rsid w:val="738A769F"/>
    <w:rsid w:val="73C61104"/>
    <w:rsid w:val="74B756A7"/>
    <w:rsid w:val="758348CC"/>
    <w:rsid w:val="776452EA"/>
    <w:rsid w:val="7897747D"/>
    <w:rsid w:val="78DD0B8C"/>
    <w:rsid w:val="79650E3B"/>
    <w:rsid w:val="7A8566B4"/>
    <w:rsid w:val="7A8E50E0"/>
    <w:rsid w:val="7CA15E29"/>
    <w:rsid w:val="7CB8224F"/>
    <w:rsid w:val="7D856DE1"/>
    <w:rsid w:val="7DC663B9"/>
    <w:rsid w:val="7E476838"/>
    <w:rsid w:val="7ECF3F05"/>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3.jpeg"/><Relationship Id="rId12" Type="http://schemas.openxmlformats.org/officeDocument/2006/relationships/chart" Target="charts/chart5.xml"/><Relationship Id="rId11" Type="http://schemas.openxmlformats.org/officeDocument/2006/relationships/chart" Target="charts/chart4.xml"/><Relationship Id="rId10" Type="http://schemas.openxmlformats.org/officeDocument/2006/relationships/chart" Target="charts/chart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D:\&#39044;&#31639;&#12289;&#20915;&#31639;\2019\&#20915;&#31639;\2018&#20915;&#31639;&#25209;&#22797;\&#20844;&#24320;\&#24037;&#20316;&#31807;1.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D:\&#39044;&#31639;&#12289;&#20915;&#31639;\2019\&#20915;&#31639;\2018&#20915;&#31639;&#25209;&#22797;\&#20844;&#24320;\&#24037;&#20316;&#31807;1.xlsx"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D:\&#39044;&#31639;&#12289;&#20915;&#31639;\2019\&#20915;&#31639;\2018&#20915;&#31639;&#25209;&#22797;\&#20844;&#24320;\&#24037;&#20316;&#31807;1.xlsx"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D:\&#39044;&#31639;&#12289;&#20915;&#31639;\2019\&#20915;&#31639;\2018&#20915;&#31639;&#25209;&#22797;\&#20844;&#24320;\&#24037;&#20316;&#31807;1.xlsx"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D:\&#39044;&#31639;&#12289;&#20915;&#31639;\2019\&#20915;&#31639;\2018&#20915;&#31639;&#25209;&#22797;\&#20844;&#24320;\&#24037;&#20316;&#31807;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6">
                  <a:tint val="100000"/>
                  <a:shade val="100000"/>
                  <a:hueMod val="100000"/>
                  <a:satMod val="100000"/>
                </a:schemeClr>
              </a:solidFill>
              <a:ln w="19050">
                <a:solidFill>
                  <a:schemeClr val="lt1"/>
                </a:solidFill>
              </a:ln>
              <a:effectLst/>
            </c:spPr>
          </c:dPt>
          <c:dPt>
            <c:idx val="1"/>
            <c:bubble3D val="0"/>
            <c:spPr>
              <a:solidFill>
                <a:schemeClr val="accent5">
                  <a:tint val="100000"/>
                  <a:shade val="100000"/>
                  <a:hueMod val="100000"/>
                  <a:satMod val="100000"/>
                </a:schemeClr>
              </a:solidFill>
              <a:ln w="19050">
                <a:solidFill>
                  <a:schemeClr val="lt1"/>
                </a:solidFill>
              </a:ln>
              <a:effectLst/>
            </c:spPr>
          </c:dPt>
          <c:dLbls>
            <c:numFmt formatCode="0.00%"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[工作簿1.xlsx]Sheet1!$K$14:$K$15</c:f>
              <c:strCache>
                <c:ptCount val="2"/>
                <c:pt idx="0">
                  <c:v>财政拨款收入</c:v>
                </c:pt>
                <c:pt idx="1">
                  <c:v>其他收入</c:v>
                </c:pt>
              </c:strCache>
            </c:strRef>
          </c:cat>
          <c:val>
            <c:numRef>
              <c:f>[工作簿1.xlsx]Sheet1!$L$14:$L$15</c:f>
              <c:numCache>
                <c:formatCode>General</c:formatCode>
                <c:ptCount val="2"/>
                <c:pt idx="0">
                  <c:v>41387.99</c:v>
                </c:pt>
                <c:pt idx="1">
                  <c:v>811.95</c:v>
                </c:pt>
              </c:numCache>
            </c:numRef>
          </c:val>
        </c:ser>
        <c:dLbls>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numFmt formatCode="0.00%"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[工作簿1.xlsx]Sheet1!$A$1:$A$2</c:f>
              <c:strCache>
                <c:ptCount val="2"/>
                <c:pt idx="0">
                  <c:v>基本支出</c:v>
                </c:pt>
                <c:pt idx="1">
                  <c:v>项目支出</c:v>
                </c:pt>
              </c:strCache>
            </c:strRef>
          </c:cat>
          <c:val>
            <c:numRef>
              <c:f>[工作簿1.xlsx]Sheet1!$B$1:$B$2</c:f>
              <c:numCache>
                <c:formatCode>General</c:formatCode>
                <c:ptCount val="2"/>
                <c:pt idx="0">
                  <c:v>3023.35</c:v>
                </c:pt>
                <c:pt idx="1">
                  <c:v>46529.86</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1086997989584"/>
          <c:y val="0.195784664727381"/>
          <c:w val="0.894638888888889"/>
          <c:h val="0.711666666666667"/>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[工作簿1.xlsx]Sheet1!$A$16:$A$20</c:f>
              <c:strCache>
                <c:ptCount val="5"/>
                <c:pt idx="0">
                  <c:v>2018年度收入</c:v>
                </c:pt>
                <c:pt idx="1">
                  <c:v>2017年度收入</c:v>
                </c:pt>
                <c:pt idx="3">
                  <c:v>2018年度支出</c:v>
                </c:pt>
                <c:pt idx="4">
                  <c:v>2017年度支出</c:v>
                </c:pt>
              </c:strCache>
            </c:strRef>
          </c:cat>
          <c:val>
            <c:numRef>
              <c:f>[工作簿1.xlsx]Sheet1!$B$16:$B$20</c:f>
              <c:numCache>
                <c:formatCode>General</c:formatCode>
                <c:ptCount val="5"/>
                <c:pt idx="0">
                  <c:v>41387.99</c:v>
                </c:pt>
                <c:pt idx="1">
                  <c:v>56455.09</c:v>
                </c:pt>
                <c:pt idx="3">
                  <c:v>48756.57</c:v>
                </c:pt>
                <c:pt idx="4">
                  <c:v>34960.9</c:v>
                </c:pt>
              </c:numCache>
            </c:numRef>
          </c:val>
        </c:ser>
        <c:dLbls>
          <c:showLegendKey val="0"/>
          <c:showVal val="1"/>
          <c:showCatName val="0"/>
          <c:showSerName val="0"/>
          <c:showPercent val="0"/>
          <c:showBubbleSize val="0"/>
        </c:dLbls>
        <c:gapWidth val="61"/>
        <c:overlap val="-27"/>
        <c:axId val="813577556"/>
        <c:axId val="176056576"/>
      </c:barChart>
      <c:catAx>
        <c:axId val="81357755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76056576"/>
        <c:crosses val="autoZero"/>
        <c:auto val="1"/>
        <c:lblAlgn val="ctr"/>
        <c:lblOffset val="100"/>
        <c:noMultiLvlLbl val="0"/>
      </c:catAx>
      <c:valAx>
        <c:axId val="176056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35775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9087301587302"/>
          <c:y val="0.063657407407407"/>
          <c:w val="0.894638888888889"/>
          <c:h val="0.837592592592593"/>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[工作簿1.20190924110646619.xlsx]Sheet1!$A$28:$A$32</c:f>
              <c:strCache>
                <c:ptCount val="5"/>
                <c:pt idx="0">
                  <c:v>收入预算数</c:v>
                </c:pt>
                <c:pt idx="1">
                  <c:v>收入决算数</c:v>
                </c:pt>
                <c:pt idx="3">
                  <c:v>支出预算数</c:v>
                </c:pt>
                <c:pt idx="4">
                  <c:v>支出决算数</c:v>
                </c:pt>
              </c:strCache>
            </c:strRef>
          </c:cat>
          <c:val>
            <c:numRef>
              <c:f>[工作簿1.xlsx]Sheet1!$B$28:$B$32</c:f>
              <c:numCache>
                <c:formatCode>General</c:formatCode>
                <c:ptCount val="5"/>
                <c:pt idx="0">
                  <c:v>20552.28</c:v>
                </c:pt>
                <c:pt idx="1">
                  <c:v>41387.99</c:v>
                </c:pt>
                <c:pt idx="3">
                  <c:v>20552.28</c:v>
                </c:pt>
                <c:pt idx="4">
                  <c:v>49553.21</c:v>
                </c:pt>
              </c:numCache>
            </c:numRef>
          </c:val>
        </c:ser>
        <c:dLbls>
          <c:showLegendKey val="0"/>
          <c:showVal val="1"/>
          <c:showCatName val="0"/>
          <c:showSerName val="0"/>
          <c:showPercent val="0"/>
          <c:showBubbleSize val="0"/>
        </c:dLbls>
        <c:gapWidth val="66"/>
        <c:overlap val="-27"/>
        <c:axId val="560575340"/>
        <c:axId val="569223886"/>
      </c:barChart>
      <c:catAx>
        <c:axId val="56057534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69223886"/>
        <c:crosses val="autoZero"/>
        <c:auto val="1"/>
        <c:lblAlgn val="ctr"/>
        <c:lblOffset val="100"/>
        <c:noMultiLvlLbl val="0"/>
      </c:catAx>
      <c:valAx>
        <c:axId val="56922388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605753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Pt>
            <c:idx val="4"/>
            <c:bubble3D val="0"/>
            <c:spPr>
              <a:solidFill>
                <a:schemeClr val="accent5"/>
              </a:solidFill>
              <a:ln>
                <a:noFill/>
              </a:ln>
              <a:effectLst>
                <a:outerShdw blurRad="254000" sx="102000" sy="102000" algn="ctr" rotWithShape="0">
                  <a:prstClr val="black">
                    <a:alpha val="20000"/>
                  </a:prstClr>
                </a:outerShdw>
              </a:effectLst>
            </c:spPr>
          </c:dPt>
          <c:dPt>
            <c:idx val="5"/>
            <c:bubble3D val="0"/>
            <c:spPr>
              <a:solidFill>
                <a:schemeClr val="accent6"/>
              </a:solidFill>
              <a:ln>
                <a:noFill/>
              </a:ln>
              <a:effectLst>
                <a:outerShdw blurRad="254000" sx="102000" sy="102000" algn="ctr" rotWithShape="0">
                  <a:prstClr val="black">
                    <a:alpha val="20000"/>
                  </a:prstClr>
                </a:outerShdw>
              </a:effectLst>
            </c:spPr>
          </c:dPt>
          <c:dLbls>
            <c:numFmt formatCode="0.00%" sourceLinked="0"/>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[工作簿1.xlsx]Sheet1!$K$5:$K$10</c:f>
              <c:strCache>
                <c:ptCount val="6"/>
                <c:pt idx="0">
                  <c:v>社会保障和就业（类）</c:v>
                </c:pt>
                <c:pt idx="1">
                  <c:v>医疗卫生与计划生育</c:v>
                </c:pt>
                <c:pt idx="2">
                  <c:v>城乡社区</c:v>
                </c:pt>
                <c:pt idx="3">
                  <c:v>住房保障（类）</c:v>
                </c:pt>
                <c:pt idx="4">
                  <c:v>一般公共服务（类）</c:v>
                </c:pt>
                <c:pt idx="5">
                  <c:v>节能环保</c:v>
                </c:pt>
              </c:strCache>
            </c:strRef>
          </c:cat>
          <c:val>
            <c:numRef>
              <c:f>[工作簿1.xlsx]Sheet1!$L$5:$L$10</c:f>
              <c:numCache>
                <c:formatCode>General</c:formatCode>
                <c:ptCount val="6"/>
                <c:pt idx="0">
                  <c:v>280.22</c:v>
                </c:pt>
                <c:pt idx="1">
                  <c:v>139.04</c:v>
                </c:pt>
                <c:pt idx="2">
                  <c:v>14780.88</c:v>
                </c:pt>
                <c:pt idx="3">
                  <c:v>1524.56</c:v>
                </c:pt>
                <c:pt idx="4">
                  <c:v>6.26</c:v>
                </c:pt>
                <c:pt idx="5">
                  <c:v>31995.6</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no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A65E7BDE-DE8D-4B1F-9303-30D3BA4219C7}">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39</Pages>
  <Words>10195</Words>
  <Characters>13914</Characters>
  <Lines>80</Lines>
  <Paragraphs>22</Paragraphs>
  <TotalTime>1</TotalTime>
  <ScaleCrop>false</ScaleCrop>
  <LinksUpToDate>false</LinksUpToDate>
  <CharactersWithSpaces>14154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2019-08-02T01:01:00Z</cp:lastPrinted>
  <dcterms:modified xsi:type="dcterms:W3CDTF">2023-07-25T06:44:37Z</dcterms:modified>
  <dc:subject>石家庄市xxx部门</dc:subject>
  <dc:title>2017年度部门决算</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153FBFD1657440B486B5415147B8B6B7</vt:lpwstr>
  </property>
</Properties>
</file>