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540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石家庄市鹿泉区教育局2018年度部门决算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月二十四日</w:t>
      </w:r>
    </w:p>
    <w:p>
      <w:pPr>
        <w:spacing w:beforeLines="200" w:after="0" w:line="1000" w:lineRule="exact"/>
        <w:jc w:val="center"/>
        <w:rPr>
          <w:rFonts w:ascii="黑体" w:eastAsia="黑体"/>
          <w:sz w:val="48"/>
          <w:szCs w:val="48"/>
        </w:rPr>
      </w:pPr>
      <w:r>
        <w:rPr>
          <w:sz w:val="48"/>
          <w:szCs w:val="28"/>
        </w:rPr>
        <w:pict>
          <v:group id="组合 179" o:spid="_x0000_s1123" o:spt="203" style="position:absolute;left:0pt;margin-left:-80.8pt;margin-top:39.95pt;height:46.7pt;width:250.05pt;mso-position-vertical-relative:page;z-index:251677696;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">
            <o:lock v:ext="edit"/>
            <v:rect id="矩形 13" o:spid="_x0000_s1121"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石家庄市鹿泉区教育局</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8"/>
          <w:szCs w:val="28"/>
        </w:rPr>
        <w:pict>
          <v:group id="_x0000_s1126" o:spid="_x0000_s1126" o:spt="203" style="position:absolute;left:0pt;margin-left:-80.8pt;margin-top:39.95pt;height:46.7pt;width:250.05pt;mso-position-vertical-relative:page;z-index:251678720;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">
            <o:lock v:ext="edit"/>
            <v:rect id="矩形 13" o:spid="_x0000_s1124"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5"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4" o:spid="_x0000_s1114"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仿宋_GB2312" w:hAnsi="宋体" w:eastAsia="仿宋_GB2312"/>
          <w:color w:val="000000"/>
          <w:sz w:val="32"/>
          <w:szCs w:val="32"/>
        </w:rPr>
      </w:pPr>
      <w:r>
        <w:rPr>
          <w:rFonts w:hint="eastAsia" w:ascii="黑体" w:eastAsia="黑体" w:cs="黑体" w:hAnsiTheme="minorHAnsi"/>
          <w:b w:val="0"/>
          <w:bCs w:val="0"/>
          <w:kern w:val="0"/>
          <w:sz w:val="32"/>
          <w:szCs w:val="32"/>
        </w:rPr>
        <w:t>一、部门职责</w:t>
      </w:r>
      <w:r>
        <w:rPr>
          <w:b w:val="0"/>
          <w:bCs w:val="0"/>
          <w:sz w:val="32"/>
          <w:szCs w:val="32"/>
        </w:rPr>
        <w:pict>
          <v:group id="组合 15" o:spid="_x0000_s1129" o:spt="203" style="position:absolute;left:0pt;margin-left:-80.8pt;margin-top:39.5pt;height:46.7pt;width:245.25pt;mso-position-vertical-relative:page;z-index:251675648;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gydQQ2wAAAAsBAAAP&#10;AAAAAAAAAAEAIAAAACIAAABkcnMvZG93bnJldi54bWxQSwECFAAUAAAACACHTuJAfH1CZTIDAAD4&#10;CAAADgAAAAAAAAABACAAAAAqAQAAZHJzL2Uyb0RvYy54bWxQSwUGAAAAAAYABgBZAQAAzgYAAAAA&#10;">
            <o:lock v:ext="edit"/>
            <v:rect id="矩形 13" o:spid="_x0000_s1127"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28"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仿宋_GB2312" w:hAnsi="宋体" w:eastAsia="仿宋_GB2312"/>
          <w:color w:val="000000"/>
          <w:sz w:val="32"/>
          <w:szCs w:val="32"/>
        </w:rPr>
        <w:t xml:space="preserve"> </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1、贯彻执行上级有关教育工作的法律、法规、方针和政策，制定具体实施办法和细则。</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2、按照教育发展要求和我区经济社会发展总体规划，制定全区教育事业发展规划、年度计划，并组织实施。</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4、统筹规划、协调指导全区办学体制和学校内部管理体制改革，逐步建立与社会主义市场经济相适应的教育体制与运行机制。</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5、加强教育行政干部队伍建设；积极开展各类继续教育工作；负责管理权限内，教师专业技术职称评聘工作。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6、统筹规划使用教育经费，加强审计，提高教育经费的使用效益，改善全区办学条件。做好校舍建设的规划实施，合理调整农村中小学布局。组织指导教学设备的购置、使用和管理。</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7、指导各级各类学校的德育、智育、体育、美育、劳动教育、艺术教育、国防教育和法制教育工作；指导学校开展教育教学研究；统筹规划、协调指导远程教育和教育信息化工作。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8、负责教师资格认定相关工作。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9、组织全</w:t>
      </w:r>
      <w:r>
        <w:rPr>
          <w:sz w:val="32"/>
          <w:szCs w:val="32"/>
        </w:rPr>
        <w:pict>
          <v:group id="_x0000_s1132" o:spid="_x0000_s1132" o:spt="203" style="position:absolute;left:0pt;margin-left:-80.8pt;margin-top:39.5pt;height:46.7pt;width:245.25pt;mso-position-vertical-relative:page;z-index:25167667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gydQQ2wAAAAsBAAAP&#10;AAAAAAAAAAEAIAAAACIAAABkcnMvZG93bnJldi54bWxQSwECFAAUAAAACACHTuJAfH1CZTIDAAD4&#10;CAAADgAAAAAAAAABACAAAAAqAQAAZHJzL2Uyb0RvYy54bWxQSwUGAAAAAAYABgBZAQAAzgYAAAAA&#10;">
            <o:lock v:ext="edit"/>
            <v:rect id="矩形 13" o:spid="_x0000_s1130"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31"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仿宋_GB2312" w:hAnsi="宋体" w:eastAsia="仿宋_GB2312"/>
          <w:color w:val="000000"/>
          <w:sz w:val="32"/>
          <w:szCs w:val="32"/>
        </w:rPr>
        <w:t>区各级各类学校的招生报名、考试和自考、成考工作。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10、负责全区教育系统安全和维护稳定工作；会同有关部门开展学校安全、学校及周边环境治理、预防青少年犯罪工作；指导、协调教育系统重大安全事故的处理。</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11、加强对社会力量办学指导和监督。负责个人或其他组织举办的中等以下（中专类除外）学校的审批和中等学校的报审工作。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12、承办区政府交办的其他工作。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27个，具体情况如下：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135"/>
        <w:gridCol w:w="2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3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97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鹿泉区教育局（本级）</w:t>
            </w:r>
          </w:p>
        </w:tc>
        <w:tc>
          <w:tcPr>
            <w:tcW w:w="213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行政单位</w:t>
            </w:r>
          </w:p>
        </w:tc>
        <w:tc>
          <w:tcPr>
            <w:tcW w:w="2975" w:type="dxa"/>
          </w:tcPr>
          <w:p>
            <w:pPr>
              <w:rPr>
                <w:rFonts w:ascii="仿宋_GB2312" w:eastAsia="仿宋_GB2312" w:cs="ArialUnicodeMS" w:hAnsiTheme="minorHAnsi"/>
                <w:kern w:val="0"/>
                <w:sz w:val="28"/>
                <w:szCs w:val="28"/>
              </w:rPr>
            </w:pPr>
            <w:r>
              <w:rPr>
                <w:rFonts w:hint="eastAsia" w:ascii="仿宋_GB2312" w:hAnsi="宋体" w:eastAsia="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鹿泉区第一中学</w:t>
            </w:r>
          </w:p>
        </w:tc>
        <w:tc>
          <w:tcPr>
            <w:tcW w:w="2135" w:type="dxa"/>
          </w:tcPr>
          <w:p>
            <w:pPr>
              <w:rPr>
                <w:rFonts w:ascii="仿宋_GB2312" w:eastAsia="仿宋_GB2312" w:cs="ArialUnicodeMS" w:hAnsiTheme="minorHAnsi"/>
                <w:kern w:val="0"/>
                <w:sz w:val="21"/>
                <w:szCs w:val="21"/>
              </w:rPr>
            </w:pPr>
            <w:r>
              <w:rPr>
                <w:rFonts w:hint="eastAsia" w:ascii="仿宋_GB2312" w:hAnsi="宋体" w:eastAsia="仿宋_GB2312"/>
                <w:kern w:val="0"/>
                <w:sz w:val="21"/>
                <w:szCs w:val="21"/>
              </w:rPr>
              <w:t>财政补助事业单位</w:t>
            </w:r>
          </w:p>
        </w:tc>
        <w:tc>
          <w:tcPr>
            <w:tcW w:w="2975" w:type="dxa"/>
          </w:tcPr>
          <w:p>
            <w:pPr>
              <w:rPr>
                <w:rFonts w:ascii="仿宋_GB2312" w:eastAsia="仿宋_GB2312" w:cs="ArialUnicodeMS" w:hAnsiTheme="minorHAnsi"/>
                <w:kern w:val="0"/>
                <w:sz w:val="21"/>
                <w:szCs w:val="21"/>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鹿泉区第二中学</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鹿泉区第三中学</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5</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鹿泉区实验高级中学（职业中专）</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6</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鹿泉区职教中心</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7</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鹿泉区第一幼儿园</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8</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鹿泉区幼儿园</w:t>
            </w:r>
            <w:r>
              <w:rPr>
                <w:sz w:val="32"/>
                <w:szCs w:val="32"/>
              </w:rPr>
              <w:pict>
                <v:group id="_x0000_s1136" o:spid="_x0000_s1136" o:spt="203" style="position:absolute;left:0pt;margin-left:-114.2pt;margin-top:-295.1pt;height:46.7pt;width:245.25pt;mso-position-vertical-relative:page;z-index:25168179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gydQQ2wAAAAsBAAAP&#10;AAAAAAAAAAEAIAAAACIAAABkcnMvZG93bnJldi54bWxQSwECFAAUAAAACACHTuJAfH1CZTIDAAD4&#10;CAAADgAAAAAAAAABACAAAAAqAQAAZHJzL2Uyb0RvYy54bWxQSwUGAAAAAAYABgBZAQAAzgYAAAAA&#10;">
                  <o:lock v:ext="edit"/>
                  <v:rect id="矩形 13" o:spid="_x0000_s1137"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38"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9</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鹿泉区育才小学</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10</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鹿泉区实践中心</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11</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鹿泉区实验初级中学</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12</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鹿泉区教师进修学校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13</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鹿泉区青少年校外活动中心</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14</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鹿泉区特教学校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15</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鹿泉区白鹿泉中心校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16</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鹿泉区石井中心校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17</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鹿泉区获鹿中心校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18</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鹿泉经济开发区中心校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19</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鹿泉区大河中心校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20</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鹿泉区上</w:t>
            </w:r>
            <w:r>
              <w:rPr>
                <w:sz w:val="32"/>
                <w:szCs w:val="32"/>
              </w:rPr>
              <w:pict>
                <v:group id="_x0000_s1139" o:spid="_x0000_s1139" o:spt="203" style="position:absolute;left:0pt;margin-left:-114.2pt;margin-top:-184.5pt;height:46.7pt;width:245.25pt;mso-position-vertical-relative:page;z-index:25168281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gydQQ2wAAAAsBAAAP&#10;AAAAAAAAAAEAIAAAACIAAABkcnMvZG93bnJldi54bWxQSwECFAAUAAAACACHTuJAfH1CZTIDAAD4&#10;CAAADgAAAAAAAAABACAAAAAqAQAAZHJzL2Uyb0RvYy54bWxQSwUGAAAAAAYABgBZAQAAzgYAAAAA&#10;">
                  <o:lock v:ext="edit"/>
                  <v:rect id="矩形 13" o:spid="_x0000_s1140"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41"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仿宋_GB2312" w:hAnsi="宋体" w:eastAsia="仿宋_GB2312"/>
                <w:kern w:val="0"/>
                <w:sz w:val="32"/>
                <w:szCs w:val="32"/>
              </w:rPr>
              <w:t>庄中心校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21</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鹿泉区铜冶中心校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22</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鹿泉区上寨中心校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23</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鹿泉区寺家庄中心校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24</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鹿泉区宜安中心校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25</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鹿泉区李村中心校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26</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鹿泉区黄壁庄中心校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27</w:t>
            </w:r>
          </w:p>
        </w:tc>
        <w:tc>
          <w:tcPr>
            <w:tcW w:w="3485" w:type="dxa"/>
          </w:tcPr>
          <w:p>
            <w:pPr>
              <w:rPr>
                <w:rFonts w:ascii="仿宋_GB2312" w:eastAsia="仿宋_GB2312" w:cs="ArialUnicodeMS" w:hAnsiTheme="minorHAnsi"/>
                <w:kern w:val="0"/>
                <w:sz w:val="28"/>
                <w:szCs w:val="28"/>
              </w:rPr>
            </w:pPr>
            <w:r>
              <w:rPr>
                <w:rFonts w:hint="eastAsia" w:ascii="仿宋_GB2312" w:hAnsi="宋体" w:eastAsia="仿宋_GB2312"/>
                <w:kern w:val="0"/>
                <w:sz w:val="32"/>
                <w:szCs w:val="32"/>
              </w:rPr>
              <w:t>鹿泉区山尹村中心校</w:t>
            </w:r>
          </w:p>
        </w:tc>
        <w:tc>
          <w:tcPr>
            <w:tcW w:w="213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财政补助事业单位</w:t>
            </w:r>
          </w:p>
        </w:tc>
        <w:tc>
          <w:tcPr>
            <w:tcW w:w="2975" w:type="dxa"/>
          </w:tcPr>
          <w:p>
            <w:pPr>
              <w:spacing w:after="0" w:line="560" w:lineRule="exact"/>
              <w:jc w:val="center"/>
              <w:rPr>
                <w:rFonts w:ascii="仿宋_GB2312" w:eastAsia="仿宋_GB2312" w:cs="ArialUnicodeMS" w:hAnsiTheme="minorHAnsi"/>
                <w:kern w:val="0"/>
                <w:sz w:val="28"/>
                <w:szCs w:val="28"/>
              </w:rPr>
            </w:pPr>
            <w:r>
              <w:rPr>
                <w:rFonts w:hint="eastAsia" w:ascii="仿宋_GB2312" w:hAnsi="宋体" w:eastAsia="仿宋_GB2312"/>
                <w:kern w:val="0"/>
                <w:sz w:val="21"/>
                <w:szCs w:val="2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0" o:spid="_x0000_s1110" o:spt="202" type="#_x0000_t202" style="position:absolute;left:0pt;margin-left:-74.2pt;margin-top:120.3pt;height:159.1pt;width:596.2pt;z-index:25166643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w:t>
            </w:r>
            <w:r>
              <w:rPr>
                <w:sz w:val="44"/>
              </w:rPr>
              <w:pict>
                <v:group id="组合 10" o:spid="_x0000_s1135" o:spt="203" style="position:absolute;left:0pt;margin-left:-58.25pt;margin-top:-69.1pt;height:41.2pt;width:243.2pt;mso-position-vertical-relative:page;z-index:251679744;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33"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34"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部门：石家庄市鹿泉区教育局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117483.16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749.94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109844.02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153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149.11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70.54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61.11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20.50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118386.10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110145.28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12836.44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21077.26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131222.54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131222.54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532"/>
        <w:gridCol w:w="319"/>
        <w:gridCol w:w="260"/>
        <w:gridCol w:w="508"/>
        <w:gridCol w:w="307"/>
        <w:gridCol w:w="1103"/>
        <w:gridCol w:w="528"/>
        <w:gridCol w:w="815"/>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4"/>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sz w:val="44"/>
              </w:rPr>
              <w:pict>
                <v:group id="_x0000_s1142" o:spid="_x0000_s1142" o:spt="203" style="position:absolute;left:0pt;margin-left:-70.75pt;margin-top:-68.35pt;height:41.2pt;width:243.2pt;mso-position-vertical-relative:page;z-index:251683840;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43"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44"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53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部门：石家庄市鹿泉区教育局</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566"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87"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41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28"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815"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48"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53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87"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41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28"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15"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48"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56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334" w:hRule="atLeast"/>
          <w:jc w:val="center"/>
        </w:trPr>
        <w:tc>
          <w:tcPr>
            <w:tcW w:w="256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118,386.10</w:t>
            </w:r>
          </w:p>
        </w:tc>
        <w:tc>
          <w:tcPr>
            <w:tcW w:w="141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117,483.16</w:t>
            </w:r>
          </w:p>
        </w:tc>
        <w:tc>
          <w:tcPr>
            <w:tcW w:w="52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749.94</w:t>
            </w:r>
          </w:p>
        </w:tc>
        <w:tc>
          <w:tcPr>
            <w:tcW w:w="54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153.00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118,056.13</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117,154.66</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749.94</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151.53</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教育管理事务</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390.91</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362.38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24.90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3.64</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2050101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行政运行</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286.38</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286.38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2050102</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一般行政管理事务</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54.64</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51.00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3.64</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2050199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其他教育管理事务支出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49.90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24.90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普通教育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109,750.34</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109,062.27</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633.04</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55.03</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学前教育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1,473.85</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1,145.95</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327.90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2050202</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小学教育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7,541.50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7,541.50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2050203</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初中教育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659.37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636.79</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22.58</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2050204</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高中教育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1,051.86</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931.86</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120.00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2050299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其他普通教育支出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99,023.77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98,806.18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185.14</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32.45</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20503</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职业教育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1,371.79</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1,331.38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0.41</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2050302</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中专教育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796.38</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756.38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2050303</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技校教育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0.41</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0.41</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2050399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其他职业教育支出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575.00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575.00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20504</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成人教育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45.00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2050499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其他成人教育支出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45.00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45.00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20507</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特殊教育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71.73</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71.73</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2050701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特殊学校教育</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71.73</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71.73</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20508</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进修及培训</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67.49</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52.00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0.49</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2050801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教师进修</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67.49</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15.00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52.00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0.49</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教育费附加安排的支出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6,133.27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6,120.00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13.27</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2050999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其他教育费附加安排的支出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6,133.27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6,120.00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13.27</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225.60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146.90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78.70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2059999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其他教育支出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225.60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146.90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78.70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208</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社会保障和就业支出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169.89</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169.89</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20805</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行政事业单位离退休</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103.88</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103.88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2080505</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机关事业单位基本养老保险缴费支出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103.88</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103.88</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20809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退役安置</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66.01</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66.01</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2080901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退役士兵安置</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66.01</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66.01</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210</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医疗卫生与计划生育支出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21011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行政事业单位医疗</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2101101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行政单位医疗</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77.35</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住房保障支出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22102</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住房改革支出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2210201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住房公积金</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62.26</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20.47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19.00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22960</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彩票公益金及对应专项债务收入安排的支出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19.00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19.00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2296004</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用于教育事业的彩票公益金支出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19.00</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19.00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22999</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w:t>
            </w:r>
          </w:p>
        </w:tc>
      </w:tr>
      <w:tr>
        <w:tblPrEx>
          <w:tblCellMar>
            <w:top w:w="0" w:type="dxa"/>
            <w:left w:w="0" w:type="dxa"/>
            <w:bottom w:w="0" w:type="dxa"/>
            <w:right w:w="0" w:type="dxa"/>
          </w:tblCellMar>
        </w:tblPrEx>
        <w:trPr>
          <w:trHeight w:val="33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2299901</w:t>
            </w:r>
          </w:p>
        </w:tc>
        <w:tc>
          <w:tcPr>
            <w:tcW w:w="15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其他支出</w:t>
            </w:r>
          </w:p>
        </w:tc>
        <w:tc>
          <w:tcPr>
            <w:tcW w:w="108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w:t>
            </w:r>
          </w:p>
        </w:tc>
        <w:tc>
          <w:tcPr>
            <w:tcW w:w="14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0.00</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Cs/>
                <w:color w:val="000000"/>
                <w:sz w:val="18"/>
                <w:szCs w:val="18"/>
              </w:rPr>
            </w:pPr>
            <w:r>
              <w:rPr>
                <w:rFonts w:hint="eastAsia" w:ascii="宋体" w:hAnsi="宋体" w:cs="宋体"/>
                <w:bCs/>
                <w:color w:val="000000"/>
                <w:kern w:val="0"/>
                <w:sz w:val="18"/>
                <w:szCs w:val="18"/>
              </w:rPr>
              <w:t>1.47</w:t>
            </w:r>
          </w:p>
        </w:tc>
      </w:tr>
      <w:tr>
        <w:tblPrEx>
          <w:tblCellMar>
            <w:top w:w="0" w:type="dxa"/>
            <w:left w:w="0" w:type="dxa"/>
            <w:bottom w:w="0" w:type="dxa"/>
            <w:right w:w="0" w:type="dxa"/>
          </w:tblCellMar>
        </w:tblPrEx>
        <w:trPr>
          <w:trHeight w:val="481" w:hRule="atLeast"/>
          <w:jc w:val="center"/>
        </w:trPr>
        <w:tc>
          <w:tcPr>
            <w:tcW w:w="8800" w:type="dxa"/>
            <w:gridSpan w:val="1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506"/>
        <w:gridCol w:w="258"/>
        <w:gridCol w:w="1118"/>
        <w:gridCol w:w="1120"/>
        <w:gridCol w:w="1118"/>
        <w:gridCol w:w="691"/>
        <w:gridCol w:w="429"/>
        <w:gridCol w:w="294"/>
        <w:gridCol w:w="1084"/>
      </w:tblGrid>
      <w:tr>
        <w:tblPrEx>
          <w:tblCellMar>
            <w:top w:w="0" w:type="dxa"/>
            <w:left w:w="0" w:type="dxa"/>
            <w:bottom w:w="0" w:type="dxa"/>
            <w:right w:w="0" w:type="dxa"/>
          </w:tblCellMar>
        </w:tblPrEx>
        <w:trPr>
          <w:trHeight w:val="798" w:hRule="atLeast"/>
        </w:trPr>
        <w:tc>
          <w:tcPr>
            <w:tcW w:w="900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50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w:t>
            </w:r>
            <w:r>
              <w:rPr>
                <w:sz w:val="44"/>
              </w:rPr>
              <w:pict>
                <v:group id="_x0000_s1154" o:spid="_x0000_s1154" o:spt="203" style="position:absolute;left:0pt;margin-left:-68.9pt;margin-top:-129.95pt;height:41.2pt;width:243.2pt;mso-position-vertical-relative:page;z-index:251684864;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55"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5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宋体" w:hAnsi="宋体" w:cs="宋体"/>
                <w:color w:val="000000"/>
                <w:kern w:val="0"/>
                <w:szCs w:val="21"/>
              </w:rPr>
              <w:t>泉区教育局</w:t>
            </w:r>
          </w:p>
        </w:tc>
        <w:tc>
          <w:tcPr>
            <w:tcW w:w="11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88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37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12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18"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9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72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37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20"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8"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91"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2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88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88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110,145.28</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97,182.28</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12,963.00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109,844.02</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96,898.52</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12,945.50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教育管理事务</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363.62</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267.56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96.06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2050101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行政运行</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267.56</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267.56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2050102</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一般行政管理事务</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53.05</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53.05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2050199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其他教育管理事务支出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43.01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43.01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普通教育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101,436.63</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94,861.38</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6,575.25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学前教育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1,453.70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574.70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879.00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2050202</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小学教育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5,290.44</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5,290.44</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2050203</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初中教育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637.38</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612.96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24.43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2050204</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高中教育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3,071.29</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958.49</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2,112.80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2050299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其他普通教育支出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90,983.82</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87,424.80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3,559.02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20503</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职业教育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2,833.24</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1,260.27</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1,572.97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2050302</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中专教育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1,014.73</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1,014.73</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2050303</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技校教育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0.41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0.41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2050304</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职业高中教育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1,060.11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1,060.11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2050399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其他职业教育支出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757.99</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245.13</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512.85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20504</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成人教育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45.00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37.00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2050499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其他成人教育支出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45.00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37.00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20507</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特殊教育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21.66</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21.66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2050701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特殊学校教育</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21.66</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21.66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20508</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进修及培训</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63.39</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63.39</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2050801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教师进修</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63.39</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63.39</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教育费附加安排的支出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4,906.81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215.16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4,691.65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2050999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其他教育费附加安排的支出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4,906.81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215.16</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4,691.65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173.67</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172.10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2059999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其他教育支出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173.67</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172.10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社会保障和就业支出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149.11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149.11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20805</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行政事业单位离退休</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83.10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83.10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2080505</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机关事业单位基本养老保险缴费支出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83.10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83.10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退役安置</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66.01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66.01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2080901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退役士兵安置</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66.01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66.01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210</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医疗卫生与计划生育支出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21011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行政事业单位医疗</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2101101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行政单位医疗</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70.54</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住房保障支出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22102</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住房改革支出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2210201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住房公积金</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61.11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20.50</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17.50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22960</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彩票公益金及对应专项债务收入安排的支出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19.02</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2296004</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用于教育事业的彩票公益金支出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19.02</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16.02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22999</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其他支出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1.47</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2299901</w:t>
            </w:r>
          </w:p>
        </w:tc>
        <w:tc>
          <w:tcPr>
            <w:tcW w:w="15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其他支出</w:t>
            </w:r>
          </w:p>
        </w:tc>
        <w:tc>
          <w:tcPr>
            <w:tcW w:w="13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1.47</w:t>
            </w:r>
          </w:p>
        </w:tc>
        <w:tc>
          <w:tcPr>
            <w:tcW w:w="11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288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c>
          <w:tcPr>
            <w:tcW w:w="1376"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pPr>
          </w:p>
        </w:tc>
        <w:tc>
          <w:tcPr>
            <w:tcW w:w="112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pPr>
          </w:p>
        </w:tc>
        <w:tc>
          <w:tcPr>
            <w:tcW w:w="1118"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1098"/>
        <w:gridCol w:w="1876"/>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w:t>
            </w:r>
            <w:r>
              <w:rPr>
                <w:sz w:val="44"/>
              </w:rPr>
              <w:pict>
                <v:group id="_x0000_s1166" o:spid="_x0000_s1166" o:spt="203" style="position:absolute;left:0pt;margin-left:-68.9pt;margin-top:-68.35pt;height:41.2pt;width:243.2pt;mso-position-vertical-relative:page;z-index:251685888;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67"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68"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117464.16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19.00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108869.69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108869.69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149.11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149.11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70.54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70.54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61.11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61.11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19.02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19.02 </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117483.16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109169.47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109150.45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19.02 </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12686.43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21000.11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21000.11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12686.41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0.02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1098"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20"/>
                <w:szCs w:val="20"/>
              </w:rPr>
              <w:t xml:space="preserve">130169.59 </w:t>
            </w:r>
          </w:p>
        </w:tc>
        <w:tc>
          <w:tcPr>
            <w:tcW w:w="20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130169.59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130150.56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19.02 </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169" o:spid="_x0000_s1169" o:spt="203" style="position:absolute;left:0pt;margin-left:-68.9pt;margin-top:-68.35pt;height:41.2pt;width:243.2pt;mso-position-vertical-relative:page;z-index:25168691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70"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7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部门：石家庄市鹿泉区教育局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109,150.45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96,253.24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color w:val="000000"/>
                <w:kern w:val="0"/>
                <w:sz w:val="22"/>
                <w:szCs w:val="22"/>
              </w:rPr>
              <w:t>12,897.21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108,869.69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95,972.48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12,897.21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教育管理事务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329.16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267.56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267.56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267.56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49.42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49.42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其他教育管理事务支出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12.19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普通教育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100,627.08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94,051.83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6,575.25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学前教育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1,085.64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206.64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879.00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小学教育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5,290.44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5,290.44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初中教育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614.80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590.38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24.43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高中教育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2,906.01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793.21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2,112.80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2050299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其他普通教育支出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90,730.19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87,171.16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3,559.02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职业教育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2,792.83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1,219.87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1,572.97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2050302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中专教育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974.73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974.73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2050304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职业高中教育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1,060.11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1,060.11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2050399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其他职业教育支出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757.99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245.13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512.85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成人教育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37.00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2050499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其他成人教育支出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37.00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特殊教育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21.66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21.66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2050701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特殊学校教育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21.66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21.66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进修及培训</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教师进修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15.00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教育费附加安排的支出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4,893.54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215.16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4,678.38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2050999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其他教育费附加安排的支出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4,893.54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215.16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4,678.38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145.40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144.40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2059999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145.40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144.40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149.11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149.11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83.10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83.10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83.10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83.10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退役安置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66.01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退役士兵安置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66.01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66.01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70.54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61.11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74" w:type="dxa"/>
        <w:jc w:val="center"/>
        <w:tblLayout w:type="fixed"/>
        <w:tblCellMar>
          <w:top w:w="0" w:type="dxa"/>
          <w:left w:w="0" w:type="dxa"/>
          <w:bottom w:w="0" w:type="dxa"/>
          <w:right w:w="0" w:type="dxa"/>
        </w:tblCellMar>
      </w:tblPr>
      <w:tblGrid>
        <w:gridCol w:w="678"/>
        <w:gridCol w:w="1454"/>
        <w:gridCol w:w="830"/>
        <w:gridCol w:w="697"/>
        <w:gridCol w:w="1196"/>
        <w:gridCol w:w="750"/>
        <w:gridCol w:w="697"/>
        <w:gridCol w:w="1742"/>
        <w:gridCol w:w="830"/>
      </w:tblGrid>
      <w:tr>
        <w:tblPrEx>
          <w:tblCellMar>
            <w:top w:w="0" w:type="dxa"/>
            <w:left w:w="0" w:type="dxa"/>
            <w:bottom w:w="0" w:type="dxa"/>
            <w:right w:w="0" w:type="dxa"/>
          </w:tblCellMar>
        </w:tblPrEx>
        <w:trPr>
          <w:trHeight w:val="526" w:hRule="atLeast"/>
          <w:jc w:val="center"/>
        </w:trPr>
        <w:tc>
          <w:tcPr>
            <w:tcW w:w="8874"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67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45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6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9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6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57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485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sz w:val="44"/>
              </w:rPr>
              <w:pict>
                <v:group id="_x0000_s1172" o:spid="_x0000_s1172" o:spt="203" style="position:absolute;left:0pt;margin-left:-61.25pt;margin-top:-116.65pt;height:41.2pt;width:243.2pt;mso-position-vertical-relative:page;z-index:251687936;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73"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74"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6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57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5912"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67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45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6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1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6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4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67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45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6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1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6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4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98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65155.94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商品和服务支出</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15896.89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307</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债务利息及费用支出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20366.57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30201</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办公费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1197.85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30701</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国内债务付息</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4304.09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30202</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印刷费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99.63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30702</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国外债务付息</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14276.63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30203</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咨询费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资本性支出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20"/>
                <w:szCs w:val="20"/>
              </w:rPr>
            </w:pPr>
            <w:r>
              <w:rPr>
                <w:rFonts w:hint="eastAsia" w:asciiTheme="majorEastAsia" w:hAnsiTheme="majorEastAsia" w:eastAsiaTheme="majorEastAsia" w:cstheme="majorEastAsia"/>
                <w:color w:val="000000"/>
                <w:kern w:val="0"/>
                <w:sz w:val="20"/>
                <w:szCs w:val="20"/>
              </w:rPr>
              <w:t xml:space="preserve">3919.86 </w:t>
            </w: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35.35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30204</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手续费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4.29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31001</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房屋建筑物购建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9743.00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30205</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水费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158.70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31002</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办公设备购置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20"/>
                <w:szCs w:val="20"/>
              </w:rPr>
            </w:pPr>
            <w:r>
              <w:rPr>
                <w:rFonts w:hint="eastAsia" w:asciiTheme="majorEastAsia" w:hAnsiTheme="majorEastAsia" w:eastAsiaTheme="majorEastAsia" w:cstheme="majorEastAsia"/>
                <w:color w:val="000000"/>
                <w:kern w:val="0"/>
                <w:sz w:val="20"/>
                <w:szCs w:val="20"/>
              </w:rPr>
              <w:t xml:space="preserve">2082.43 </w:t>
            </w: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4385.70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30206</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电费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926.56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31003</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专用设备购置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20"/>
                <w:szCs w:val="20"/>
              </w:rPr>
            </w:pPr>
            <w:r>
              <w:rPr>
                <w:rFonts w:hint="eastAsia" w:asciiTheme="majorEastAsia" w:hAnsiTheme="majorEastAsia" w:eastAsiaTheme="majorEastAsia" w:cstheme="majorEastAsia"/>
                <w:color w:val="000000"/>
                <w:kern w:val="0"/>
                <w:sz w:val="20"/>
                <w:szCs w:val="20"/>
              </w:rPr>
              <w:t xml:space="preserve">1560.16 </w:t>
            </w: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22.75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30207</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邮电费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4357.18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31005</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基础设施建设</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2319.60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30208</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取暖费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1071.16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31006</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大型修缮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260.65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30209</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物业管理费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898.68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31007</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信息网络及软件购置更新</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20"/>
                <w:szCs w:val="20"/>
              </w:rPr>
            </w:pPr>
            <w:r>
              <w:rPr>
                <w:rFonts w:hint="eastAsia" w:asciiTheme="majorEastAsia" w:hAnsiTheme="majorEastAsia" w:eastAsiaTheme="majorEastAsia" w:cstheme="majorEastAsia"/>
                <w:color w:val="000000"/>
                <w:kern w:val="0"/>
                <w:sz w:val="20"/>
                <w:szCs w:val="20"/>
              </w:rPr>
              <w:t xml:space="preserve">260.96 </w:t>
            </w: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4423.05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30211</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差旅费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411.09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31008</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物资储备</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2458.97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30212</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因公出国（境）费用</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31009</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土地补偿</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200.00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30213</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维修（护）费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2355.10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31010</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安置补助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2359.57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30214</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租赁费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22.02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31011</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地上附着物和青苗补偿</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11280.55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30215</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会议费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31012</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拆迁补偿</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48.48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30216</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培训费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68.63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31013</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公务用车购置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9999.92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30217</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公务接待费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0.40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31019</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其他交通工具购置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9.74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30218</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专用材料费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813.99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31021</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文物和陈列品购置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120.52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30224</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被装购置费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31022</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无形资产购置</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192.18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30225</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专用燃料费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31099</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其他资本性支出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20"/>
                <w:szCs w:val="20"/>
              </w:rPr>
            </w:pPr>
            <w:r>
              <w:rPr>
                <w:rFonts w:hint="eastAsia" w:asciiTheme="majorEastAsia" w:hAnsiTheme="majorEastAsia" w:eastAsiaTheme="majorEastAsia" w:cstheme="majorEastAsia"/>
                <w:color w:val="000000"/>
                <w:kern w:val="0"/>
                <w:sz w:val="20"/>
                <w:szCs w:val="20"/>
              </w:rPr>
              <w:t xml:space="preserve">16.31 </w:t>
            </w: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32.41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30226</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劳务费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2426.80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399</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其他支出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30227</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委托业务费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80.38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39906</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赠与</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133.21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30228</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工会经费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101.80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39907</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国家赔偿费用支出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0"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295.05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30229</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福利费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347.18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39908</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对民间非营利组织和群众性自治组织补贴</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30231</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公务用车运行维护费</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66.72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39999</w:t>
            </w: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其他支出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449.04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30239</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其他交通费用</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23.86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238"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30240</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税金及附加费用</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425" w:hRule="atLeast"/>
          <w:jc w:val="center"/>
        </w:trPr>
        <w:tc>
          <w:tcPr>
            <w:tcW w:w="67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18"/>
                <w:szCs w:val="18"/>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30299</w:t>
            </w:r>
          </w:p>
        </w:tc>
        <w:tc>
          <w:tcPr>
            <w:tcW w:w="11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  其他商品和服务支出</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8"/>
                <w:szCs w:val="18"/>
              </w:rPr>
            </w:pPr>
            <w:r>
              <w:rPr>
                <w:rFonts w:hint="eastAsia" w:asciiTheme="majorEastAsia" w:hAnsiTheme="majorEastAsia" w:eastAsiaTheme="majorEastAsia" w:cstheme="majorEastAsia"/>
                <w:color w:val="000000"/>
                <w:kern w:val="0"/>
                <w:sz w:val="18"/>
                <w:szCs w:val="18"/>
              </w:rPr>
              <w:t xml:space="preserve">464.88 </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17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Theme="majorEastAsia" w:hAnsiTheme="majorEastAsia" w:eastAsiaTheme="majorEastAsia" w:cstheme="majorEastAsia"/>
                <w:color w:val="000000"/>
                <w:sz w:val="18"/>
                <w:szCs w:val="18"/>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Theme="majorEastAsia" w:hAnsiTheme="majorEastAsia" w:eastAsiaTheme="majorEastAsia" w:cstheme="majorEastAsia"/>
                <w:color w:val="000000"/>
                <w:sz w:val="20"/>
                <w:szCs w:val="20"/>
              </w:rPr>
            </w:pPr>
          </w:p>
        </w:tc>
      </w:tr>
      <w:tr>
        <w:tblPrEx>
          <w:tblCellMar>
            <w:top w:w="0" w:type="dxa"/>
            <w:left w:w="0" w:type="dxa"/>
            <w:bottom w:w="0" w:type="dxa"/>
            <w:right w:w="0" w:type="dxa"/>
          </w:tblCellMar>
        </w:tblPrEx>
        <w:trPr>
          <w:trHeight w:val="317" w:hRule="atLeast"/>
          <w:jc w:val="center"/>
        </w:trPr>
        <w:tc>
          <w:tcPr>
            <w:tcW w:w="213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6"/>
                <w:szCs w:val="16"/>
              </w:rPr>
            </w:pPr>
            <w:r>
              <w:rPr>
                <w:rFonts w:hint="eastAsia" w:asciiTheme="majorEastAsia" w:hAnsiTheme="majorEastAsia" w:eastAsiaTheme="majorEastAsia" w:cstheme="majorEastAsia"/>
                <w:color w:val="000000"/>
                <w:kern w:val="0"/>
                <w:sz w:val="20"/>
                <w:szCs w:val="20"/>
              </w:rPr>
              <w:t xml:space="preserve">76436.48 </w:t>
            </w:r>
          </w:p>
        </w:tc>
        <w:tc>
          <w:tcPr>
            <w:tcW w:w="5082"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Theme="majorEastAsia" w:hAnsiTheme="majorEastAsia" w:eastAsiaTheme="majorEastAsia" w:cstheme="majorEastAsia"/>
                <w:color w:val="000000"/>
                <w:sz w:val="16"/>
                <w:szCs w:val="16"/>
              </w:rPr>
            </w:pPr>
            <w:r>
              <w:rPr>
                <w:rFonts w:hint="eastAsia" w:asciiTheme="majorEastAsia" w:hAnsiTheme="majorEastAsia" w:eastAsiaTheme="majorEastAsia" w:cstheme="majorEastAsia"/>
                <w:color w:val="000000"/>
                <w:kern w:val="0"/>
                <w:sz w:val="20"/>
                <w:szCs w:val="20"/>
              </w:rPr>
              <w:t xml:space="preserve">19816.76 </w:t>
            </w:r>
          </w:p>
        </w:tc>
      </w:tr>
      <w:tr>
        <w:tblPrEx>
          <w:tblCellMar>
            <w:top w:w="0" w:type="dxa"/>
            <w:left w:w="0" w:type="dxa"/>
            <w:bottom w:w="0" w:type="dxa"/>
            <w:right w:w="0" w:type="dxa"/>
          </w:tblCellMar>
        </w:tblPrEx>
        <w:trPr>
          <w:trHeight w:val="277" w:hRule="atLeast"/>
          <w:jc w:val="center"/>
        </w:trPr>
        <w:tc>
          <w:tcPr>
            <w:tcW w:w="8874"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175" o:spid="_x0000_s1175" o:spt="203" style="position:absolute;left:0pt;margin-left:-70.75pt;margin-top:-68.35pt;height:41.2pt;width:243.2pt;mso-position-vertical-relative:page;z-index:251688960;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76"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77"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99.95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99.05</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99.05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0.90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67.12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66.72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66.72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178" o:spid="_x0000_s1178" o:spt="203" style="position:absolute;left:0pt;margin-left:-68.9pt;margin-top:-68.35pt;height:41.2pt;width:243.2pt;mso-position-vertical-relative:page;z-index:251689984;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79"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80"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部门：石家庄市鹿泉区教育局</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0.02</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19</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19.02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16.02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0.02</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彩票公益金及对应专项债务收入安排的支出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0.02</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2296004</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用于教育事业的彩票公益金支出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0.02</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181" o:spid="_x0000_s1181" o:spt="203" style="position:absolute;left:0pt;margin-left:-68.9pt;margin-top:-68.35pt;height:41.2pt;width:243.2pt;mso-position-vertical-relative:page;z-index:251691008;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8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83"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spacing w:after="0" w:line="560" w:lineRule="exact"/>
        <w:jc w:val="left"/>
        <w:rPr>
          <w:rFonts w:ascii="仿宋_GB2312" w:eastAsia="仿宋_GB2312" w:hAnsiTheme="majorEastAsia"/>
          <w:b/>
          <w:sz w:val="28"/>
          <w:szCs w:val="28"/>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rPr>
        <w:t>本部门本年度无相关收入情况，按要求空表列示。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184" o:spid="_x0000_s1184" o:spt="203" style="position:absolute;left:0pt;margin-left:-68.9pt;margin-top:-68.35pt;height:41.2pt;width:243.2pt;mso-position-vertical-relative:page;z-index:25169203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4K8VI9wAAAANAQAADwAA&#10;AAAAAAABACAAAAAiAAAAZHJzL2Rvd25yZXYueG1sUEsBAhQAFAAAAAgAh07iQO1n4L8vAwAA+AgA&#10;AA4AAAAAAAAAAQAgAAAAKwEAAGRycy9lMm9Eb2MueG1sUEsFBgAAAAAGAAYAWQEAAMwGAAAAAA==&#10;">
                  <o:lock v:ext="edit"/>
                  <v:rect id="矩形 13" o:spid="_x0000_s1185"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8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7443.45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7443.45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6352.44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1091.01</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1861.92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1861.92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1487.5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374.42</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5560.91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5560.91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4844.32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716.59</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20.62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20.62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20.62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7148.4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7148.4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6116.05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1032.35</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1823.75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1823.75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1459.14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364.61</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5305.82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5305.82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4638.08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667.74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widowControl/>
              <w:jc w:val="right"/>
              <w:textAlignment w:val="bottom"/>
              <w:rPr>
                <w:rFonts w:ascii="宋体" w:hAnsi="宋体" w:cs="宋体"/>
                <w:color w:val="000000"/>
                <w:szCs w:val="21"/>
              </w:rPr>
            </w:pPr>
            <w:r>
              <w:rPr>
                <w:rFonts w:ascii="Arial" w:hAnsi="Arial" w:cs="Arial"/>
                <w:color w:val="000000"/>
                <w:kern w:val="0"/>
                <w:sz w:val="20"/>
                <w:szCs w:val="20"/>
              </w:rPr>
              <w:t>18.83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79" o:spid="_x0000_s1079"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组合 18" o:spid="_x0000_s1189" o:spt="203" style="position:absolute;left:0pt;margin-left:-0.55pt;margin-top:29.3pt;height:43.95pt;width:301.85pt;mso-position-horizontal-relative:page;mso-position-vertical-relative:page;z-index:25169305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187"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88"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本部门2018年度收支总计（含结转和结余）131222.54万元。与2017年度决算相比，收支各增加27989.38万元，增长28%，主要原因是：1、教育设施建设资金和教育附加费投入增加。2、人员经费增加。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本部门2018年度本年收入合计118386.10万元，其中：财政拨款收入117483.16万元，占99.24%；事业收入749.94万元，占0.63%；经营收入0万元，占0%；其他收入153万元，占0.13%。如图所示：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240" w:lineRule="auto"/>
        <w:jc w:val="center"/>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5080000" cy="3698875"/>
            <wp:effectExtent l="4445" t="4445" r="20955" b="1143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240" w:lineRule="auto"/>
        <w:jc w:val="center"/>
        <w:rPr>
          <w:rFonts w:ascii="仿宋_GB2312" w:eastAsia="仿宋_GB2312" w:cs="DengXian-Regular"/>
          <w:sz w:val="32"/>
          <w:szCs w:val="32"/>
        </w:rPr>
      </w:pPr>
      <w:r>
        <w:rPr>
          <w:rFonts w:hint="eastAsia" w:ascii="仿宋_GB2312" w:eastAsia="仿宋_GB2312" w:cs="DengXian-Regular"/>
          <w:sz w:val="32"/>
          <w:szCs w:val="32"/>
        </w:rPr>
        <w:t>图1：收入构成情况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本部门2018年度本年支出合计110145.28万元，其中：基本支出97182.28万元，占88.23%；项目支出12963万元，占11.77%；经营支出0万元，占0%。如图所示：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846955" cy="3439160"/>
            <wp:effectExtent l="4445" t="4445" r="6350" b="2349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240" w:lineRule="auto"/>
        <w:ind w:firstLine="640" w:firstLineChars="200"/>
        <w:jc w:val="center"/>
        <w:rPr>
          <w:rFonts w:ascii="黑体" w:eastAsia="黑体"/>
        </w:rPr>
      </w:pPr>
      <w:r>
        <w:rPr>
          <w:rFonts w:hint="eastAsia" w:ascii="仿宋_GB2312" w:eastAsia="仿宋_GB2312" w:cs="DengXian-Regular"/>
          <w:sz w:val="32"/>
          <w:szCs w:val="32"/>
        </w:rPr>
        <w:t>图2：支出构成情况（按支出性质）</w:t>
      </w:r>
      <w:r>
        <w:pict>
          <v:group id="_x0000_s1070" o:spid="_x0000_s1070" o:spt="203" style="position:absolute;left:0pt;margin-left:59.55pt;margin-top:6.75pt;height:230.55pt;width:274.45pt;z-index:-251646976;mso-width-relative:page;mso-height-relative:page;" coordorigin="7032,190738" coordsize="4600,-2147483648"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2" o:spid="_x0000_s1072"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0" cropleft="2131f" croptop="1490f" cropright="1218f" cropbottom="5217f" o:title=""/>
              <o:lock v:ext="edit" aspectratio="t"/>
            </v:shape>
            <v:shape id="_x0000_s1071" o:spid="_x0000_s1071"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sz w:val="44"/>
        </w:rPr>
        <w:pict>
          <v:group id="_x0000_s1192" o:spid="_x0000_s1192" o:spt="203" style="position:absolute;left:0pt;margin-left:-0.55pt;margin-top:29.3pt;height:43.95pt;width:301.85pt;mso-position-horizontal-relative:page;mso-position-vertical-relative:page;z-index:25169408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190"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91"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2"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117483.16万元,比2017年度增加19937.08万元，增长（降低）20.44%，主要是1、教育设施建设资金和教育附加费投入增加。2、人员经费增加；本年支出110145.28万元，增加19758.64万元，增长21.86%，主要是1、教育设施建设资金和教育附加费支出增加。2、人员经费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117464.16万元，比上年增加19937.08万元，增长20.44%；主要是1、教育设施建设资金和教育附加费支出增加。2、人员经费支出增加；本年支出109150.45万元，比上年增加20301.84万元，增长22.85%，主要是1、教育设施建设资金和教育附加费支出增加。2、人员经费支出增加。政府性基金预算财政拨款本年收入19万元，与上年持平，本年支出19.02万元，比上年增加0.02万元，增长11%，主要是2017年结转2018年支出0.02万元。</w:t>
      </w:r>
    </w:p>
    <w:p>
      <w:pPr>
        <w:adjustRightInd w:val="0"/>
        <w:snapToGrid w:val="0"/>
        <w:spacing w:after="0" w:line="240" w:lineRule="auto"/>
        <w:ind w:firstLine="420" w:firstLineChars="200"/>
        <w:jc w:val="center"/>
      </w:pPr>
      <w:r>
        <w:drawing>
          <wp:inline distT="0" distB="0" distL="114300" distR="114300">
            <wp:extent cx="4567555" cy="3597910"/>
            <wp:effectExtent l="4445" t="4445" r="1905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240" w:lineRule="auto"/>
        <w:ind w:firstLine="640" w:firstLineChars="200"/>
        <w:jc w:val="center"/>
        <w:rPr>
          <w:rFonts w:ascii="仿宋_GB2312" w:eastAsia="仿宋_GB2312" w:cs="DengXian-Regular"/>
          <w:sz w:val="32"/>
          <w:szCs w:val="32"/>
        </w:rPr>
      </w:pPr>
      <w:r>
        <w:rPr>
          <w:rFonts w:ascii="仿宋_GB2312" w:eastAsia="仿宋_GB2312" w:cs="DengXian-Regular"/>
          <w:sz w:val="32"/>
          <w:szCs w:val="32"/>
        </w:rPr>
        <w:pict>
          <v:group id="_x0000_s1064" o:spid="_x0000_s1064" o:spt="203" style="position:absolute;left:0pt;margin-left:51.25pt;margin-top:13.45pt;height:210.05pt;width:331.1pt;z-index:-251643904;mso-width-relative:page;mso-height-relative:page;" coordorigin="6151,199960" coordsize="6345,-2147483648"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65" o:spid="_x0000_s106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r>
        <w:rPr>
          <w:rFonts w:hint="eastAsia" w:ascii="仿宋_GB2312" w:eastAsia="仿宋_GB2312" w:cs="DengXian-Regular"/>
          <w:sz w:val="32"/>
          <w:szCs w:val="32"/>
        </w:rPr>
        <w:t>图3：2017-2018年财政拨款收支情况</w:t>
      </w:r>
    </w:p>
    <w:p>
      <w:pPr>
        <w:spacing w:after="0" w:line="580" w:lineRule="exact"/>
        <w:ind w:firstLine="642"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117483.16万元，完成年初预算的145.84%,比年初预算增加36925.99万元，决算数大于预算数主要原因是1、年初预算数中未包含年中下达部分专款。2、教育设施建设资金和教育附加费投入增加。3、人员经费投入增加；本年支出110145.28万元，完成年初预算的136.73%,比年初预算增加29588.11万元，决算数大于预算数主要原因是主要是1、年中下达部分专款的支出。2、教育设施建设资金和教育附加费支出增加。3、人员经费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117464.16万元，完成年初预算145.81%，比年初预算增加36906.99万元，主要是1、年中下达部分专款年初预算数中未包含。2、教育设施建设资金和教育附加费投入增加。3、人员经费投入增加；本年支出109150.45万元，完成年初预算135.49%，比年初预算增加28593.28万元，主要是1、年中下达部分专款的支出。2、教育设施建设资金和教育附加费支出增加。3、人员经费支出增加。政府性基金预算财政拨款本年收入19万元，比年初预算增加19万元，主要是年初预算时专款文件尚未下达；支出19.02万元，比年初预算增加19.02万元，主要是初预算时专款文件尚未下达。</w:t>
      </w:r>
    </w:p>
    <w:p>
      <w:pPr>
        <w:adjustRightInd w:val="0"/>
        <w:snapToGrid w:val="0"/>
        <w:spacing w:after="0" w:line="240" w:lineRule="auto"/>
        <w:jc w:val="center"/>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5004435" cy="3791585"/>
            <wp:effectExtent l="4445" t="4445" r="20320" b="1397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580" w:lineRule="exact"/>
        <w:ind w:firstLine="420" w:firstLineChars="200"/>
        <w:jc w:val="center"/>
        <w:rPr>
          <w:rFonts w:ascii="仿宋_GB2312" w:eastAsia="仿宋_GB2312" w:cs="DengXian-Regular"/>
          <w:sz w:val="32"/>
          <w:szCs w:val="32"/>
        </w:rPr>
      </w:pPr>
      <w:r>
        <w:pict>
          <v:group id="_x0000_s1061" o:spid="_x0000_s1061" o:spt="203" style="position:absolute;left:0pt;margin-left:45.95pt;margin-top:0.4pt;height:208.2pt;width:343.1pt;z-index:-251642880;mso-width-relative:page;mso-height-relative:page;" coordorigin="5233,225704" coordsize="6344,-2147483648"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3"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62" o:spt="202" type="#_x0000_t202" style="position:absolute;left:5233;top:228834;height:720;width:6345;"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r>
        <w:rPr>
          <w:rFonts w:hint="eastAsia" w:ascii="仿宋_GB2312" w:eastAsia="仿宋_GB2312" w:cs="DengXian-Regular"/>
          <w:sz w:val="32"/>
          <w:szCs w:val="32"/>
        </w:rPr>
        <w:t>图4：财政拨款收支预决算对比情况</w:t>
      </w:r>
    </w:p>
    <w:p>
      <w:pPr>
        <w:adjustRightInd w:val="0"/>
        <w:snapToGrid w:val="0"/>
        <w:spacing w:after="0" w:line="580" w:lineRule="exact"/>
        <w:ind w:firstLine="640" w:firstLineChars="200"/>
        <w:jc w:val="center"/>
        <w:rPr>
          <w:rFonts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年度财政拨款支出110145.28万元，主要用于以下方面：教育（类）支出109844.02万元，占99.73%；医疗卫生与计划生育支出（类）支出70.54万元，占 0.06%；社会保障和就业（类）支出 149.11万元，占0.14%；住房保障（类）支出61.11万元，占 0.05%;其他支出（类）支出20.50万元，占0.02%。</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240" w:lineRule="auto"/>
        <w:jc w:val="center"/>
        <w:rPr>
          <w:rFonts w:ascii="楷体_GB2312" w:eastAsia="楷体_GB2312" w:cs="DengXian-Bold"/>
          <w:b/>
          <w:bCs/>
          <w:sz w:val="32"/>
          <w:szCs w:val="32"/>
        </w:rPr>
      </w:pPr>
      <w:r>
        <w:drawing>
          <wp:inline distT="0" distB="0" distL="114300" distR="114300">
            <wp:extent cx="5080000" cy="3810000"/>
            <wp:effectExtent l="4445" t="4445" r="20955"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pict>
          <v:group id="_x0000_s1058" o:spid="_x0000_s1058" o:spt="203" style="position:absolute;left:0pt;margin-left:86.35pt;margin-top:15.9pt;height:195.05pt;width:296.35pt;z-index:-251644928;mso-width-relative:page;mso-height-relative:page;" coordorigin="6921,180284" coordsize="5331,-2147483648"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60"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0" cropleft="2131f" croptop="1490f" cropright="1218f" cropbottom="5217f" o:title=""/>
              <o:lock v:ext="edit" aspectratio="t"/>
            </v:shape>
            <v:shape id="文本框 32" o:spid="_x0000_s1059" o:spt="202" type="#_x0000_t202" style="position:absolute;left:6921;top:183134;height:1036;width:5331;"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firstLine="640" w:firstLineChars="200"/>
        <w:jc w:val="center"/>
        <w:rPr>
          <w:rFonts w:ascii="仿宋_GB2312" w:eastAsia="仿宋_GB2312" w:cs="DengXian-Regular"/>
          <w:sz w:val="32"/>
          <w:szCs w:val="32"/>
        </w:rPr>
      </w:pPr>
      <w:r>
        <w:rPr>
          <w:rFonts w:hint="eastAsia" w:ascii="仿宋_GB2312" w:eastAsia="仿宋_GB2312" w:cs="DengXian-Regular"/>
          <w:sz w:val="32"/>
          <w:szCs w:val="32"/>
        </w:rPr>
        <w:t>图5：财政拨款支出决算结构（按功能分类）</w:t>
      </w: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195" o:spid="_x0000_s1195" o:spt="203" style="position:absolute;left:0pt;margin-left:-0.55pt;margin-top:29.3pt;height:43.95pt;width:301.85pt;mso-position-horizontal-relative:page;mso-position-vertical-relative:page;z-index:2516951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193"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9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年度一般公共预算财政拨款基本支出96253.24万元，其中：人员经费 76436.48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19816.76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“三公”经费支出共计67.12万元，</w:t>
      </w:r>
      <w:r>
        <w:rPr>
          <w:rFonts w:hint="eastAsia" w:ascii="仿宋_GB2312" w:eastAsia="仿宋_GB2312" w:cs="DengXian-Regular"/>
          <w:b/>
          <w:bCs/>
          <w:sz w:val="32"/>
          <w:szCs w:val="32"/>
        </w:rPr>
        <w:t>较年初预算减少32.83万元，降低32.85%，</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2" w:firstLineChars="200"/>
        <w:rPr>
          <w:rFonts w:ascii="楷体_GB2312" w:eastAsia="楷体_GB2312" w:cs="DengXian-Bold"/>
          <w:b/>
          <w:bCs/>
          <w:sz w:val="32"/>
          <w:szCs w:val="32"/>
        </w:rPr>
      </w:pPr>
      <w:r>
        <w:rPr>
          <w:rFonts w:hint="eastAsia" w:ascii="楷体_GB2312" w:eastAsia="楷体_GB2312" w:cs="DengXian-Bold"/>
          <w:b/>
          <w:bCs/>
          <w:sz w:val="32"/>
          <w:szCs w:val="32"/>
        </w:rPr>
        <w:t>（</w:t>
      </w:r>
      <w:r>
        <w:rPr>
          <w:sz w:val="44"/>
        </w:rPr>
        <w:pict>
          <v:group id="_x0000_s1198" o:spid="_x0000_s1198" o:spt="203" style="position:absolute;left:0pt;margin-left:-0.55pt;margin-top:29.3pt;height:43.95pt;width:301.85pt;mso-position-horizontal-relative:page;mso-position-vertical-relative:page;z-index:25169612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196"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97"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p>
    <w:p>
      <w:pPr>
        <w:adjustRightInd w:val="0"/>
        <w:snapToGrid w:val="0"/>
        <w:spacing w:after="0" w:line="580" w:lineRule="exact"/>
        <w:ind w:firstLine="642"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（二）公务用车购置及运行维护费支出66.72万元。</w:t>
      </w:r>
      <w:r>
        <w:rPr>
          <w:rFonts w:hint="eastAsia" w:ascii="仿宋_GB2312" w:eastAsia="仿宋_GB2312" w:cs="DengXian-Regular"/>
          <w:sz w:val="32"/>
          <w:szCs w:val="32"/>
        </w:rPr>
        <w:t>本部门2018年度公务用车购置及运行维护费较年初预算减少32.33万元，降低32.64%,主要是</w:t>
      </w:r>
      <w:bookmarkStart w:id="0" w:name="_GoBack"/>
      <w:bookmarkEnd w:id="0"/>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精神和厉行节约要求，从严控制公务用车维护费开支，全年实际支出比预算有所节约。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2" w:firstLineChars="200"/>
        <w:rPr>
          <w:rFonts w:ascii="仿宋_GB2312" w:eastAsia="仿宋_GB2312" w:cs="DengXian-Regular"/>
          <w:sz w:val="32"/>
          <w:szCs w:val="32"/>
          <w:shd w:val="clear" w:color="FFFFFF" w:fill="D9D9D9"/>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本部门2018年度单位公务用车保有量45辆。公车运行维护费支出较年初预算减少32.33万元，降低33,主要是认真贯彻落实中央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精神和厉行节约要求，从严控制公务用车维护费开支，全年实际支出比预算有所节约。</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（三）公务接待费支出0.4万元。</w:t>
      </w:r>
      <w:r>
        <w:rPr>
          <w:sz w:val="44"/>
        </w:rPr>
        <w:pict>
          <v:group id="_x0000_s1201" o:spid="_x0000_s1201" o:spt="203" style="position:absolute;left:0pt;margin-left:-0.55pt;margin-top:29.3pt;height:43.95pt;width:301.85pt;mso-position-horizontal-relative:page;mso-position-vertical-relative:page;z-index:25169715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199"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20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本部门2018年度公务接待共30批次、140人次。公务接待费支出较年初预算减少0.5万元，降低56%,主要是认真贯彻落实中央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精神和厉行节约要求，从严控制公务接待经费开支，全年实际支出比预算有所节约。</w:t>
      </w:r>
    </w:p>
    <w:p>
      <w:pPr>
        <w:pStyle w:val="3"/>
        <w:spacing w:before="0" w:after="0" w:line="500" w:lineRule="exact"/>
        <w:ind w:firstLine="642" w:firstLineChars="200"/>
        <w:rPr>
          <w:rFonts w:ascii="黑体" w:eastAsia="黑体" w:cs="Times New Roman"/>
          <w:b w:val="0"/>
          <w:bCs w:val="0"/>
        </w:rPr>
      </w:pPr>
      <w:r>
        <w:rPr>
          <w:rFonts w:hint="eastAsia" w:ascii="黑体" w:eastAsia="黑体"/>
          <w:szCs w:val="40"/>
        </w:rPr>
        <w:t>六、</w:t>
      </w:r>
      <w:r>
        <w:rPr>
          <w:rFonts w:hint="eastAsia" w:ascii="黑体" w:eastAsia="黑体" w:cs="Times New Roman"/>
          <w:b w:val="0"/>
          <w:bCs w:val="0"/>
        </w:rPr>
        <w:t>绩效预算情况说明</w:t>
      </w:r>
    </w:p>
    <w:p>
      <w:pPr>
        <w:pStyle w:val="3"/>
        <w:spacing w:before="0" w:after="0" w:line="580" w:lineRule="exact"/>
        <w:ind w:firstLine="640" w:firstLineChars="200"/>
        <w:rPr>
          <w:rFonts w:ascii="仿宋_GB2312" w:eastAsia="仿宋_GB2312" w:cs="DengXian-Regular"/>
          <w:b w:val="0"/>
          <w:bCs w:val="0"/>
        </w:rPr>
      </w:pPr>
      <w:r>
        <w:rPr>
          <w:rFonts w:hint="eastAsia" w:ascii="仿宋_GB2312" w:eastAsia="仿宋_GB2312" w:cs="DengXian-Regular"/>
          <w:b w:val="0"/>
          <w:bCs w:val="0"/>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pStyle w:val="3"/>
        <w:spacing w:before="0" w:after="0" w:line="580" w:lineRule="exact"/>
        <w:ind w:firstLine="640" w:firstLineChars="200"/>
        <w:rPr>
          <w:rFonts w:hint="eastAsia" w:ascii="仿宋_GB2312" w:eastAsia="仿宋_GB2312" w:cs="DengXian-Regular"/>
          <w:b w:val="0"/>
          <w:bCs w:val="0"/>
        </w:rPr>
      </w:pPr>
      <w:r>
        <w:rPr>
          <w:rFonts w:hint="eastAsia" w:ascii="仿宋_GB2312" w:eastAsia="仿宋_GB2312" w:cs="DengXian-Regular"/>
          <w:b w:val="0"/>
          <w:bCs w:val="0"/>
        </w:rPr>
        <w:t>（二）预算项目绩效评价开展情况根据预算绩效管理要求，本单位组织对2018年度一般公共预算项目支出全面开展绩效自评，涉及寺家庄小学综合楼、大宋楼小学综合楼等448个项目，涉及资金12800万元。从评价情况看，评价结果为优秀的项目有430个，良好的项目有18个。</w:t>
      </w:r>
    </w:p>
    <w:p>
      <w:pPr>
        <w:rPr>
          <w:rFonts w:hint="eastAsia" w:ascii="仿宋_GB2312" w:eastAsia="仿宋_GB2312"/>
          <w:sz w:val="32"/>
          <w:szCs w:val="32"/>
        </w:rPr>
      </w:pPr>
      <w:r>
        <w:rPr>
          <w:rFonts w:hint="eastAsia"/>
        </w:rPr>
        <w:t xml:space="preserve">     </w:t>
      </w:r>
      <w:r>
        <w:rPr>
          <w:rFonts w:hint="eastAsia" w:ascii="仿宋_GB2312" w:eastAsia="仿宋_GB2312"/>
          <w:sz w:val="32"/>
          <w:szCs w:val="32"/>
        </w:rPr>
        <w:t>（三）   预算项目绩效自评选例</w:t>
      </w:r>
    </w:p>
    <w:p>
      <w:pPr>
        <w:rPr>
          <w:rFonts w:hint="eastAsia" w:ascii="仿宋_GB2312" w:eastAsia="仿宋_GB2312"/>
          <w:sz w:val="32"/>
          <w:szCs w:val="32"/>
        </w:rPr>
      </w:pPr>
      <w:r>
        <w:rPr>
          <w:rFonts w:hint="eastAsia" w:ascii="仿宋_GB2312" w:eastAsia="仿宋_GB2312"/>
          <w:sz w:val="32"/>
          <w:szCs w:val="32"/>
        </w:rPr>
        <w:t xml:space="preserve">    本单位2018年度市级义务教育补助经费项目绩效自评：根据年初设定的绩效目标，2018年度市级义务教育补助经费项目绩效自评结果为良好。项目全年预算数为530万元，其中：公用经费373万元贫困寄宿生生活费市级12万元，校舍安全长效机制市级经费145万元。执行数为510万元，完成预算的96%。主要产出和效果是保障了学校日常运转，改善项目学校办学条件，保障义务段学校的校舍安全，对家庭经济困难的寄宿生做到了“应助尽助”的阶段性目标，促进义务教育均衡发展。发现问题及原因是：用于项目学校支出的校舍维修改造资金由于项目前期手续跑办等问题支出进度较慢。主要是因为前期手续比较复杂，学校缺乏跑办经验。下一步改进措施是积极与有关职能部门协调关系，加大项目前期手续跑办力度，加快项目建设步伐，按工程进度及时拨付资金。</w:t>
      </w:r>
    </w:p>
    <w:p>
      <w:pPr>
        <w:pStyle w:val="3"/>
        <w:spacing w:before="0" w:after="0" w:line="580" w:lineRule="exact"/>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本部门2018年度机关运行经费支出113.77万元，比年初预算数增加53.0</w:t>
      </w:r>
      <w:r>
        <w:rPr>
          <w:rFonts w:hint="eastAsia" w:ascii="宋体" w:hAnsi="宋体" w:cs="宋体"/>
          <w:sz w:val="32"/>
          <w:szCs w:val="32"/>
        </w:rPr>
        <w:t>9</w:t>
      </w:r>
      <w:r>
        <w:rPr>
          <w:rFonts w:hint="eastAsia" w:ascii="仿宋_GB2312" w:eastAsia="仿宋_GB2312" w:cs="DengXian-Regular"/>
          <w:sz w:val="32"/>
          <w:szCs w:val="32"/>
        </w:rPr>
        <w:t>万元，增长87.45%。主要原因是</w:t>
      </w:r>
      <w:r>
        <w:rPr>
          <w:rFonts w:hint="eastAsia" w:ascii="宋体" w:hAnsi="宋体" w:cs="宋体"/>
          <w:sz w:val="32"/>
          <w:szCs w:val="32"/>
        </w:rPr>
        <w:t>年初预算中没有公务移动通讯补贴。</w:t>
      </w:r>
      <w:r>
        <w:rPr>
          <w:sz w:val="44"/>
        </w:rPr>
        <w:pict>
          <v:group id="_x0000_s1214" o:spid="_x0000_s1214" o:spt="203" style="position:absolute;left:0pt;margin-left:-0.55pt;margin-top:29.3pt;height:43.95pt;width:301.85pt;mso-position-horizontal-relative:page;mso-position-vertical-relative:page;z-index:25170124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v:rect id="矩形 13" o:spid="_x0000_s1215"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216"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本部门2018年度政府采购支出总额7148.40万元，从采购类型来看，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1823.75</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5305.82</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18.83</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1142.70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15.99%，</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898.82</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12.57</w:t>
      </w:r>
      <w:r>
        <w:rPr>
          <w:rFonts w:ascii="仿宋_GB2312" w:hAnsi="仿宋_GB2312" w:eastAsia="仿宋_GB2312" w:cs="仿宋_GB2312"/>
          <w:color w:val="000000"/>
          <w:kern w:val="0"/>
          <w:sz w:val="32"/>
          <w:szCs w:val="32"/>
        </w:rPr>
        <w:t>%。</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截至2018年12月31日，本部门共有车辆45辆，与上年持平，主要是轿车39辆，小型载客汽车3辆，其他车型3辆。单位价值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万元以上通用设备4台（套），比上年增加2套，主要是职教中心实习设备 。</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1、本部门2018年度石家庄市鹿泉区教育局无</w:t>
      </w:r>
      <w:r>
        <w:rPr>
          <w:rFonts w:hint="eastAsia" w:ascii="仿宋" w:hAnsi="仿宋" w:eastAsia="仿宋" w:cs="仿宋"/>
          <w:color w:val="000000"/>
          <w:kern w:val="0"/>
          <w:sz w:val="32"/>
          <w:szCs w:val="32"/>
        </w:rPr>
        <w:t>国有资本经营预算财政拨</w:t>
      </w:r>
      <w:r>
        <w:rPr>
          <w:rFonts w:ascii="仿宋" w:hAnsi="仿宋" w:eastAsia="仿宋" w:cs="仿宋"/>
          <w:sz w:val="32"/>
          <w:szCs w:val="32"/>
        </w:rPr>
        <w:pict>
          <v:group id="_x0000_s1043" o:spid="_x0000_s1043" o:spt="203" style="position:absolute;left:0pt;margin-left:-80.9pt;margin-top:-81.1pt;height:41.2pt;width:243.2pt;mso-position-vertical-relative:page;z-index:25167462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DTdat8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yaUsrcAAAADQEAAA8AAAAAAAAAAQAgAAAA&#10;IgAAAGRycy9kb3ducmV2LnhtbFBLAQIUABQAAAAIAIdO4kA03WrfJAMAAO4IAAAOAAAAAAAAAAEA&#10;IAAAACsBAABkcnMvZTJvRG9jLnhtbFBLBQYAAAAABgAGAFkBAADBBgAAAAA=&#10;">
            <o:lock v:ext="edit"/>
            <v:rect id="矩形 13" o:spid="_x0000_s1045" o:spt="1" style="position:absolute;left:4551;top:52615;height:1175;width:8546;v-text-anchor:middle;" fillcolor="#D9D9D9" filled="t" stroked="f" coordsize="21600,21600" o:gfxdata="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WcpC5AAAA2wAA&#10;AA8AAAAAAAAAAQAgAAAAIgAAAGRycy9kb3ducmV2LnhtbFBLAQIUABQAAAAIAIdO4kAzLwWeOwAA&#10;ADkAAAAQAAAAAAAAAAEAIAAAAAgBAABkcnMvc2hhcGV4bWwueG1sUEsFBgAAAAAGAAYAWwEAALID&#10;A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O7OTPbwAAADb&#10;AAAADwAAAGRycy9kb3ducmV2LnhtbEWPS4sCMRCE78L+h9AL3pxEDzo7GoUVXDy6PtZrM2lnBied&#10;IYmvf78RBI9FVX1FzRZ324or+dA41jDMFAji0pmGKw373WqQgwgR2WDrmDQ8KMBi/tGbYWHcjX/p&#10;uo2VSBAOBWqoY+wKKUNZk8WQuY44eSfnLcYkfSWNx1uC21aOlBpLiw2nhRo7WtZUnrcXq2G8+V66&#10;cpf//Pljozbusnrkk4PW/c+hmoKIdI/v8Ku9NhpGX/D8kn6A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uzkz2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仿宋" w:hAnsi="仿宋" w:eastAsia="仿宋" w:cs="仿宋"/>
          <w:color w:val="000000"/>
          <w:kern w:val="0"/>
          <w:sz w:val="32"/>
          <w:szCs w:val="32"/>
        </w:rPr>
        <w:t>款</w:t>
      </w:r>
      <w:r>
        <w:rPr>
          <w:rFonts w:hint="eastAsia" w:ascii="仿宋_GB2312" w:eastAsia="仿宋_GB2312" w:cs="DengXian-Regular"/>
          <w:sz w:val="32"/>
          <w:szCs w:val="32"/>
        </w:rPr>
        <w:t>情况，故</w:t>
      </w:r>
      <w:r>
        <w:rPr>
          <w:rFonts w:hint="eastAsia" w:ascii="仿宋" w:hAnsi="仿宋" w:eastAsia="仿宋" w:cs="仿宋"/>
          <w:color w:val="000000"/>
          <w:kern w:val="0"/>
          <w:sz w:val="32"/>
          <w:szCs w:val="32"/>
        </w:rPr>
        <w:t>国有资本经营预算财政拨</w:t>
      </w:r>
      <w:r>
        <w:rPr>
          <w:rFonts w:ascii="仿宋" w:hAnsi="仿宋" w:eastAsia="仿宋" w:cs="仿宋"/>
          <w:sz w:val="32"/>
          <w:szCs w:val="32"/>
        </w:rPr>
        <w:pict>
          <v:group id="_x0000_s1040" o:spid="_x0000_s1040" o:spt="203" style="position:absolute;left:0pt;margin-left:-68.9pt;margin-top:-69.1pt;height:41.2pt;width:243.2pt;mso-position-vertical-relative:page;z-index:251680768;mso-width-relative:page;mso-height-relative:page;" coordorigin="4551,52615" coordsize="8546,1398203203"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DCnIIH3AAAAA0BAAAPAAAAAAAAAAEAIAAA&#10;ACIAAABkcnMvZG93bnJldi54bWxQSwECFAAUAAAACACHTuJAQSxLtSUDAADuCAAADgAAAAAAAAAB&#10;ACAAAAArAQAAZHJzL2Uyb0RvYy54bWxQSwUGAAAAAAYABgBZAQAAwgYAAAAA&#10;">
            <o:lock v:ext="edit"/>
            <v:rect id="矩形 13" o:spid="_x0000_s1042" o:spt="1" style="position:absolute;left:4551;top:52615;height:1175;width:8546;v-text-anchor:middle;" fillcolor="#D9D9D9" filled="t" stroked="f" coordsize="21600,21600" o:gfxdata="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PMtQ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仿宋" w:hAnsi="仿宋" w:eastAsia="仿宋" w:cs="仿宋"/>
          <w:color w:val="000000"/>
          <w:kern w:val="0"/>
          <w:sz w:val="32"/>
          <w:szCs w:val="32"/>
        </w:rPr>
        <w:t>款支出</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207" o:spid="_x0000_s1207" o:spt="203" style="position:absolute;left:0pt;margin-left:-0.55pt;margin-top:29.3pt;height:43.95pt;width:301.85pt;mso-position-horizontal-relative:page;mso-position-vertical-relative:page;z-index:25170022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H4qodgwAwAA9wgA&#10;AA4AAAAAAAAAAQAgAAAAKgEAAGRycy9lMm9Eb2MueG1sUEsFBgAAAAAGAAYAWQEAAMwGAAAAAA==&#10;">
            <o:lock v:ext="edit"/>
            <v:rect id="矩形 13" o:spid="_x0000_s1205"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20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848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组合 149" o:spid="_x0000_s1210" o:spt="203" style="position:absolute;left:0pt;margin-left:-81.05pt;margin-top:39.65pt;height:43.95pt;width:264.85pt;mso-position-vertical-relative:page;z-index:25169817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23XbMMQMAAPwI&#10;AAAOAAAAAAAAAAEAIAAAACoBAABkcnMvZTJvRG9jLnhtbFBLBQYAAAAABgAGAFkBAADNBgAAAAA=&#10;">
            <o:lock v:ext="edit"/>
            <v:rect id="矩形 13" o:spid="_x0000_s1208"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209"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213" o:spid="_x0000_s1213" o:spt="203" style="position:absolute;left:0pt;margin-left:-81.05pt;margin-top:39.65pt;height:43.95pt;width:264.85pt;mso-position-vertical-relative:page;z-index:25169920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23XbMMQMAAPwI&#10;AAAOAAAAAAAAAAEAIAAAACoBAABkcnMvZTJvRG9jLnhtbFBLBQYAAAAABgAGAFkBAADNBgAAAAA=&#10;">
            <o:lock v:ext="edit"/>
            <v:rect id="矩形 13" o:spid="_x0000_s1211"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212"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2"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黑体"/>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仿宋">
    <w:altName w:val="宋体"/>
    <w:panose1 w:val="02010609060101010101"/>
    <w:charset w:val="86"/>
    <w:family w:val="modern"/>
    <w:pitch w:val="default"/>
    <w:sig w:usb0="00000000" w:usb1="00000000" w:usb2="00000016" w:usb3="00000000" w:csb0="00040001" w:csb1="00000000"/>
  </w:font>
  <w:font w:name="文泉驿微米黑">
    <w:panose1 w:val="020B0606030804020204"/>
    <w:charset w:val="86"/>
    <w:family w:val="auto"/>
    <w:pitch w:val="default"/>
    <w:sig w:usb0="E10002EF" w:usb1="6BDFFCFB" w:usb2="00800036" w:usb3="00000000" w:csb0="603E01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llNjM0OTUzNmJhZDY2YzJhMjQ5MGJkY2M0OTAxMmQifQ=="/>
  </w:docVars>
  <w:rsids>
    <w:rsidRoot w:val="00172A27"/>
    <w:rsid w:val="00024E7F"/>
    <w:rsid w:val="000475A0"/>
    <w:rsid w:val="000838C3"/>
    <w:rsid w:val="000B2446"/>
    <w:rsid w:val="000B4427"/>
    <w:rsid w:val="000D7C65"/>
    <w:rsid w:val="000E2F81"/>
    <w:rsid w:val="00117946"/>
    <w:rsid w:val="00117E2C"/>
    <w:rsid w:val="0012016F"/>
    <w:rsid w:val="001434DB"/>
    <w:rsid w:val="00146C47"/>
    <w:rsid w:val="00152FB8"/>
    <w:rsid w:val="00172A27"/>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A7DAE"/>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0562"/>
    <w:rsid w:val="00641318"/>
    <w:rsid w:val="0064405D"/>
    <w:rsid w:val="00685302"/>
    <w:rsid w:val="00695557"/>
    <w:rsid w:val="006D4EA7"/>
    <w:rsid w:val="0070012A"/>
    <w:rsid w:val="0070378E"/>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CC2970"/>
    <w:rsid w:val="00D0048E"/>
    <w:rsid w:val="00D23E7A"/>
    <w:rsid w:val="00D61063"/>
    <w:rsid w:val="00D86CC2"/>
    <w:rsid w:val="00DB35AF"/>
    <w:rsid w:val="00DD72D7"/>
    <w:rsid w:val="00DF5B88"/>
    <w:rsid w:val="00E0589E"/>
    <w:rsid w:val="00E20D5B"/>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4073F84"/>
    <w:rsid w:val="05C21E55"/>
    <w:rsid w:val="0B60750A"/>
    <w:rsid w:val="0C4526BD"/>
    <w:rsid w:val="0C4F71A7"/>
    <w:rsid w:val="0CDE6533"/>
    <w:rsid w:val="10686488"/>
    <w:rsid w:val="10DF728A"/>
    <w:rsid w:val="1264200E"/>
    <w:rsid w:val="141C5B77"/>
    <w:rsid w:val="18D8339D"/>
    <w:rsid w:val="1A21388F"/>
    <w:rsid w:val="1A570D2F"/>
    <w:rsid w:val="1E4B640F"/>
    <w:rsid w:val="1FB325EA"/>
    <w:rsid w:val="24650D7E"/>
    <w:rsid w:val="24BC49C3"/>
    <w:rsid w:val="28FB0B8D"/>
    <w:rsid w:val="2A9870FC"/>
    <w:rsid w:val="2B3E6850"/>
    <w:rsid w:val="2D2B7942"/>
    <w:rsid w:val="2D46481D"/>
    <w:rsid w:val="2DE25BC4"/>
    <w:rsid w:val="2E733B28"/>
    <w:rsid w:val="31852B5A"/>
    <w:rsid w:val="31DE75BE"/>
    <w:rsid w:val="32D01238"/>
    <w:rsid w:val="33D32271"/>
    <w:rsid w:val="34D34D72"/>
    <w:rsid w:val="3DFC59A8"/>
    <w:rsid w:val="3ECF245E"/>
    <w:rsid w:val="3F6B280B"/>
    <w:rsid w:val="3FB96314"/>
    <w:rsid w:val="3FCFA80A"/>
    <w:rsid w:val="401C0367"/>
    <w:rsid w:val="423701B4"/>
    <w:rsid w:val="455C1FF7"/>
    <w:rsid w:val="475824B5"/>
    <w:rsid w:val="484535DB"/>
    <w:rsid w:val="4FC66515"/>
    <w:rsid w:val="503B5E98"/>
    <w:rsid w:val="52BD6549"/>
    <w:rsid w:val="53A44FAF"/>
    <w:rsid w:val="570734A6"/>
    <w:rsid w:val="57BD050B"/>
    <w:rsid w:val="594329EC"/>
    <w:rsid w:val="5B015038"/>
    <w:rsid w:val="5BEE1540"/>
    <w:rsid w:val="5D35215E"/>
    <w:rsid w:val="5DE61A5D"/>
    <w:rsid w:val="5E6812B7"/>
    <w:rsid w:val="611E49F8"/>
    <w:rsid w:val="63C04243"/>
    <w:rsid w:val="641C68EA"/>
    <w:rsid w:val="649C01C7"/>
    <w:rsid w:val="67572C20"/>
    <w:rsid w:val="699A3F60"/>
    <w:rsid w:val="707E60C6"/>
    <w:rsid w:val="72902E62"/>
    <w:rsid w:val="73C61104"/>
    <w:rsid w:val="752C5366"/>
    <w:rsid w:val="75C553B6"/>
    <w:rsid w:val="76662CEE"/>
    <w:rsid w:val="776452EA"/>
    <w:rsid w:val="77DB78C4"/>
    <w:rsid w:val="77EB24F8"/>
    <w:rsid w:val="783B2FD6"/>
    <w:rsid w:val="7C9F5E69"/>
    <w:rsid w:val="7DC663B9"/>
    <w:rsid w:val="7EA966AB"/>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image" Target="media/image5.png"/><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image" Target="media/image3.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983125"/>
          <c:y val="0.929666666666667"/>
        </c:manualLayout>
      </c:layout>
      <c:overlay val="0"/>
      <c:spPr>
        <a:noFill/>
        <a:ln>
          <a:noFill/>
        </a:ln>
        <a:effectLst/>
      </c:spPr>
      <c:tx>
        <c:rich>
          <a:bodyPr/>
          <a:lstStyle/>
          <a:p>
            <a:pPr>
              <a:defRPr/>
            </a:pPr>
          </a:p>
        </c:rich>
      </c:tx>
    </c:title>
    <c:autoTitleDeleted val="0"/>
    <c:plotArea>
      <c:layout/>
      <c:pieChart>
        <c:varyColors val="1"/>
        <c:ser>
          <c:idx val="0"/>
          <c:order val="0"/>
          <c:tx>
            <c:strRef>
              <c:f>Sheet1!$B$1</c:f>
              <c:strCache>
                <c:ptCount val="1"/>
                <c:pt idx="0">
                  <c:v>收入构成情况</c:v>
                </c:pt>
              </c:strCache>
            </c:strRef>
          </c:tx>
          <c:spPr>
            <a:effectLst/>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财政拨款收入</a:t>
                    </a:r>
                  </a:p>
                  <a:p>
                    <a:pPr defTabSz="914400">
                      <a:defRPr lang="zh-CN" sz="900" b="0" i="0" u="none" strike="noStrike" kern="1200" baseline="0">
                        <a:solidFill>
                          <a:schemeClr val="tx1">
                            <a:lumMod val="75000"/>
                            <a:lumOff val="25000"/>
                          </a:schemeClr>
                        </a:solidFill>
                        <a:latin typeface="+mn-lt"/>
                        <a:ea typeface="+mn-ea"/>
                        <a:cs typeface="+mn-cs"/>
                      </a:defRPr>
                    </a:pPr>
                    <a:r>
                      <a:t>99</a:t>
                    </a:r>
                    <a:r>
                      <a:rPr lang="en-US" altLang="zh-CN"/>
                      <a:t>.24</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21295210960298"/>
                  <c:y val="0.066970772494190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事业收入</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0.63</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layout>
                <c:manualLayout>
                  <c:x val="0.186804785041783"/>
                  <c:y val="0.05701731864873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其他收入</a:t>
                    </a:r>
                  </a:p>
                  <a:p>
                    <a:pPr defTabSz="914400">
                      <a:defRPr lang="zh-CN" sz="900" b="0" i="0" u="none" strike="noStrike" kern="1200" baseline="0">
                        <a:solidFill>
                          <a:schemeClr val="tx1">
                            <a:lumMod val="75000"/>
                            <a:lumOff val="25000"/>
                          </a:schemeClr>
                        </a:solidFill>
                        <a:latin typeface="+mn-lt"/>
                        <a:ea typeface="+mn-ea"/>
                        <a:cs typeface="+mn-cs"/>
                      </a:defRPr>
                    </a:pPr>
                    <a:r>
                      <a:t>0</a:t>
                    </a:r>
                    <a:r>
                      <a:rPr lang="en-US" altLang="zh-CN"/>
                      <a:t>.13</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99.24</c:v>
                </c:pt>
                <c:pt idx="1">
                  <c:v>0.63</c:v>
                </c:pt>
                <c:pt idx="2">
                  <c:v>0</c:v>
                </c:pt>
                <c:pt idx="3">
                  <c:v>0.13</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effectLst/>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a:t>
                    </a:r>
                  </a:p>
                  <a:p>
                    <a:pPr defTabSz="914400">
                      <a:defRPr lang="zh-CN" sz="900" b="0" i="0" u="none" strike="noStrike" kern="1200" baseline="0">
                        <a:solidFill>
                          <a:schemeClr val="tx1">
                            <a:lumMod val="75000"/>
                            <a:lumOff val="25000"/>
                          </a:schemeClr>
                        </a:solidFill>
                        <a:latin typeface="+mn-lt"/>
                        <a:ea typeface="+mn-ea"/>
                        <a:cs typeface="+mn-cs"/>
                      </a:defRPr>
                    </a:pPr>
                    <a:r>
                      <a:t>8</a:t>
                    </a:r>
                    <a:r>
                      <a:rPr lang="en-US" altLang="zh-CN"/>
                      <a:t>8.23</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a:t>
                    </a:r>
                  </a:p>
                  <a:p>
                    <a:pPr defTabSz="914400">
                      <a:defRPr lang="zh-CN" sz="900" b="0" i="0" u="none" strike="noStrike" kern="1200" baseline="0">
                        <a:solidFill>
                          <a:schemeClr val="tx1">
                            <a:lumMod val="75000"/>
                            <a:lumOff val="25000"/>
                          </a:schemeClr>
                        </a:solidFill>
                        <a:latin typeface="+mn-lt"/>
                        <a:ea typeface="+mn-ea"/>
                        <a:cs typeface="+mn-cs"/>
                      </a:defRPr>
                    </a:pPr>
                    <a:r>
                      <a:t>1</a:t>
                    </a:r>
                    <a:r>
                      <a:rPr lang="en-US" altLang="zh-CN"/>
                      <a:t>1.77</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88.23</c:v>
                </c:pt>
                <c:pt idx="1">
                  <c:v>11.77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Sheet1!#REF!</c:f>
              <c:strCache>
                <c:ptCount val="1"/>
                <c:pt idx="0">
                  <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Sheet1!$A$1:$A$4</c:f>
              <c:strCache>
                <c:ptCount val="4"/>
                <c:pt idx="0">
                  <c:v>2018年度收入</c:v>
                </c:pt>
                <c:pt idx="1">
                  <c:v>2017年度收入</c:v>
                </c:pt>
                <c:pt idx="2">
                  <c:v>2018年度支出</c:v>
                </c:pt>
                <c:pt idx="3">
                  <c:v>2017年度支出</c:v>
                </c:pt>
              </c:strCache>
            </c:strRef>
          </c:cat>
          <c:val>
            <c:numRef>
              <c:f>Sheet1!$B$1:$B$4</c:f>
              <c:numCache>
                <c:formatCode>General</c:formatCode>
                <c:ptCount val="4"/>
                <c:pt idx="0">
                  <c:v>117483.16</c:v>
                </c:pt>
                <c:pt idx="1">
                  <c:v>97546.08</c:v>
                </c:pt>
                <c:pt idx="2">
                  <c:v>110145.28</c:v>
                </c:pt>
                <c:pt idx="3">
                  <c:v>90386.64</c:v>
                </c:pt>
              </c:numCache>
            </c:numRef>
          </c:val>
        </c:ser>
        <c:dLbls>
          <c:showLegendKey val="0"/>
          <c:showVal val="1"/>
          <c:showCatName val="0"/>
          <c:showSerName val="0"/>
          <c:showPercent val="0"/>
          <c:showBubbleSize val="0"/>
        </c:dLbls>
        <c:gapWidth val="75"/>
        <c:axId val="190887808"/>
        <c:axId val="190889344"/>
      </c:barChart>
      <c:catAx>
        <c:axId val="190887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0889344"/>
        <c:crosses val="autoZero"/>
        <c:auto val="1"/>
        <c:lblAlgn val="ctr"/>
        <c:lblOffset val="100"/>
        <c:noMultiLvlLbl val="0"/>
      </c:catAx>
      <c:valAx>
        <c:axId val="190889344"/>
        <c:scaling>
          <c:orientation val="minMax"/>
        </c:scaling>
        <c:delete val="0"/>
        <c:axPos val="l"/>
        <c:numFmt formatCode="General" sourceLinked="1"/>
        <c:majorTickMark val="none"/>
        <c:minorTickMark val="none"/>
        <c:tickLblPos val="nextTo"/>
        <c:spPr>
          <a:noFill/>
          <a:ln w="12700"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0887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delete val="1"/>
          </c:dLbls>
          <c:cat>
            <c:strRef>
              <c:f>Sheet1!$A$2:$A$6</c:f>
              <c:strCache>
                <c:ptCount val="5"/>
                <c:pt idx="0">
                  <c:v>收入预算数</c:v>
                </c:pt>
                <c:pt idx="1">
                  <c:v>收入决算数</c:v>
                </c:pt>
                <c:pt idx="3">
                  <c:v>支出预算数</c:v>
                </c:pt>
                <c:pt idx="4">
                  <c:v>支出决算数</c:v>
                </c:pt>
              </c:strCache>
            </c:strRef>
          </c:cat>
          <c:val>
            <c:numRef>
              <c:f>Sheet1!$B$2:$B$6</c:f>
              <c:numCache>
                <c:formatCode>General</c:formatCode>
                <c:ptCount val="5"/>
                <c:pt idx="0">
                  <c:v>80557.17</c:v>
                </c:pt>
                <c:pt idx="1">
                  <c:v>117483.16</c:v>
                </c:pt>
                <c:pt idx="3">
                  <c:v>80557.17</c:v>
                </c:pt>
                <c:pt idx="4">
                  <c:v>110145.28</c:v>
                </c:pt>
              </c:numCache>
            </c:numRef>
          </c:val>
        </c:ser>
        <c:dLbls>
          <c:showLegendKey val="0"/>
          <c:showVal val="0"/>
          <c:showCatName val="0"/>
          <c:showSerName val="0"/>
          <c:showPercent val="0"/>
          <c:showBubbleSize val="0"/>
        </c:dLbls>
        <c:gapWidth val="219"/>
        <c:overlap val="-27"/>
        <c:axId val="209980032"/>
        <c:axId val="220406144"/>
      </c:barChart>
      <c:catAx>
        <c:axId val="209980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0406144"/>
        <c:crosses val="autoZero"/>
        <c:auto val="1"/>
        <c:lblAlgn val="ctr"/>
        <c:lblOffset val="100"/>
        <c:noMultiLvlLbl val="0"/>
      </c:catAx>
      <c:valAx>
        <c:axId val="22040614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9980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a:solidFill>
                  <a:schemeClr val="bg1"/>
                </a:solidFill>
              </a:rPr>
              <a:t>销售额</a:t>
            </a:r>
            <a:endParaRPr>
              <a:solidFill>
                <a:schemeClr val="bg1"/>
              </a:solidFill>
            </a:endParaRPr>
          </a:p>
        </c:rich>
      </c:tx>
      <c:layout>
        <c:manualLayout>
          <c:xMode val="edge"/>
          <c:yMode val="edge"/>
          <c:x val="0.0365"/>
          <c:y val="0.338333333333333"/>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spPr>
            <a:effectLst/>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教育（类）支出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99.73</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142096490731845"/>
                  <c:y val="0.023088097263679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医疗卫生与计划生育支出（类）支出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0.06</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83296190750379"/>
                  <c:y val="0.0198440874354786"/>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社会保障和就业（类）支出</a:t>
                    </a:r>
                  </a:p>
                  <a:p>
                    <a:pPr defTabSz="914400">
                      <a:defRPr lang="zh-CN" sz="900" b="0" i="0" u="none" strike="noStrike" kern="1200" baseline="0">
                        <a:solidFill>
                          <a:schemeClr val="tx1">
                            <a:lumMod val="75000"/>
                            <a:lumOff val="25000"/>
                          </a:schemeClr>
                        </a:solidFill>
                        <a:latin typeface="+mn-lt"/>
                        <a:ea typeface="+mn-ea"/>
                        <a:cs typeface="+mn-cs"/>
                      </a:defRPr>
                    </a:pPr>
                    <a:r>
                      <a:t>0</a:t>
                    </a:r>
                    <a:r>
                      <a:rPr lang="en-US" altLang="zh-CN"/>
                      <a:t>.14</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88483305797369"/>
                  <c:y val="0.043621909334438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住房保障（类）</a:t>
                    </a:r>
                  </a:p>
                  <a:p>
                    <a:pPr defTabSz="914400">
                      <a:defRPr lang="zh-CN" sz="900" b="0" i="0" u="none" strike="noStrike" kern="1200" baseline="0">
                        <a:solidFill>
                          <a:schemeClr val="tx1">
                            <a:lumMod val="75000"/>
                            <a:lumOff val="25000"/>
                          </a:schemeClr>
                        </a:solidFill>
                        <a:latin typeface="+mn-lt"/>
                        <a:ea typeface="+mn-ea"/>
                        <a:cs typeface="+mn-cs"/>
                      </a:defRPr>
                    </a:pPr>
                    <a:r>
                      <a:t>支出0</a:t>
                    </a:r>
                    <a:r>
                      <a:rPr lang="en-US" altLang="zh-CN"/>
                      <a:t>.05</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56105692181183"/>
                  <c:y val="0.037791165336494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其他支出（类）</a:t>
                    </a:r>
                  </a:p>
                  <a:p>
                    <a:pPr defTabSz="914400">
                      <a:defRPr lang="zh-CN" sz="900" b="0" i="0" u="none" strike="noStrike" kern="1200" baseline="0">
                        <a:solidFill>
                          <a:schemeClr val="tx1">
                            <a:lumMod val="75000"/>
                            <a:lumOff val="25000"/>
                          </a:schemeClr>
                        </a:solidFill>
                        <a:latin typeface="+mn-lt"/>
                        <a:ea typeface="+mn-ea"/>
                        <a:cs typeface="+mn-cs"/>
                      </a:defRPr>
                    </a:pPr>
                    <a:r>
                      <a:t>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0.02</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教育（类）支出</c:v>
                </c:pt>
                <c:pt idx="1">
                  <c:v>医疗卫生与计划生育支出（类）支出</c:v>
                </c:pt>
                <c:pt idx="2">
                  <c:v>社会保障和就业（类）支出</c:v>
                </c:pt>
                <c:pt idx="3">
                  <c:v>住房保障（类）支出</c:v>
                </c:pt>
                <c:pt idx="4">
                  <c:v>其他支出（类）支出</c:v>
                </c:pt>
              </c:strCache>
            </c:strRef>
          </c:cat>
          <c:val>
            <c:numRef>
              <c:f>Sheet1!$B$2:$B$6</c:f>
              <c:numCache>
                <c:formatCode>General</c:formatCode>
                <c:ptCount val="5"/>
                <c:pt idx="0">
                  <c:v>99</c:v>
                </c:pt>
                <c:pt idx="1">
                  <c:v>0.06</c:v>
                </c:pt>
                <c:pt idx="2">
                  <c:v>0.14</c:v>
                </c:pt>
                <c:pt idx="3">
                  <c:v>0.05</c:v>
                </c:pt>
                <c:pt idx="4">
                  <c:v>0.02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1"/>
    <customShpInfo spid="_x0000_s1122"/>
    <customShpInfo spid="_x0000_s1123"/>
    <customShpInfo spid="_x0000_s1124"/>
    <customShpInfo spid="_x0000_s1125"/>
    <customShpInfo spid="_x0000_s1126"/>
    <customShpInfo spid="_x0000_s1114"/>
    <customShpInfo spid="_x0000_s1127"/>
    <customShpInfo spid="_x0000_s1128"/>
    <customShpInfo spid="_x0000_s1129"/>
    <customShpInfo spid="_x0000_s1130"/>
    <customShpInfo spid="_x0000_s1131"/>
    <customShpInfo spid="_x0000_s1132"/>
    <customShpInfo spid="_x0000_s1137"/>
    <customShpInfo spid="_x0000_s1138"/>
    <customShpInfo spid="_x0000_s1136"/>
    <customShpInfo spid="_x0000_s1140"/>
    <customShpInfo spid="_x0000_s1141"/>
    <customShpInfo spid="_x0000_s1139"/>
    <customShpInfo spid="_x0000_s1110"/>
    <customShpInfo spid="_x0000_s1133"/>
    <customShpInfo spid="_x0000_s1134"/>
    <customShpInfo spid="_x0000_s1135"/>
    <customShpInfo spid="_x0000_s1143"/>
    <customShpInfo spid="_x0000_s1144"/>
    <customShpInfo spid="_x0000_s1142"/>
    <customShpInfo spid="_x0000_s1155"/>
    <customShpInfo spid="_x0000_s1156"/>
    <customShpInfo spid="_x0000_s1154"/>
    <customShpInfo spid="_x0000_s1167"/>
    <customShpInfo spid="_x0000_s1168"/>
    <customShpInfo spid="_x0000_s1166"/>
    <customShpInfo spid="_x0000_s1170"/>
    <customShpInfo spid="_x0000_s1171"/>
    <customShpInfo spid="_x0000_s1169"/>
    <customShpInfo spid="_x0000_s1173"/>
    <customShpInfo spid="_x0000_s1174"/>
    <customShpInfo spid="_x0000_s1172"/>
    <customShpInfo spid="_x0000_s1176"/>
    <customShpInfo spid="_x0000_s1177"/>
    <customShpInfo spid="_x0000_s1175"/>
    <customShpInfo spid="_x0000_s1179"/>
    <customShpInfo spid="_x0000_s1180"/>
    <customShpInfo spid="_x0000_s1178"/>
    <customShpInfo spid="_x0000_s1182"/>
    <customShpInfo spid="_x0000_s1183"/>
    <customShpInfo spid="_x0000_s1181"/>
    <customShpInfo spid="_x0000_s1185"/>
    <customShpInfo spid="_x0000_s1186"/>
    <customShpInfo spid="_x0000_s1184"/>
    <customShpInfo spid="_x0000_s1079"/>
    <customShpInfo spid="_x0000_s1187"/>
    <customShpInfo spid="_x0000_s1188"/>
    <customShpInfo spid="_x0000_s1189"/>
    <customShpInfo spid="_x0000_s1072"/>
    <customShpInfo spid="_x0000_s1071"/>
    <customShpInfo spid="_x0000_s1070"/>
    <customShpInfo spid="_x0000_s1190"/>
    <customShpInfo spid="_x0000_s1191"/>
    <customShpInfo spid="_x0000_s1192"/>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193"/>
    <customShpInfo spid="_x0000_s1194"/>
    <customShpInfo spid="_x0000_s1195"/>
    <customShpInfo spid="_x0000_s1196"/>
    <customShpInfo spid="_x0000_s1197"/>
    <customShpInfo spid="_x0000_s1198"/>
    <customShpInfo spid="_x0000_s1199"/>
    <customShpInfo spid="_x0000_s1200"/>
    <customShpInfo spid="_x0000_s1201"/>
    <customShpInfo spid="_x0000_s1215"/>
    <customShpInfo spid="_x0000_s1216"/>
    <customShpInfo spid="_x0000_s1214"/>
    <customShpInfo spid="_x0000_s1045"/>
    <customShpInfo spid="_x0000_s1044"/>
    <customShpInfo spid="_x0000_s1043"/>
    <customShpInfo spid="_x0000_s1042"/>
    <customShpInfo spid="_x0000_s1041"/>
    <customShpInfo spid="_x0000_s1040"/>
    <customShpInfo spid="_x0000_s1205"/>
    <customShpInfo spid="_x0000_s1206"/>
    <customShpInfo spid="_x0000_s1207"/>
    <customShpInfo spid="_x0000_s1036"/>
    <customShpInfo spid="_x0000_s1208"/>
    <customShpInfo spid="_x0000_s1209"/>
    <customShpInfo spid="_x0000_s1210"/>
    <customShpInfo spid="_x0000_s1211"/>
    <customShpInfo spid="_x0000_s1212"/>
    <customShpInfo spid="_x0000_s1213"/>
  </customShpExts>
</s:customData>
</file>

<file path=customXml/item2.xml><?xml version="1.0" encoding="utf-8"?>
<CoverPageProperties xmlns="http://schemas.microsoft.com/office/2006/coverPageProps">
  <PublishDate xmlns="http://schemas.microsoft.com/office/2006/coverPageProps">2017</PublishDate>
  <Abstract xmlns="http://schemas.microsoft.com/office/2006/coverPageProps"/>
  <CompanyAddress xmlns="http://schemas.microsoft.com/office/2006/coverPageProps"/>
  <CompanyPhone xmlns="http://schemas.microsoft.com/office/2006/coverPageProps"/>
  <CompanyFax xmlns="http://schemas.microsoft.com/office/2006/coverPageProps"/>
  <CompanyEmail xmlns="http://schemas.microsoft.com/office/2006/coverPageProps"/>
</CoverPageProperties>
</file>

<file path=customXml/item3.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7F2C57C8-4DB5-4742-B5B2-93A7C1BB38C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47</Pages>
  <Words>10208</Words>
  <Characters>14763</Characters>
  <Lines>127</Lines>
  <Paragraphs>35</Paragraphs>
  <TotalTime>13</TotalTime>
  <ScaleCrop>false</ScaleCrop>
  <LinksUpToDate>false</LinksUpToDate>
  <CharactersWithSpaces>15186</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uos</cp:lastModifiedBy>
  <cp:lastPrinted>2019-09-23T20:36:00Z</cp:lastPrinted>
  <dcterms:modified xsi:type="dcterms:W3CDTF">2024-11-29T10:14:25Z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DF314B83E31542498304AD04AE18780E_12</vt:lpwstr>
  </property>
</Properties>
</file>