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鹿泉区供销合作总社</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 w:hAnsi="楷体" w:eastAsia="楷体" w:cs="楷体"/>
          <w:b/>
          <w:sz w:val="40"/>
          <w:szCs w:val="40"/>
        </w:rPr>
        <w:sectPr>
          <w:pgSz w:w="11906" w:h="16838"/>
          <w:pgMar w:top="2098" w:right="1474" w:bottom="1985" w:left="1588" w:header="851" w:footer="992" w:gutter="0"/>
          <w:cols w:space="425" w:num="1"/>
          <w:docGrid w:type="lines" w:linePitch="312" w:charSpace="0"/>
        </w:sectPr>
      </w:pPr>
      <w:r>
        <w:rPr>
          <w:rFonts w:hint="eastAsia" w:ascii="楷体" w:hAnsi="楷体" w:eastAsia="楷体" w:cs="楷体"/>
          <w:b/>
          <w:sz w:val="40"/>
          <w:szCs w:val="40"/>
        </w:rPr>
        <w:t>二</w:t>
      </w:r>
      <w:r>
        <w:rPr>
          <w:rFonts w:hint="eastAsia" w:ascii="楷体" w:hAnsi="楷体" w:eastAsia="楷体" w:cs="宋体"/>
          <w:b/>
          <w:sz w:val="40"/>
          <w:szCs w:val="40"/>
        </w:rPr>
        <w:t>〇</w:t>
      </w:r>
      <w:r>
        <w:rPr>
          <w:rFonts w:hint="eastAsia" w:ascii="楷体" w:hAnsi="楷体" w:eastAsia="楷体" w:cs="楷体_GB2312"/>
          <w:b/>
          <w:sz w:val="40"/>
          <w:szCs w:val="40"/>
        </w:rPr>
        <w:t>一九年九</w:t>
      </w:r>
      <w:r>
        <w:rPr>
          <w:rFonts w:hint="eastAsia" w:ascii="楷体" w:hAnsi="楷体" w:eastAsia="楷体" w:cs="楷体"/>
          <w:b/>
          <w:sz w:val="40"/>
          <w:szCs w:val="40"/>
        </w:rPr>
        <w:t>月二十</w:t>
      </w:r>
      <w:r>
        <w:rPr>
          <w:rFonts w:hint="eastAsia" w:ascii="楷体" w:hAnsi="楷体" w:eastAsia="楷体" w:cs="宋体"/>
          <w:b/>
          <w:sz w:val="40"/>
          <w:szCs w:val="40"/>
        </w:rPr>
        <w:t>五</w:t>
      </w:r>
      <w:r>
        <w:rPr>
          <w:rFonts w:hint="eastAsia" w:ascii="楷体" w:hAnsi="楷体" w:eastAsia="楷体" w:cs="楷体"/>
          <w:b/>
          <w:sz w:val="40"/>
          <w:szCs w:val="40"/>
        </w:rPr>
        <w:t>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5516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供销社</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5414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408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spacing w:line="500" w:lineRule="exact"/>
        <w:ind w:firstLine="560"/>
        <w:rPr>
          <w:rFonts w:ascii="方正仿宋_GBK" w:eastAsia="方正仿宋_GBK"/>
          <w:sz w:val="28"/>
        </w:rPr>
      </w:pPr>
      <w:r>
        <w:rPr>
          <w:rFonts w:ascii="方正仿宋_GBK" w:eastAsia="方正仿宋_GBK"/>
          <w:sz w:val="28"/>
        </w:rPr>
        <w:t>1、宣传、贯彻党和政府有关农村工作和社会发展的方针、政策，制订并组织实施供销合作社发展规划。</w:t>
      </w:r>
    </w:p>
    <w:p>
      <w:pPr>
        <w:spacing w:line="500" w:lineRule="exact"/>
        <w:ind w:firstLine="560"/>
        <w:rPr>
          <w:rFonts w:ascii="方正仿宋_GBK" w:eastAsia="方正仿宋_GBK"/>
          <w:sz w:val="28"/>
        </w:rPr>
      </w:pPr>
      <w:r>
        <w:rPr>
          <w:rFonts w:ascii="方正仿宋_GBK" w:eastAsia="方正仿宋_GBK"/>
          <w:sz w:val="28"/>
        </w:rPr>
        <w:t>2、协调与政府部门、社会组织的关系，维护供销合作社《章程》赋予的合法权益，促进合作经济的发展。</w:t>
      </w:r>
    </w:p>
    <w:p>
      <w:pPr>
        <w:spacing w:line="500" w:lineRule="exact"/>
        <w:ind w:firstLine="560"/>
        <w:rPr>
          <w:rFonts w:ascii="方正仿宋_GBK" w:eastAsia="方正仿宋_GBK"/>
          <w:sz w:val="28"/>
        </w:rPr>
      </w:pPr>
      <w:r>
        <w:rPr>
          <w:rFonts w:ascii="方正仿宋_GBK" w:eastAsia="方正仿宋_GBK"/>
          <w:sz w:val="28"/>
        </w:rPr>
        <w:t>3、指导农民合作经济组织联合会、供销社系统行业协会建设，增强服务功能，协助有关部门加强对农产品行业协会的管理和指导，积极领办农民专业合作社。</w:t>
      </w:r>
    </w:p>
    <w:p>
      <w:pPr>
        <w:spacing w:line="500" w:lineRule="exact"/>
        <w:ind w:firstLine="560"/>
        <w:rPr>
          <w:rFonts w:ascii="方正仿宋_GBK" w:eastAsia="方正仿宋_GBK"/>
          <w:sz w:val="28"/>
        </w:rPr>
      </w:pPr>
      <w:r>
        <w:rPr>
          <w:rFonts w:ascii="方正仿宋_GBK" w:eastAsia="方正仿宋_GBK"/>
          <w:sz w:val="28"/>
        </w:rPr>
        <w:t>4、发展农业生产资料现代经营服务网络，构建连锁经营体系，负责发展农副产品现代购销网络，创办经营各类农副产品批发市场，推动农超对接，负责发展日用消费品现代经营网络，构建现代连锁经营体系，负责再生资源回收利用体系建设。</w:t>
      </w:r>
    </w:p>
    <w:p>
      <w:pPr>
        <w:spacing w:line="500" w:lineRule="exact"/>
        <w:ind w:firstLine="560"/>
        <w:rPr>
          <w:rFonts w:ascii="方正仿宋_GBK" w:eastAsia="方正仿宋_GBK"/>
          <w:sz w:val="28"/>
        </w:rPr>
      </w:pPr>
      <w:r>
        <w:rPr>
          <w:rFonts w:ascii="方正仿宋_GBK" w:eastAsia="方正仿宋_GBK"/>
          <w:sz w:val="28"/>
        </w:rPr>
        <w:t>5、全面推进基层社建设提档升级，以提升基层社服务能力为目标，以规范基层社管理运营为重点，密切供销社与农民的联系，成为综合改革的“排头兵”，完成涉农乡镇基层社制度规范工作，推进12个乡镇基层社分类改造，2018年50%的基层社达到国家“千县千社”标杆社建设标准。</w:t>
      </w:r>
    </w:p>
    <w:p>
      <w:pPr>
        <w:spacing w:line="500" w:lineRule="exact"/>
        <w:ind w:firstLine="560"/>
        <w:rPr>
          <w:rFonts w:ascii="方正仿宋_GBK" w:eastAsia="方正仿宋_GBK"/>
          <w:sz w:val="28"/>
        </w:rPr>
      </w:pPr>
      <w:r>
        <w:rPr>
          <w:rFonts w:ascii="方正仿宋_GBK" w:eastAsia="方正仿宋_GBK"/>
          <w:sz w:val="28"/>
        </w:rPr>
        <w:t>6、2018年加强联合社管理，指导联合社完善工作制度，强化监督，确保开放办社合法经营，推进供销事业转型升级，发挥政策信息、系统联合上的优势，与经济实体的生产能力、市场优势相结合，实现联合社与农民组织的共嬴。县乡两级农民专业合作社联合社全部注册成立并运营。</w:t>
      </w:r>
    </w:p>
    <w:p>
      <w:pPr>
        <w:spacing w:line="500" w:lineRule="exact"/>
        <w:ind w:firstLine="560"/>
        <w:rPr>
          <w:rFonts w:ascii="方正仿宋_GBK" w:eastAsia="方正仿宋_GBK"/>
          <w:sz w:val="28"/>
        </w:rPr>
      </w:pPr>
      <w:r>
        <w:rPr>
          <w:rFonts w:ascii="方正仿宋_GBK" w:eastAsia="方正仿宋_GBK"/>
          <w:sz w:val="28"/>
        </w:rPr>
        <w:t>7、按照区政府要求，2018年推进我区农村产权交易中心建设，着力加强人员的专业培训，健全各项规章制度，协调有关部门加大信息采集工作力度，积极跑办有关职能部门，开展土地、养殖水面等经营权的流转和农村产权交易、抵押融资服务。为农民朋友及合作社解决融资难建立新通道。</w:t>
      </w:r>
    </w:p>
    <w:p>
      <w:pPr>
        <w:spacing w:line="500" w:lineRule="exact"/>
        <w:ind w:firstLine="560"/>
        <w:rPr>
          <w:rFonts w:ascii="方正仿宋_GBK" w:eastAsia="方正仿宋_GBK"/>
          <w:sz w:val="28"/>
        </w:rPr>
      </w:pPr>
      <w:r>
        <w:rPr>
          <w:rFonts w:ascii="方正仿宋_GBK" w:eastAsia="方正仿宋_GBK"/>
          <w:sz w:val="28"/>
        </w:rPr>
        <w:t>8、盐业行政管理，依法加强盐政管理，做好食盐专营和储备工作，负责供销社所属烟花爆竹从业单位、人员的日常安全管理和业务指导，协助配合相关部门做好安全监管工作，管理政府委托的物资、商品储备。</w:t>
      </w:r>
    </w:p>
    <w:p>
      <w:pPr>
        <w:spacing w:line="500" w:lineRule="exact"/>
        <w:ind w:firstLine="560"/>
        <w:rPr>
          <w:rFonts w:ascii="方正仿宋_GBK" w:eastAsia="方正仿宋_GBK"/>
          <w:sz w:val="28"/>
        </w:rPr>
      </w:pPr>
      <w:r>
        <w:rPr>
          <w:rFonts w:ascii="方正仿宋_GBK" w:eastAsia="方正仿宋_GBK"/>
          <w:sz w:val="28"/>
        </w:rPr>
        <w:t>9、全区再生资源回收管理工作。</w:t>
      </w:r>
    </w:p>
    <w:p>
      <w:pPr>
        <w:spacing w:line="500" w:lineRule="exact"/>
        <w:ind w:firstLine="560"/>
        <w:rPr>
          <w:rFonts w:ascii="方正仿宋_GBK" w:eastAsia="方正仿宋_GBK"/>
          <w:sz w:val="28"/>
        </w:rPr>
      </w:pPr>
      <w:r>
        <w:rPr>
          <w:rFonts w:ascii="方正仿宋_GBK" w:eastAsia="方正仿宋_GBK"/>
          <w:sz w:val="28"/>
        </w:rPr>
        <w:t>10、承办区委、区政府及省、石家庄市供销社赋予的其他职能和工作任务。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560" w:firstLineChars="200"/>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951"/>
        <w:gridCol w:w="2835"/>
        <w:gridCol w:w="2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2951"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83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80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2951" w:type="dxa"/>
          </w:tcPr>
          <w:p>
            <w:pPr>
              <w:spacing w:after="0" w:line="560" w:lineRule="exact"/>
              <w:rPr>
                <w:rFonts w:ascii="宋体" w:hAnsi="宋体" w:cs="宋体"/>
                <w:kern w:val="0"/>
                <w:sz w:val="28"/>
                <w:szCs w:val="28"/>
              </w:rPr>
            </w:pPr>
            <w:r>
              <w:rPr>
                <w:rFonts w:hint="eastAsia" w:ascii="宋体" w:hAnsi="宋体" w:cs="宋体"/>
                <w:kern w:val="0"/>
                <w:sz w:val="28"/>
                <w:szCs w:val="28"/>
              </w:rPr>
              <w:t>鹿泉区供销合作总社</w:t>
            </w:r>
          </w:p>
        </w:tc>
        <w:tc>
          <w:tcPr>
            <w:tcW w:w="283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809"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2951" w:type="dxa"/>
          </w:tcPr>
          <w:p>
            <w:pPr>
              <w:spacing w:after="0" w:line="560" w:lineRule="exact"/>
              <w:rPr>
                <w:rFonts w:ascii="仿宋_GB2312" w:eastAsia="仿宋_GB2312" w:cs="ArialUnicodeMS" w:hAnsiTheme="minorHAnsi"/>
                <w:kern w:val="0"/>
                <w:sz w:val="28"/>
                <w:szCs w:val="28"/>
              </w:rPr>
            </w:pPr>
          </w:p>
        </w:tc>
        <w:tc>
          <w:tcPr>
            <w:tcW w:w="2835" w:type="dxa"/>
          </w:tcPr>
          <w:p>
            <w:pPr>
              <w:spacing w:after="0" w:line="560" w:lineRule="exact"/>
              <w:jc w:val="center"/>
              <w:rPr>
                <w:rFonts w:ascii="仿宋_GB2312" w:eastAsia="仿宋_GB2312" w:cs="ArialUnicodeMS" w:hAnsiTheme="minorHAnsi"/>
                <w:kern w:val="0"/>
                <w:sz w:val="28"/>
                <w:szCs w:val="28"/>
              </w:rPr>
            </w:pPr>
          </w:p>
        </w:tc>
        <w:tc>
          <w:tcPr>
            <w:tcW w:w="2809"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2951" w:type="dxa"/>
          </w:tcPr>
          <w:p>
            <w:pPr>
              <w:spacing w:after="0" w:line="560" w:lineRule="exact"/>
              <w:rPr>
                <w:rFonts w:ascii="仿宋_GB2312" w:eastAsia="仿宋_GB2312" w:cs="ArialUnicodeMS" w:hAnsiTheme="minorHAnsi"/>
                <w:kern w:val="0"/>
                <w:sz w:val="28"/>
                <w:szCs w:val="28"/>
              </w:rPr>
            </w:pPr>
          </w:p>
        </w:tc>
        <w:tc>
          <w:tcPr>
            <w:tcW w:w="2835" w:type="dxa"/>
          </w:tcPr>
          <w:p>
            <w:pPr>
              <w:spacing w:after="0" w:line="560" w:lineRule="exact"/>
              <w:jc w:val="center"/>
              <w:rPr>
                <w:rFonts w:ascii="仿宋_GB2312" w:eastAsia="仿宋_GB2312" w:cs="ArialUnicodeMS" w:hAnsiTheme="minorHAnsi"/>
                <w:kern w:val="0"/>
                <w:sz w:val="28"/>
                <w:szCs w:val="28"/>
              </w:rPr>
            </w:pPr>
          </w:p>
        </w:tc>
        <w:tc>
          <w:tcPr>
            <w:tcW w:w="2809"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951"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83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809"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8744" w:type="dxa"/>
        <w:jc w:val="center"/>
        <w:tblInd w:w="-213" w:type="dxa"/>
        <w:tblLayout w:type="fixed"/>
        <w:tblCellMar>
          <w:top w:w="0" w:type="dxa"/>
          <w:left w:w="0" w:type="dxa"/>
          <w:bottom w:w="0" w:type="dxa"/>
          <w:right w:w="0" w:type="dxa"/>
        </w:tblCellMar>
      </w:tblPr>
      <w:tblGrid>
        <w:gridCol w:w="2700"/>
        <w:gridCol w:w="567"/>
        <w:gridCol w:w="780"/>
        <w:gridCol w:w="2700"/>
        <w:gridCol w:w="567"/>
        <w:gridCol w:w="1430"/>
      </w:tblGrid>
      <w:tr>
        <w:tblPrEx>
          <w:tblLayout w:type="fixed"/>
          <w:tblCellMar>
            <w:top w:w="0" w:type="dxa"/>
            <w:left w:w="0" w:type="dxa"/>
            <w:bottom w:w="0" w:type="dxa"/>
            <w:right w:w="0" w:type="dxa"/>
          </w:tblCellMar>
        </w:tblPrEx>
        <w:trPr>
          <w:trHeight w:val="567" w:hRule="atLeast"/>
          <w:jc w:val="center"/>
        </w:trPr>
        <w:tc>
          <w:tcPr>
            <w:tcW w:w="8744"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5619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Layout w:type="fixed"/>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78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Layout w:type="fixed"/>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部门：鹿泉区供销合作总社</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78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95" w:hRule="atLeast"/>
          <w:jc w:val="center"/>
        </w:trPr>
        <w:tc>
          <w:tcPr>
            <w:tcW w:w="40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Layout w:type="fixed"/>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305.11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7.78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31.42</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8.52</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256.67</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11.27</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312.89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307.87</w:t>
            </w:r>
          </w:p>
        </w:tc>
      </w:tr>
      <w:tr>
        <w:tblPrEx>
          <w:tblLayout w:type="fixed"/>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0.31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5.33</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313.20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313.20</w:t>
            </w:r>
          </w:p>
        </w:tc>
      </w:tr>
      <w:tr>
        <w:tblPrEx>
          <w:tblLayout w:type="fixed"/>
          <w:tblCellMar>
            <w:top w:w="0" w:type="dxa"/>
            <w:left w:w="0" w:type="dxa"/>
            <w:bottom w:w="0" w:type="dxa"/>
            <w:right w:w="0" w:type="dxa"/>
          </w:tblCellMar>
        </w:tblPrEx>
        <w:trPr>
          <w:trHeight w:val="417" w:hRule="atLeast"/>
          <w:jc w:val="center"/>
        </w:trPr>
        <w:tc>
          <w:tcPr>
            <w:tcW w:w="8744"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Ind w:w="0" w:type="dxa"/>
        <w:tblLayout w:type="fixed"/>
        <w:tblCellMar>
          <w:top w:w="0" w:type="dxa"/>
          <w:left w:w="0" w:type="dxa"/>
          <w:bottom w:w="0" w:type="dxa"/>
          <w:right w:w="0" w:type="dxa"/>
        </w:tblCellMar>
      </w:tblPr>
      <w:tblGrid>
        <w:gridCol w:w="335"/>
        <w:gridCol w:w="179"/>
        <w:gridCol w:w="315"/>
        <w:gridCol w:w="1523"/>
        <w:gridCol w:w="533"/>
        <w:gridCol w:w="260"/>
        <w:gridCol w:w="127"/>
        <w:gridCol w:w="688"/>
        <w:gridCol w:w="232"/>
        <w:gridCol w:w="584"/>
        <w:gridCol w:w="337"/>
        <w:gridCol w:w="478"/>
        <w:gridCol w:w="442"/>
        <w:gridCol w:w="373"/>
        <w:gridCol w:w="548"/>
        <w:gridCol w:w="920"/>
        <w:gridCol w:w="926"/>
      </w:tblGrid>
      <w:tr>
        <w:tblPrEx>
          <w:tblLayout w:type="fixed"/>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5721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Layout w:type="fixed"/>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2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Layout w:type="fixed"/>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鹿泉区供销合作总社</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Layout w:type="fixed"/>
          <w:tblCellMar>
            <w:top w:w="0" w:type="dxa"/>
            <w:left w:w="0" w:type="dxa"/>
            <w:bottom w:w="0" w:type="dxa"/>
            <w:right w:w="0" w:type="dxa"/>
          </w:tblCellMar>
        </w:tblPrEx>
        <w:trPr>
          <w:trHeight w:val="626"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523"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Layout w:type="fixed"/>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Layout w:type="fixed"/>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312.89</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305.11</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7.78</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33.77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33.77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20.81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20.81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20.81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20.81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2080901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退役士兵安置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医疗卫生和计划生育支出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2101101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商业服务业等支出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256.62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251.07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5.55</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商业流通事务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256.62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251.07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5.55</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2160250</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事业运行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198.42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192.87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5.55</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2160299</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其他商业流通事务支出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58.20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58.20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9.04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2.23</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9.04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2.23</w:t>
            </w:r>
          </w:p>
        </w:tc>
      </w:tr>
      <w:tr>
        <w:tblPrEx>
          <w:tblLayout w:type="fixed"/>
          <w:tblCellMar>
            <w:top w:w="0" w:type="dxa"/>
            <w:left w:w="0" w:type="dxa"/>
            <w:bottom w:w="0" w:type="dxa"/>
            <w:right w:w="0" w:type="dxa"/>
          </w:tblCellMar>
        </w:tblPrEx>
        <w:trPr>
          <w:trHeight w:val="371" w:hRule="atLeast"/>
          <w:jc w:val="center"/>
        </w:trPr>
        <w:tc>
          <w:tcPr>
            <w:tcW w:w="8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2210201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11.27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9.04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2.23</w:t>
            </w:r>
          </w:p>
        </w:tc>
      </w:tr>
      <w:tr>
        <w:tblPrEx>
          <w:tblLayout w:type="fixed"/>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287"/>
        <w:gridCol w:w="516"/>
        <w:gridCol w:w="1117"/>
        <w:gridCol w:w="493"/>
        <w:gridCol w:w="154"/>
        <w:gridCol w:w="838"/>
        <w:gridCol w:w="280"/>
        <w:gridCol w:w="854"/>
        <w:gridCol w:w="266"/>
        <w:gridCol w:w="585"/>
        <w:gridCol w:w="533"/>
        <w:gridCol w:w="331"/>
        <w:gridCol w:w="789"/>
        <w:gridCol w:w="294"/>
        <w:gridCol w:w="1084"/>
      </w:tblGrid>
      <w:tr>
        <w:tblPrEx>
          <w:tblLayout w:type="fixed"/>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582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hAnsi="宋体" w:eastAsia="黑体" w:cs="黑体"/>
                <w:color w:val="000000"/>
                <w:kern w:val="0"/>
                <w:sz w:val="40"/>
                <w:szCs w:val="40"/>
              </w:rPr>
              <w:t>表</w:t>
            </w:r>
          </w:p>
        </w:tc>
      </w:tr>
      <w:tr>
        <w:tblPrEx>
          <w:tblLayout w:type="fixed"/>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Layout w:type="fixed"/>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鹿泉区供销合作总社</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837" w:hRule="atLeast"/>
        </w:trPr>
        <w:tc>
          <w:tcPr>
            <w:tcW w:w="299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5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6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Layout w:type="fixed"/>
          <w:tblCellMar>
            <w:top w:w="0" w:type="dxa"/>
            <w:left w:w="0" w:type="dxa"/>
            <w:bottom w:w="0" w:type="dxa"/>
            <w:right w:w="0" w:type="dxa"/>
          </w:tblCellMar>
        </w:tblPrEx>
        <w:trPr>
          <w:trHeight w:val="782" w:hRule="atLeast"/>
        </w:trPr>
        <w:tc>
          <w:tcPr>
            <w:tcW w:w="8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6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95" w:hRule="atLeast"/>
        </w:trPr>
        <w:tc>
          <w:tcPr>
            <w:tcW w:w="2992"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6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440" w:hRule="atLeast"/>
        </w:trPr>
        <w:tc>
          <w:tcPr>
            <w:tcW w:w="2992"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307.87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307.87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退役安置</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2080901</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退役士兵安置</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医疗卫生和计划生育支出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2101101</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商业服务业等支出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256.67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256.67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商业流通事务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256.67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256.67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2160250</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事业运行</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198.47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198.47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2160299</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其他商业流通事务支出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2210201</w:t>
            </w:r>
          </w:p>
        </w:tc>
        <w:tc>
          <w:tcPr>
            <w:tcW w:w="21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11.27</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Layout w:type="fixed"/>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592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Layout w:type="fixed"/>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Layout w:type="fixed"/>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部门：鹿泉区供销合作总社</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Layout w:type="fixed"/>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305.11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251.12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251.12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305.11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300.09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300.09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305.42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Layout w:type="fixed"/>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6028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Layout w:type="fixed"/>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Layout w:type="fixed"/>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鹿泉区供销合作总社</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Layout w:type="fixed"/>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Layout w:type="fixed"/>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Layout w:type="fixed"/>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300.09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300.09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医疗卫生和计划生育支出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商业服务业等支出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商业流通事务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2160250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事业运行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192.92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192.92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2160299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其他商业流通事务支出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58.20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Ind w:w="0" w:type="dxa"/>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Layout w:type="fixed"/>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Layout w:type="fixed"/>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Layout w:type="fixed"/>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鹿泉区供销合作总社</w:t>
            </w:r>
            <w:r>
              <w:rPr>
                <w:sz w:val="44"/>
              </w:rPr>
              <w:pict>
                <v:group id="_x0000_s1095" o:spid="_x0000_s1095" o:spt="203" style="position:absolute;left:0pt;margin-left:-73.25pt;margin-top:-129.4pt;height:41.2pt;width:243.2pt;mso-position-vertical-relative:page;z-index:251661312;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Layout w:type="fixed"/>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Layout w:type="fixed"/>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Layout w:type="fixed"/>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162.65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73.67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13.27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38.58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8.87</w:t>
            </w: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12.89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8.87</w:t>
            </w: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8.52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9.04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11.22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217.55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公用经费合计82.54</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r>
      <w:tr>
        <w:tblPrEx>
          <w:tblLayout w:type="fixed"/>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Ind w:w="37" w:type="dxa"/>
        <w:tblLayout w:type="fixed"/>
        <w:tblCellMar>
          <w:top w:w="0" w:type="dxa"/>
          <w:left w:w="0" w:type="dxa"/>
          <w:bottom w:w="0" w:type="dxa"/>
          <w:right w:w="0" w:type="dxa"/>
        </w:tblCellMar>
      </w:tblPr>
      <w:tblGrid>
        <w:gridCol w:w="1158"/>
        <w:gridCol w:w="1527"/>
        <w:gridCol w:w="1528"/>
        <w:gridCol w:w="1530"/>
        <w:gridCol w:w="1530"/>
        <w:gridCol w:w="1527"/>
      </w:tblGrid>
      <w:tr>
        <w:tblPrEx>
          <w:tblLayout w:type="fixed"/>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6233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Layout w:type="fixed"/>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Layout w:type="fixed"/>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部门：鹿泉区供销合作总社</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Layout w:type="fixed"/>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3.70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w:t>
            </w:r>
          </w:p>
        </w:tc>
      </w:tr>
      <w:tr>
        <w:tblPrEx>
          <w:tblLayout w:type="fixed"/>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Layout w:type="fixed"/>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Layout w:type="fixed"/>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6336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Layout w:type="fixed"/>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Layout w:type="fixed"/>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鹿泉区供销合作总社</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Layout w:type="fixed"/>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 w:val="30"/>
                <w:szCs w:val="30"/>
              </w:rPr>
            </w:pPr>
            <w:r>
              <w:rPr>
                <w:rFonts w:hint="eastAsia" w:ascii="宋体" w:hAnsi="宋体" w:cs="宋体"/>
                <w:color w:val="000000"/>
                <w:kern w:val="0"/>
                <w:sz w:val="30"/>
                <w:szCs w:val="30"/>
              </w:rPr>
              <w:t>注：本表反映部门本年度政府性基金预算财政拨款收入、支出及结转和结余情况。</w:t>
            </w:r>
          </w:p>
          <w:p>
            <w:pPr>
              <w:widowControl/>
              <w:adjustRightInd w:val="0"/>
              <w:spacing w:after="0" w:line="240" w:lineRule="auto"/>
              <w:jc w:val="left"/>
              <w:textAlignment w:val="center"/>
              <w:rPr>
                <w:rFonts w:ascii="宋体" w:hAnsi="宋体" w:cs="宋体"/>
                <w:color w:val="000000"/>
                <w:sz w:val="30"/>
                <w:szCs w:val="30"/>
              </w:rPr>
            </w:pPr>
            <w:r>
              <w:rPr>
                <w:rFonts w:hint="eastAsia" w:ascii="楷体" w:hAnsi="楷体" w:eastAsia="楷体" w:cs="楷体"/>
                <w:sz w:val="30"/>
                <w:szCs w:val="30"/>
              </w:rPr>
              <w:t>本部门本年度无相关收入（或支出、收支及结转结余等）情况，按要求空表列示。</w:t>
            </w:r>
            <w:r>
              <w:rPr>
                <w:rFonts w:hint="eastAsia" w:asciiTheme="minorEastAsia" w:hAnsiTheme="minorEastAsia" w:eastAsiaTheme="minorEastAsia" w:cstheme="minorEastAsia"/>
                <w:sz w:val="30"/>
                <w:szCs w:val="30"/>
              </w:rPr>
              <w:br w:type="page"/>
            </w:r>
            <w:r>
              <w:rPr>
                <w:rFonts w:hint="eastAsia" w:ascii="宋体" w:hAnsi="宋体" w:cs="宋体"/>
                <w:color w:val="000000"/>
                <w:kern w:val="0"/>
                <w:sz w:val="30"/>
                <w:szCs w:val="30"/>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Layout w:type="fixed"/>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6438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Layout w:type="fixed"/>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Layout w:type="fixed"/>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鹿泉区供销合作总社</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Layout w:type="fixed"/>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Layout w:type="fixed"/>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 w:val="30"/>
                <w:szCs w:val="30"/>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楷体" w:hAnsi="楷体" w:eastAsia="楷体" w:cs="楷体"/>
                <w:sz w:val="30"/>
                <w:szCs w:val="30"/>
              </w:rPr>
              <w:t>本部门本年度无相关收入（或支出、收支及结转结余等）情况，按要求空表列示。</w:t>
            </w:r>
            <w:r>
              <w:rPr>
                <w:rFonts w:hint="eastAsia" w:asciiTheme="minorEastAsia" w:hAnsiTheme="minorEastAsia" w:eastAsiaTheme="minorEastAsia" w:cstheme="minorEastAsia"/>
                <w:sz w:val="30"/>
                <w:szCs w:val="30"/>
              </w:rPr>
              <w:br w:type="page"/>
            </w:r>
            <w:r>
              <w:rPr>
                <w:rFonts w:hint="eastAsia" w:ascii="宋体" w:hAnsi="宋体" w:cs="宋体"/>
                <w:color w:val="000000"/>
                <w:kern w:val="0"/>
                <w:sz w:val="30"/>
                <w:szCs w:val="30"/>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Layout w:type="fixed"/>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79.15pt;margin-top:-85.45pt;height:56.45pt;width:238.5pt;mso-position-vertical-relative:page;z-index:25166540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Layout w:type="fixed"/>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Layout w:type="fixed"/>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鹿泉区供销合作总社</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Layout w:type="fixed"/>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Layout w:type="fixed"/>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Layout w:type="fixed"/>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Layout w:type="fixed"/>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Layout w:type="fixed"/>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 w:val="30"/>
                <w:szCs w:val="30"/>
              </w:rPr>
            </w:pPr>
            <w:r>
              <w:rPr>
                <w:rFonts w:hint="eastAsia" w:ascii="宋体" w:hAnsi="宋体" w:cs="宋体"/>
                <w:color w:val="000000"/>
                <w:kern w:val="0"/>
                <w:szCs w:val="21"/>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szCs w:val="21"/>
              </w:rPr>
            </w:pPr>
            <w:r>
              <w:rPr>
                <w:rFonts w:hint="eastAsia" w:ascii="楷体" w:hAnsi="楷体" w:eastAsia="楷体" w:cs="楷体"/>
                <w:sz w:val="30"/>
                <w:szCs w:val="30"/>
              </w:rPr>
              <w:t>本部门本年度无相关收入（或支出、收支及结转结余等）情况，按要求空表列示。</w:t>
            </w:r>
            <w:r>
              <w:rPr>
                <w:rFonts w:hint="eastAsia" w:asciiTheme="minorEastAsia" w:hAnsiTheme="minorEastAsia" w:eastAsiaTheme="minorEastAsia" w:cstheme="minorEastAsia"/>
                <w:sz w:val="30"/>
                <w:szCs w:val="30"/>
              </w:rPr>
              <w:br w:type="page"/>
            </w:r>
            <w:r>
              <w:rPr>
                <w:rFonts w:hint="eastAsia" w:ascii="宋体" w:hAnsi="宋体" w:cs="宋体"/>
                <w:color w:val="000000"/>
                <w:kern w:val="0"/>
                <w:sz w:val="30"/>
                <w:szCs w:val="30"/>
              </w:rPr>
              <w:t xml:space="preserve">   </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本部门2018年度年初结转和结余0.31万元，本年收入312.8</w:t>
      </w:r>
      <w:r>
        <w:rPr>
          <w:rFonts w:hint="eastAsia" w:ascii="宋体" w:hAnsi="宋体" w:cs="宋体"/>
          <w:sz w:val="32"/>
          <w:szCs w:val="32"/>
        </w:rPr>
        <w:t>9</w:t>
      </w:r>
      <w:r>
        <w:rPr>
          <w:rFonts w:hint="eastAsia" w:ascii="仿宋_GB2312" w:eastAsia="仿宋_GB2312" w:cs="DengXian-Regular"/>
          <w:sz w:val="32"/>
          <w:szCs w:val="32"/>
        </w:rPr>
        <w:t>万元；本年支出307.87万元、年末结转和结余5.33万元。与2017年度决算相比，本年收入增加28.22万元，增长</w:t>
      </w:r>
      <w:r>
        <w:rPr>
          <w:rFonts w:hint="eastAsia" w:ascii="宋体" w:hAnsi="宋体" w:cs="宋体"/>
          <w:sz w:val="32"/>
          <w:szCs w:val="32"/>
        </w:rPr>
        <w:t>9.91</w:t>
      </w:r>
      <w:r>
        <w:rPr>
          <w:rFonts w:hint="eastAsia" w:ascii="仿宋_GB2312" w:eastAsia="仿宋_GB2312" w:cs="DengXian-Regular"/>
          <w:sz w:val="32"/>
          <w:szCs w:val="32"/>
        </w:rPr>
        <w:t>%，主要是人员经费和退役安置费增加；本年支出增加1</w:t>
      </w:r>
      <w:r>
        <w:rPr>
          <w:rFonts w:hint="eastAsia" w:ascii="宋体" w:hAnsi="宋体" w:cs="宋体"/>
          <w:sz w:val="32"/>
          <w:szCs w:val="32"/>
        </w:rPr>
        <w:t>9.78</w:t>
      </w:r>
      <w:r>
        <w:rPr>
          <w:rFonts w:hint="eastAsia" w:ascii="仿宋_GB2312" w:eastAsia="仿宋_GB2312" w:cs="DengXian-Regular"/>
          <w:sz w:val="32"/>
          <w:szCs w:val="32"/>
        </w:rPr>
        <w:t>万元，增长6.</w:t>
      </w:r>
      <w:r>
        <w:rPr>
          <w:rFonts w:hint="eastAsia" w:ascii="宋体" w:hAnsi="宋体" w:cs="宋体"/>
          <w:sz w:val="32"/>
          <w:szCs w:val="32"/>
        </w:rPr>
        <w:t>86</w:t>
      </w:r>
      <w:r>
        <w:rPr>
          <w:rFonts w:hint="eastAsia" w:ascii="仿宋_GB2312" w:eastAsia="仿宋_GB2312" w:cs="DengXian-Regular"/>
          <w:sz w:val="32"/>
          <w:szCs w:val="32"/>
        </w:rPr>
        <w:t>%，主要是人员经费和退役安置费增加。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本部门2018年度本年收入合计312.8</w:t>
      </w:r>
      <w:r>
        <w:rPr>
          <w:rFonts w:hint="eastAsia" w:ascii="宋体" w:hAnsi="宋体" w:cs="宋体"/>
          <w:sz w:val="32"/>
          <w:szCs w:val="32"/>
        </w:rPr>
        <w:t>9</w:t>
      </w:r>
      <w:r>
        <w:rPr>
          <w:rFonts w:hint="eastAsia" w:ascii="仿宋_GB2312" w:eastAsia="仿宋_GB2312" w:cs="DengXian-Regular"/>
          <w:sz w:val="32"/>
          <w:szCs w:val="32"/>
        </w:rPr>
        <w:t>万元，其中：财政拨款收入305.11万元，占</w:t>
      </w:r>
      <w:r>
        <w:rPr>
          <w:rFonts w:hint="eastAsia" w:ascii="宋体" w:hAnsi="宋体" w:cs="宋体"/>
          <w:sz w:val="32"/>
          <w:szCs w:val="32"/>
        </w:rPr>
        <w:t>97.51</w:t>
      </w:r>
      <w:r>
        <w:rPr>
          <w:rFonts w:hint="eastAsia" w:ascii="仿宋_GB2312" w:eastAsia="仿宋_GB2312" w:cs="DengXian-Regular"/>
          <w:sz w:val="32"/>
          <w:szCs w:val="32"/>
        </w:rPr>
        <w:t>%；事业收入0万元；经营收入0万元；其他收入7.78万元，占2.4</w:t>
      </w:r>
      <w:r>
        <w:rPr>
          <w:rFonts w:hint="eastAsia" w:ascii="宋体" w:hAnsi="宋体" w:cs="宋体"/>
          <w:sz w:val="32"/>
          <w:szCs w:val="32"/>
        </w:rPr>
        <w:t>9</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pict>
          <v:shape id="_x0000_s1125" o:spid="_x0000_s1125" o:spt="3" type="#_x0000_t3" style="position:absolute;left:0pt;margin-left:118.4pt;margin-top:26.6pt;height:185pt;width:238.7pt;z-index:251683840;mso-width-relative:page;mso-height-relative:page;" coordsize="21600,21600">
            <v:path/>
            <v:fill focussize="0,0"/>
            <v:stroke/>
            <v:imagedata o:title=""/>
            <o:lock v:ext="edit"/>
            <v:textbox>
              <w:txbxContent>
                <w:p>
                  <w:r>
                    <w:rPr>
                      <w:rFonts w:hint="eastAsia"/>
                    </w:rPr>
                    <w:t xml:space="preserve">财政拨款   其他收入2.49% </w:t>
                  </w:r>
                </w:p>
                <w:p>
                  <w:r>
                    <w:rPr>
                      <w:rFonts w:hint="eastAsia"/>
                    </w:rPr>
                    <w:t>97.51%</w:t>
                  </w:r>
                </w:p>
              </w:txbxContent>
            </v:textbox>
          </v:shape>
        </w:pict>
      </w:r>
      <w:r>
        <w:pict>
          <v:group id="_x0000_s1076" o:spid="_x0000_s1076" o:spt="203" style="position:absolute;left:0pt;margin-left:73.8pt;margin-top:8.3pt;height:247.35pt;width:303.05pt;z-index:251650048;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6"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pict>
          <v:shape id="_x0000_s1127" o:spid="_x0000_s1127" o:spt="32" type="#_x0000_t32" style="position:absolute;left:0pt;flip:y;margin-left:233.1pt;margin-top:19.1pt;height:75.5pt;width:84.25pt;z-index:251685888;mso-width-relative:page;mso-height-relative:page;" o:connectortype="straight" filled="f" coordsize="21600,21600">
            <v:path arrowok="t"/>
            <v:fill on="f" focussize="0,0"/>
            <v:stroke/>
            <v:imagedata o:title=""/>
            <o:lock v:ext="edit"/>
          </v:shape>
        </w:pict>
      </w:r>
      <w:r>
        <w:rPr>
          <w:rFonts w:ascii="仿宋_GB2312" w:eastAsia="仿宋_GB2312" w:cs="DengXian-Regular"/>
          <w:sz w:val="32"/>
          <w:szCs w:val="32"/>
        </w:rPr>
        <w:pict>
          <v:shape id="_x0000_s1126" o:spid="_x0000_s1126" o:spt="32" type="#_x0000_t32" style="position:absolute;left:0pt;margin-left:204.6pt;margin-top:2.1pt;height:92.5pt;width:28.5pt;z-index:251684864;mso-width-relative:page;mso-height-relative:page;" o:connectortype="straight" filled="f" coordsize="21600,21600">
            <v:path arrowok="t"/>
            <v:fill on="f" focussize="0,0"/>
            <v:stroke/>
            <v:imagedata o:title=""/>
            <o:lock v:ext="edit"/>
          </v:shape>
        </w:pict>
      </w:r>
      <w:r>
        <w:rPr>
          <w:rFonts w:hint="eastAsia" w:ascii="仿宋_GB2312" w:eastAsia="仿宋_GB2312" w:cs="DengXian-Regular"/>
          <w:sz w:val="32"/>
          <w:szCs w:val="32"/>
        </w:rPr>
        <w:t xml:space="preserve">     </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本部门2018年度本年支出合计307.87万元，其中：基本支出307.87万元，占100%；项目支出0万元；经营支出0万元。如图所示：</w:t>
      </w:r>
    </w:p>
    <w:p>
      <w:pPr>
        <w:tabs>
          <w:tab w:val="left" w:pos="3290"/>
        </w:tabs>
        <w:adjustRightInd w:val="0"/>
        <w:snapToGrid w:val="0"/>
        <w:spacing w:after="0" w:line="580" w:lineRule="exact"/>
        <w:rPr>
          <w:rFonts w:ascii="仿宋_GB2312" w:eastAsia="仿宋_GB2312" w:cs="DengXian-Regular"/>
          <w:sz w:val="32"/>
          <w:szCs w:val="32"/>
        </w:rPr>
      </w:pPr>
      <w:r>
        <w:pict>
          <v:group id="_x0000_s1073" o:spid="_x0000_s1073" o:spt="203" style="position:absolute;left:0pt;margin-left:59.55pt;margin-top:6.75pt;height:230.55pt;width:274.45pt;z-index:-251667456;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6"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rFonts w:ascii="仿宋_GB2312" w:eastAsia="仿宋_GB2312" w:cs="DengXian-Regular"/>
          <w:sz w:val="32"/>
          <w:szCs w:val="32"/>
        </w:rPr>
        <w:tab/>
      </w:r>
    </w:p>
    <w:p>
      <w:pPr>
        <w:tabs>
          <w:tab w:val="left" w:pos="3290"/>
        </w:tabs>
        <w:adjustRightInd w:val="0"/>
        <w:snapToGrid w:val="0"/>
        <w:spacing w:after="0" w:line="580" w:lineRule="exact"/>
        <w:rPr>
          <w:rFonts w:ascii="仿宋_GB2312" w:eastAsia="仿宋_GB2312" w:cs="DengXian-Regular"/>
          <w:sz w:val="32"/>
          <w:szCs w:val="32"/>
        </w:rPr>
      </w:pPr>
      <w:r>
        <w:rPr>
          <w:rFonts w:ascii="仿宋_GB2312" w:eastAsia="仿宋_GB2312" w:cs="DengXian-Regular"/>
          <w:sz w:val="32"/>
          <w:szCs w:val="32"/>
        </w:rPr>
        <w:pict>
          <v:shape id="_x0000_s1128" o:spid="_x0000_s1128" o:spt="3" type="#_x0000_t3" style="position:absolute;left:0pt;margin-left:72.1pt;margin-top:0.1pt;height:119pt;width:162.5pt;z-index:251686912;mso-width-relative:page;mso-height-relative:page;" coordsize="21600,21600">
            <v:path/>
            <v:fill focussize="0,0"/>
            <v:stroke/>
            <v:imagedata o:title=""/>
            <o:lock v:ext="edit"/>
            <v:textbox>
              <w:txbxContent>
                <w:p>
                  <w:r>
                    <w:rPr>
                      <w:rFonts w:hint="eastAsia"/>
                    </w:rPr>
                    <w:t>基本支出100%</w:t>
                  </w:r>
                </w:p>
              </w:txbxContent>
            </v:textbox>
          </v:shape>
        </w:pict>
      </w:r>
    </w:p>
    <w:p>
      <w:pPr>
        <w:tabs>
          <w:tab w:val="left" w:pos="3290"/>
        </w:tabs>
        <w:adjustRightInd w:val="0"/>
        <w:snapToGrid w:val="0"/>
        <w:spacing w:after="0" w:line="580" w:lineRule="exact"/>
        <w:rPr>
          <w:rFonts w:ascii="仿宋_GB2312" w:eastAsia="仿宋_GB2312" w:cs="DengXian-Regular"/>
          <w:sz w:val="32"/>
          <w:szCs w:val="32"/>
        </w:rPr>
      </w:pPr>
    </w:p>
    <w:p>
      <w:pPr>
        <w:tabs>
          <w:tab w:val="left" w:pos="3290"/>
        </w:tabs>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本部门2018年度形成的财政拨款收支均为一般公共预算财政拨款，其中一般公共预算财政拨款本年收入305.11万元,比2017年度增加47.21万元，增长18.30%，主要是人员经费和退役人员安置费增加；本年支出300.0</w:t>
      </w:r>
      <w:r>
        <w:rPr>
          <w:rFonts w:hint="eastAsia" w:ascii="宋体" w:hAnsi="宋体" w:cs="宋体"/>
          <w:sz w:val="32"/>
          <w:szCs w:val="32"/>
        </w:rPr>
        <w:t>9</w:t>
      </w:r>
      <w:r>
        <w:rPr>
          <w:rFonts w:hint="eastAsia" w:ascii="仿宋_GB2312" w:eastAsia="仿宋_GB2312" w:cs="DengXian-Regular"/>
          <w:sz w:val="32"/>
          <w:szCs w:val="32"/>
        </w:rPr>
        <w:t>万元，比2017年增加38.76万元，增长14.83%，主要是人员经费和退役人员安置费增加。</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本部门2018年度一般公共预算财政拨款收入305.11万元，完成年初预算的125.12%,比年初预算增加61.26万元，决算数大于预算数主要原因是人员经费和退役人员安置费增加；本年支出300.</w:t>
      </w:r>
      <w:r>
        <w:rPr>
          <w:rFonts w:hint="eastAsia" w:ascii="宋体" w:hAnsi="宋体" w:cs="宋体"/>
          <w:sz w:val="32"/>
          <w:szCs w:val="32"/>
        </w:rPr>
        <w:t>09</w:t>
      </w:r>
      <w:r>
        <w:rPr>
          <w:rFonts w:hint="eastAsia" w:ascii="仿宋_GB2312" w:eastAsia="仿宋_GB2312" w:cs="DengXian-Regular"/>
          <w:sz w:val="32"/>
          <w:szCs w:val="32"/>
        </w:rPr>
        <w:t>万元，完成年初预算的123.06%,比年初预算增加56.24万元，决算数大于预算数主要原因是人员经费和退役人员安置费增加。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本部门无政府性基金预算财政拨款。</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年度财政拨款支出300.0</w:t>
      </w:r>
      <w:r>
        <w:rPr>
          <w:rFonts w:hint="eastAsia" w:ascii="宋体" w:hAnsi="宋体" w:cs="宋体"/>
          <w:sz w:val="32"/>
          <w:szCs w:val="32"/>
        </w:rPr>
        <w:t>9</w:t>
      </w:r>
      <w:r>
        <w:rPr>
          <w:rFonts w:hint="eastAsia" w:ascii="仿宋_GB2312" w:eastAsia="仿宋_GB2312" w:cs="DengXian-Regular"/>
          <w:sz w:val="32"/>
          <w:szCs w:val="32"/>
        </w:rPr>
        <w:t>万元，主要用于以下方面：社会保障和就业（类）支出 31.42万元，占10.47%；住房保障（类）支出</w:t>
      </w:r>
      <w:r>
        <w:rPr>
          <w:rFonts w:hint="eastAsia" w:ascii="宋体" w:hAnsi="宋体" w:cs="宋体"/>
          <w:sz w:val="32"/>
          <w:szCs w:val="32"/>
        </w:rPr>
        <w:t>9.04</w:t>
      </w:r>
      <w:r>
        <w:rPr>
          <w:rFonts w:hint="eastAsia" w:ascii="仿宋_GB2312" w:eastAsia="仿宋_GB2312" w:cs="DengXian-Regular"/>
          <w:sz w:val="32"/>
          <w:szCs w:val="32"/>
        </w:rPr>
        <w:t>万元，占 3.01%;</w:t>
      </w:r>
      <w:r>
        <w:rPr>
          <w:rFonts w:hint="eastAsia" w:ascii="宋体" w:hAnsi="宋体" w:cs="宋体"/>
          <w:sz w:val="32"/>
          <w:szCs w:val="32"/>
        </w:rPr>
        <w:t>医疗卫生和计划生育支出8.52万元，占2.84%；商业服务业支出251.12万元，占83.68%</w:t>
      </w:r>
      <w:r>
        <w:rPr>
          <w:rFonts w:hint="eastAsia" w:ascii="仿宋_GB2312" w:eastAsia="仿宋_GB2312" w:cs="DengXian-Regular"/>
          <w:sz w:val="32"/>
          <w:szCs w:val="32"/>
        </w:rPr>
        <w:t>。如图所示：</w:t>
      </w:r>
    </w:p>
    <w:p>
      <w:pPr>
        <w:tabs>
          <w:tab w:val="left" w:pos="3370"/>
        </w:tabs>
        <w:adjustRightInd w:val="0"/>
        <w:snapToGrid w:val="0"/>
        <w:spacing w:after="0" w:line="580" w:lineRule="exact"/>
        <w:rPr>
          <w:rFonts w:ascii="楷体_GB2312" w:eastAsia="楷体_GB2312" w:cs="DengXian-Bold"/>
          <w:b/>
          <w:bCs/>
          <w:sz w:val="32"/>
          <w:szCs w:val="32"/>
        </w:rPr>
      </w:pPr>
      <w:r>
        <w:rPr>
          <w:rFonts w:ascii="楷体_GB2312" w:eastAsia="楷体_GB2312" w:cs="DengXian-Bold"/>
          <w:b/>
          <w:bCs/>
          <w:sz w:val="32"/>
          <w:szCs w:val="32"/>
        </w:rPr>
        <w:pict>
          <v:shape id="_x0000_s1133" o:spid="_x0000_s1133" o:spt="32" type="#_x0000_t32" style="position:absolute;left:0pt;flip:y;margin-left:174.6pt;margin-top:24.6pt;height:107pt;width:4pt;z-index:251689984;mso-width-relative:page;mso-height-relative:page;" o:connectortype="straight" filled="f" coordsize="21600,21600">
            <v:path arrowok="t"/>
            <v:fill on="f" focussize="0,0"/>
            <v:stroke/>
            <v:imagedata o:title=""/>
            <o:lock v:ext="edit"/>
          </v:shape>
        </w:pict>
      </w:r>
      <w:r>
        <w:rPr>
          <w:rFonts w:ascii="楷体_GB2312" w:eastAsia="楷体_GB2312" w:cs="DengXian-Bold"/>
          <w:b/>
          <w:bCs/>
          <w:sz w:val="32"/>
          <w:szCs w:val="32"/>
        </w:rPr>
        <w:pict>
          <v:shape id="_x0000_s1130" o:spid="_x0000_s1130" o:spt="3" type="#_x0000_t3" style="position:absolute;left:0pt;margin-left:53.6pt;margin-top:24.6pt;height:195.5pt;width:236.5pt;rotation:423357f;z-index:251687936;mso-width-relative:page;mso-height-relative:page;" coordsize="21600,21600">
            <v:path/>
            <v:fill focussize="0,0"/>
            <v:stroke/>
            <v:imagedata o:title=""/>
            <o:lock v:ext="edit"/>
            <v:textbox>
              <w:txbxContent>
                <w:p>
                  <w:pPr>
                    <w:spacing w:line="240" w:lineRule="atLeast"/>
                    <w:ind w:firstLine="210" w:firstLineChars="100"/>
                  </w:pPr>
                  <w:r>
                    <w:rPr>
                      <w:rFonts w:hint="eastAsia"/>
                    </w:rPr>
                    <w:t>社会保障          住房保障</w:t>
                  </w:r>
                </w:p>
                <w:p>
                  <w:pPr>
                    <w:spacing w:line="240" w:lineRule="atLeast"/>
                    <w:ind w:firstLine="210" w:firstLineChars="100"/>
                  </w:pPr>
                  <w:r>
                    <w:rPr>
                      <w:rFonts w:hint="eastAsia"/>
                    </w:rPr>
                    <w:t xml:space="preserve">和就业31.42%     9.04%   </w:t>
                  </w:r>
                </w:p>
                <w:p>
                  <w:pPr>
                    <w:spacing w:line="240" w:lineRule="atLeast"/>
                  </w:pPr>
                  <w:r>
                    <w:rPr>
                      <w:rFonts w:hint="eastAsia"/>
                    </w:rPr>
                    <w:t xml:space="preserve">医疗卫生          </w:t>
                  </w:r>
                </w:p>
                <w:p>
                  <w:pPr>
                    <w:spacing w:line="240" w:lineRule="atLeast"/>
                  </w:pPr>
                  <w:r>
                    <w:rPr>
                      <w:rFonts w:hint="eastAsia"/>
                    </w:rPr>
                    <w:t xml:space="preserve"> 2.84%           商业和服务业</w:t>
                  </w:r>
                </w:p>
                <w:p>
                  <w:pPr>
                    <w:spacing w:line="240" w:lineRule="atLeast"/>
                  </w:pPr>
                  <w:r>
                    <w:rPr>
                      <w:rFonts w:hint="eastAsia"/>
                    </w:rPr>
                    <w:t xml:space="preserve">                     83.68%</w:t>
                  </w:r>
                </w:p>
                <w:p>
                  <w:pPr>
                    <w:spacing w:line="360" w:lineRule="auto"/>
                  </w:pPr>
                </w:p>
              </w:txbxContent>
            </v:textbox>
          </v:shape>
        </w:pict>
      </w:r>
      <w:r>
        <w:pict>
          <v:group id="_x0000_s1055" o:spid="_x0000_s1055" o:spt="203" style="position:absolute;left:0pt;margin-left:86.35pt;margin-top:15.9pt;height:195.05pt;width:296.35pt;z-index:-251637760;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6"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r>
        <w:rPr>
          <w:rFonts w:ascii="楷体_GB2312" w:eastAsia="楷体_GB2312" w:cs="DengXian-Bold"/>
          <w:b/>
          <w:bCs/>
          <w:sz w:val="32"/>
          <w:szCs w:val="32"/>
        </w:rPr>
        <w:tab/>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rPr>
          <w:rFonts w:ascii="楷体_GB2312" w:eastAsia="楷体_GB2312" w:cs="DengXian-Bold"/>
          <w:b/>
          <w:bCs/>
          <w:sz w:val="32"/>
          <w:szCs w:val="32"/>
        </w:rPr>
        <w:pict>
          <v:shape id="_x0000_s1131" o:spid="_x0000_s1131" o:spt="32" type="#_x0000_t32" style="position:absolute;left:0pt;flip:x y;margin-left:67.6pt;margin-top:13.1pt;height:60.5pt;width:107pt;z-index:251688960;mso-width-relative:page;mso-height-relative:page;" o:connectortype="straight" filled="f" coordsize="21600,21600">
            <v:path arrowok="t"/>
            <v:fill on="f" focussize="0,0"/>
            <v:stroke/>
            <v:imagedata o:title=""/>
            <o:lock v:ext="edit"/>
          </v:shape>
        </w:pict>
      </w:r>
      <w:r>
        <w:rPr>
          <w:rFonts w:ascii="楷体_GB2312" w:eastAsia="楷体_GB2312" w:cs="DengXian-Bold"/>
          <w:b/>
          <w:bCs/>
          <w:sz w:val="32"/>
          <w:szCs w:val="32"/>
        </w:rPr>
        <w:pict>
          <v:shape id="_x0000_s1135" o:spid="_x0000_s1135" o:spt="32" type="#_x0000_t32" style="position:absolute;left:0pt;flip:y;margin-left:174.6pt;margin-top:7.6pt;height:66pt;width:91.5pt;z-index:251692032;mso-width-relative:page;mso-height-relative:page;" o:connectortype="straight" filled="f" coordsize="21600,21600">
            <v:path arrowok="t"/>
            <v:fill on="f" focussize="0,0"/>
            <v:stroke/>
            <v:imagedata o:title=""/>
            <o:lock v:ext="edit"/>
          </v:shape>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rPr>
          <w:rFonts w:ascii="楷体_GB2312" w:eastAsia="楷体_GB2312" w:cs="DengXian-Bold"/>
          <w:b/>
          <w:bCs/>
          <w:sz w:val="32"/>
          <w:szCs w:val="32"/>
        </w:rPr>
        <w:pict>
          <v:shape id="_x0000_s1134" o:spid="_x0000_s1134" o:spt="32" type="#_x0000_t32" style="position:absolute;left:0pt;flip:x;margin-left:58.1pt;margin-top:15.6pt;height:15pt;width:116.5pt;z-index:251691008;mso-width-relative:page;mso-height-relative:page;" o:connectortype="straight" filled="f" coordsize="21600,21600">
            <v:path arrowok="t"/>
            <v:fill on="f" focussize="0,0"/>
            <v:stroke/>
            <v:imagedata o:title=""/>
            <o:lock v:ext="edit"/>
          </v:shape>
        </w:pic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695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880" w:firstLineChars="200"/>
        <w:rPr>
          <w:rFonts w:ascii="仿宋_GB2312" w:eastAsia="仿宋_GB2312" w:cs="DengXian-Regular"/>
          <w:sz w:val="32"/>
          <w:szCs w:val="32"/>
        </w:rPr>
      </w:pPr>
      <w:r>
        <w:rPr>
          <w:sz w:val="44"/>
        </w:rPr>
        <w:pict>
          <v:group id="_x0000_s1049" o:spid="_x0000_s1049"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2018 年度一般公共预算财政拨款基本支出300.0</w:t>
      </w:r>
      <w:r>
        <w:rPr>
          <w:rFonts w:hint="eastAsia" w:ascii="宋体" w:hAnsi="宋体" w:cs="宋体"/>
          <w:sz w:val="32"/>
          <w:szCs w:val="32"/>
        </w:rPr>
        <w:t>9</w:t>
      </w:r>
      <w:r>
        <w:rPr>
          <w:rFonts w:hint="eastAsia" w:ascii="仿宋_GB2312" w:eastAsia="仿宋_GB2312" w:cs="DengXian-Regular"/>
          <w:sz w:val="32"/>
          <w:szCs w:val="32"/>
        </w:rPr>
        <w:t>万元，其中：人员经费 217.55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82.54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Cs/>
          <w:sz w:val="32"/>
          <w:szCs w:val="32"/>
        </w:rPr>
        <w:t>较年初预算减少3.7万元，降低100%，</w:t>
      </w:r>
      <w:r>
        <w:rPr>
          <w:rFonts w:hint="eastAsia" w:ascii="仿宋_GB2312" w:eastAsia="仿宋_GB2312" w:cs="DengXian-Regular"/>
          <w:sz w:val="32"/>
          <w:szCs w:val="32"/>
        </w:rPr>
        <w:t>主要是厉行节约，从严控制“三公”经费开支。具体情况如下：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052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本部门2018年度公务用车购置及运行维护费较年初预算减少2.7万元，降低100%,主要是厉行节约要求，从严控制“三公”经费开支。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w:t>
      </w:r>
      <w:r>
        <w:rPr>
          <w:rFonts w:hint="eastAsia" w:ascii="仿宋_GB2312" w:eastAsia="仿宋_GB2312" w:cs="DengXian-Regular"/>
          <w:color w:val="000000" w:themeColor="text1"/>
          <w:sz w:val="32"/>
          <w:szCs w:val="32"/>
        </w:rPr>
        <w:t>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公车运行维护费支出较年初预算减少2.7万元，减少100%,主要是厉行节约要求，从严控制“三公”经费开支。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3" o:spid="_x0000_s1043" o:spt="203" style="position:absolute;left:0pt;margin-left:-0.55pt;margin-top:29.3pt;height:43.95pt;width:301.85pt;mso-position-horizontal-relative:page;mso-position-vertical-relative:page;z-index:25167155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本部门2018年度公务接待共0批次、0人次。公务接待费支出较年初预算减少1万元，</w:t>
      </w:r>
      <w:r>
        <w:rPr>
          <w:rFonts w:hint="eastAsia" w:ascii="宋体" w:hAnsi="宋体" w:cs="宋体"/>
          <w:sz w:val="32"/>
          <w:szCs w:val="32"/>
        </w:rPr>
        <w:t>与去年持平</w:t>
      </w:r>
      <w:r>
        <w:rPr>
          <w:rFonts w:hint="eastAsia" w:ascii="仿宋_GB2312" w:eastAsia="仿宋_GB2312" w:cs="DengXian-Regular"/>
          <w:sz w:val="32"/>
          <w:szCs w:val="32"/>
        </w:rPr>
        <w:t>,主要是</w:t>
      </w:r>
      <w:bookmarkStart w:id="0" w:name="_GoBack"/>
      <w:bookmarkEnd w:id="0"/>
      <w:r>
        <w:rPr>
          <w:rFonts w:hint="eastAsia" w:ascii="仿宋_GB2312" w:eastAsia="仿宋_GB2312" w:cs="DengXian-Regular"/>
          <w:sz w:val="32"/>
          <w:szCs w:val="32"/>
        </w:rPr>
        <w:t>从严控制“三公”经费开支。</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供销社流通管理事务、供销社综合改革、再生资源管理及回收利用体系、农村产权交易中心、联合社运营管理和新型基层社运营管理等6个业务专项，涉及资金55万元。从评价情况看，评价结果为优秀的业务有4个，良好的业务有2个。</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本部门2018年度政府采购支出总额0万元。授予中小企业合同金额0万元。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eastAsia="仿宋_GB2312"/>
          <w:sz w:val="32"/>
          <w:szCs w:val="32"/>
        </w:rPr>
        <w:t>政府性基金</w:t>
      </w:r>
      <w:r>
        <w:rPr>
          <w:rFonts w:hint="eastAsia" w:eastAsia="仿宋_GB2312"/>
          <w:sz w:val="32"/>
          <w:szCs w:val="32"/>
        </w:rPr>
        <w:t>、</w:t>
      </w:r>
      <w:r>
        <w:rPr>
          <w:rFonts w:eastAsia="仿宋_GB2312"/>
          <w:sz w:val="32"/>
          <w:szCs w:val="32"/>
        </w:rPr>
        <w:t>国有资本经营</w:t>
      </w:r>
      <w:r>
        <w:rPr>
          <w:rFonts w:hint="eastAsia" w:ascii="仿宋_GB2312" w:eastAsia="仿宋_GB2312" w:cs="DengXian-Regular"/>
          <w:sz w:val="32"/>
          <w:szCs w:val="32"/>
        </w:rPr>
        <w:t>无收支及结转结余情况，故</w:t>
      </w:r>
      <w:r>
        <w:rPr>
          <w:rFonts w:eastAsia="仿宋_GB2312"/>
          <w:sz w:val="32"/>
          <w:szCs w:val="32"/>
        </w:rPr>
        <w:t>政府性基金预算财政拨款收入支出决算表</w:t>
      </w:r>
      <w:r>
        <w:rPr>
          <w:rFonts w:hint="eastAsia" w:eastAsia="仿宋_GB2312"/>
          <w:sz w:val="32"/>
          <w:szCs w:val="32"/>
        </w:rPr>
        <w:t>、</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_GB2312" w:eastAsia="仿宋_GB2312" w:cs="DengXian-Regular"/>
          <w:sz w:val="32"/>
          <w:szCs w:val="32"/>
        </w:rPr>
        <w:t>以空表列示。本部门2018年度无</w:t>
      </w:r>
      <w:r>
        <w:rPr>
          <w:rFonts w:eastAsia="仿宋_GB2312"/>
          <w:sz w:val="32"/>
          <w:szCs w:val="32"/>
        </w:rPr>
        <w:t>政府采购</w:t>
      </w:r>
      <w:r>
        <w:rPr>
          <w:rFonts w:hint="eastAsia" w:eastAsia="仿宋_GB2312"/>
          <w:sz w:val="32"/>
          <w:szCs w:val="32"/>
        </w:rPr>
        <w:t>，故</w:t>
      </w:r>
      <w:r>
        <w:rPr>
          <w:rFonts w:eastAsia="仿宋_GB2312"/>
          <w:sz w:val="32"/>
          <w:szCs w:val="32"/>
        </w:rPr>
        <w:t>政府采购情况表</w:t>
      </w:r>
      <w:r>
        <w:rPr>
          <w:rFonts w:hint="eastAsia" w:eastAsia="仿宋_GB2312"/>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7360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7"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00F60D5-86CA-4D36-815A-0A643315A4B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EECE466A-F15E-41C3-8D87-D62A16BC57BF}"/>
  </w:font>
  <w:font w:name="楷体">
    <w:panose1 w:val="02010609060101010101"/>
    <w:charset w:val="86"/>
    <w:family w:val="modern"/>
    <w:pitch w:val="default"/>
    <w:sig w:usb0="800002BF" w:usb1="38CF7CFA" w:usb2="00000016" w:usb3="00000000" w:csb0="00040001" w:csb1="00000000"/>
    <w:embedRegular r:id="rId3" w:fontKey="{BA58D812-A1C2-4D2A-A3B9-BF112798DDBB}"/>
  </w:font>
  <w:font w:name="楷体_GB2312">
    <w:altName w:val="楷体"/>
    <w:panose1 w:val="00000000000000000000"/>
    <w:charset w:val="86"/>
    <w:family w:val="modern"/>
    <w:pitch w:val="default"/>
    <w:sig w:usb0="00000000" w:usb1="00000000" w:usb2="00000010" w:usb3="00000000" w:csb0="00040000" w:csb1="00000000"/>
    <w:embedRegular r:id="rId4" w:fontKey="{78E318F7-F966-4909-82E3-D37D633B00CA}"/>
  </w:font>
  <w:font w:name="仿宋_GB2312">
    <w:altName w:val="仿宋"/>
    <w:panose1 w:val="00000000000000000000"/>
    <w:charset w:val="86"/>
    <w:family w:val="modern"/>
    <w:pitch w:val="default"/>
    <w:sig w:usb0="00000000" w:usb1="00000000" w:usb2="00000010" w:usb3="00000000" w:csb0="00040000" w:csb1="00000000"/>
    <w:embedRegular r:id="rId5" w:fontKey="{97F317AA-C55F-4DB1-83B9-D838B8A733E2}"/>
  </w:font>
  <w:font w:name="ArialUnicodeMS">
    <w:altName w:val="Malgun Gothic"/>
    <w:panose1 w:val="00000000000000000000"/>
    <w:charset w:val="81"/>
    <w:family w:val="auto"/>
    <w:pitch w:val="default"/>
    <w:sig w:usb0="00000000" w:usb1="00000000" w:usb2="00000010" w:usb3="00000000" w:csb0="00080001" w:csb1="00000000"/>
    <w:embedRegular r:id="rId6" w:fontKey="{D8286088-8413-474C-9B7B-FF1FB21B4CCB}"/>
  </w:font>
  <w:font w:name="方正仿宋_GBK">
    <w:altName w:val="宋体"/>
    <w:panose1 w:val="00000000000000000000"/>
    <w:charset w:val="86"/>
    <w:family w:val="roman"/>
    <w:pitch w:val="default"/>
    <w:sig w:usb0="00000000" w:usb1="00000000" w:usb2="00000000" w:usb3="00000000" w:csb0="00000000" w:csb1="00000000"/>
    <w:embedRegular r:id="rId7" w:fontKey="{E498A109-681D-4E0B-9D8E-CDC9CF60C492}"/>
  </w:font>
  <w:font w:name="MS-UIGothic,Bold">
    <w:altName w:val="Malgun Gothic"/>
    <w:panose1 w:val="00000000000000000000"/>
    <w:charset w:val="81"/>
    <w:family w:val="auto"/>
    <w:pitch w:val="default"/>
    <w:sig w:usb0="00000000" w:usb1="00000000" w:usb2="00000010" w:usb3="00000000" w:csb0="00080000" w:csb1="00000000"/>
    <w:embedRegular r:id="rId8" w:fontKey="{619AB40D-5A01-4E88-8370-451CA4C8F919}"/>
  </w:font>
  <w:font w:name="Arial">
    <w:panose1 w:val="020B0604020202020204"/>
    <w:charset w:val="00"/>
    <w:family w:val="swiss"/>
    <w:pitch w:val="default"/>
    <w:sig w:usb0="E0002AFF" w:usb1="C0007843" w:usb2="00000009" w:usb3="00000000" w:csb0="400001FF" w:csb1="FFFF0000"/>
    <w:embedRegular r:id="rId9" w:fontKey="{2F610D9A-6A83-46BA-92DB-11AD21A0BD82}"/>
  </w:font>
  <w:font w:name="DengXian-Regular">
    <w:altName w:val="宋体"/>
    <w:panose1 w:val="00000000000000000000"/>
    <w:charset w:val="86"/>
    <w:family w:val="auto"/>
    <w:pitch w:val="default"/>
    <w:sig w:usb0="00000000" w:usb1="00000000" w:usb2="00000010" w:usb3="00000000" w:csb0="00040001" w:csb1="00000000"/>
    <w:embedRegular r:id="rId10" w:fontKey="{35573586-7D27-404E-B961-E67B5BC29ACC}"/>
  </w:font>
  <w:font w:name="DengXian-Bold">
    <w:altName w:val="宋体"/>
    <w:panose1 w:val="00000000000000000000"/>
    <w:charset w:val="86"/>
    <w:family w:val="auto"/>
    <w:pitch w:val="default"/>
    <w:sig w:usb0="00000000" w:usb1="00000000" w:usb2="00000010" w:usb3="00000000" w:csb0="00040001" w:csb1="00000000"/>
    <w:embedRegular r:id="rId11" w:fontKey="{5B51AE14-D247-446F-B075-0D171A828A72}"/>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C31F3"/>
    <w:rsid w:val="000D7C65"/>
    <w:rsid w:val="000E2F81"/>
    <w:rsid w:val="000F2D8E"/>
    <w:rsid w:val="00117946"/>
    <w:rsid w:val="00117E2C"/>
    <w:rsid w:val="00146C47"/>
    <w:rsid w:val="0015155D"/>
    <w:rsid w:val="00152FB8"/>
    <w:rsid w:val="00176658"/>
    <w:rsid w:val="0018239E"/>
    <w:rsid w:val="001B3410"/>
    <w:rsid w:val="001C030D"/>
    <w:rsid w:val="001C4A84"/>
    <w:rsid w:val="001E5902"/>
    <w:rsid w:val="001E7050"/>
    <w:rsid w:val="00233705"/>
    <w:rsid w:val="00275CA2"/>
    <w:rsid w:val="002A65A5"/>
    <w:rsid w:val="002A7824"/>
    <w:rsid w:val="002C04C4"/>
    <w:rsid w:val="002D08B0"/>
    <w:rsid w:val="002D1AE3"/>
    <w:rsid w:val="002F2ECE"/>
    <w:rsid w:val="00341C8F"/>
    <w:rsid w:val="0035463A"/>
    <w:rsid w:val="00390270"/>
    <w:rsid w:val="00391D9D"/>
    <w:rsid w:val="00391E1D"/>
    <w:rsid w:val="003B6C51"/>
    <w:rsid w:val="003C1413"/>
    <w:rsid w:val="003C549F"/>
    <w:rsid w:val="003D5A16"/>
    <w:rsid w:val="003E7DB3"/>
    <w:rsid w:val="003F7EC9"/>
    <w:rsid w:val="00431175"/>
    <w:rsid w:val="004624CA"/>
    <w:rsid w:val="004A3FEE"/>
    <w:rsid w:val="004B6E37"/>
    <w:rsid w:val="004C32BA"/>
    <w:rsid w:val="00530636"/>
    <w:rsid w:val="00575922"/>
    <w:rsid w:val="00577C55"/>
    <w:rsid w:val="005A0BFC"/>
    <w:rsid w:val="005A6C90"/>
    <w:rsid w:val="005E3FB0"/>
    <w:rsid w:val="005F4B66"/>
    <w:rsid w:val="005F5208"/>
    <w:rsid w:val="0060113D"/>
    <w:rsid w:val="006236AE"/>
    <w:rsid w:val="00641318"/>
    <w:rsid w:val="0064405D"/>
    <w:rsid w:val="00685302"/>
    <w:rsid w:val="00691AA6"/>
    <w:rsid w:val="00695557"/>
    <w:rsid w:val="006D0A28"/>
    <w:rsid w:val="006D4EA7"/>
    <w:rsid w:val="0070012A"/>
    <w:rsid w:val="0070664B"/>
    <w:rsid w:val="007071B8"/>
    <w:rsid w:val="007414DE"/>
    <w:rsid w:val="00761A47"/>
    <w:rsid w:val="007905A9"/>
    <w:rsid w:val="007B0359"/>
    <w:rsid w:val="007B174B"/>
    <w:rsid w:val="007E5500"/>
    <w:rsid w:val="007F055B"/>
    <w:rsid w:val="0080644C"/>
    <w:rsid w:val="00811C2F"/>
    <w:rsid w:val="00833D46"/>
    <w:rsid w:val="00840A97"/>
    <w:rsid w:val="00845368"/>
    <w:rsid w:val="008C0149"/>
    <w:rsid w:val="008D5DED"/>
    <w:rsid w:val="008E25CA"/>
    <w:rsid w:val="008F34FC"/>
    <w:rsid w:val="00916FB7"/>
    <w:rsid w:val="00944CD7"/>
    <w:rsid w:val="00964D35"/>
    <w:rsid w:val="009831B2"/>
    <w:rsid w:val="009A1ABE"/>
    <w:rsid w:val="009E21A4"/>
    <w:rsid w:val="009F22C6"/>
    <w:rsid w:val="00A07E50"/>
    <w:rsid w:val="00A15397"/>
    <w:rsid w:val="00A35CE0"/>
    <w:rsid w:val="00A42946"/>
    <w:rsid w:val="00A4462E"/>
    <w:rsid w:val="00A44AA4"/>
    <w:rsid w:val="00A61623"/>
    <w:rsid w:val="00A65788"/>
    <w:rsid w:val="00A84687"/>
    <w:rsid w:val="00AB0A0E"/>
    <w:rsid w:val="00AD3B6E"/>
    <w:rsid w:val="00B1751F"/>
    <w:rsid w:val="00B34004"/>
    <w:rsid w:val="00B56722"/>
    <w:rsid w:val="00B74D39"/>
    <w:rsid w:val="00B862D0"/>
    <w:rsid w:val="00B91DA4"/>
    <w:rsid w:val="00BC339F"/>
    <w:rsid w:val="00C12630"/>
    <w:rsid w:val="00C22D20"/>
    <w:rsid w:val="00C34562"/>
    <w:rsid w:val="00C3774E"/>
    <w:rsid w:val="00C57456"/>
    <w:rsid w:val="00C65387"/>
    <w:rsid w:val="00C87FAB"/>
    <w:rsid w:val="00C91FF7"/>
    <w:rsid w:val="00C9324D"/>
    <w:rsid w:val="00C94E53"/>
    <w:rsid w:val="00C95913"/>
    <w:rsid w:val="00CA6339"/>
    <w:rsid w:val="00CC359B"/>
    <w:rsid w:val="00D0048E"/>
    <w:rsid w:val="00D23E7A"/>
    <w:rsid w:val="00D27605"/>
    <w:rsid w:val="00D61063"/>
    <w:rsid w:val="00DB35AF"/>
    <w:rsid w:val="00DD1A08"/>
    <w:rsid w:val="00DD72D7"/>
    <w:rsid w:val="00DF5B88"/>
    <w:rsid w:val="00E0589E"/>
    <w:rsid w:val="00E241FA"/>
    <w:rsid w:val="00E2595E"/>
    <w:rsid w:val="00E35374"/>
    <w:rsid w:val="00E50C19"/>
    <w:rsid w:val="00E63173"/>
    <w:rsid w:val="00E64655"/>
    <w:rsid w:val="00E73081"/>
    <w:rsid w:val="00E856C9"/>
    <w:rsid w:val="00EB6A8B"/>
    <w:rsid w:val="00EC7353"/>
    <w:rsid w:val="00EF38C6"/>
    <w:rsid w:val="00EF4734"/>
    <w:rsid w:val="00F679C7"/>
    <w:rsid w:val="00F7711A"/>
    <w:rsid w:val="00FA0D58"/>
    <w:rsid w:val="00FA56F4"/>
    <w:rsid w:val="00FB4EDA"/>
    <w:rsid w:val="00FD3BD5"/>
    <w:rsid w:val="00FE3DC8"/>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53A44FAF"/>
    <w:rsid w:val="594329EC"/>
    <w:rsid w:val="5BEE1540"/>
    <w:rsid w:val="5DE61A5D"/>
    <w:rsid w:val="63C04243"/>
    <w:rsid w:val="649C01C7"/>
    <w:rsid w:val="699A3F60"/>
    <w:rsid w:val="72902E62"/>
    <w:rsid w:val="73C61104"/>
    <w:rsid w:val="776452EA"/>
    <w:rsid w:val="78164106"/>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rules v:ext="edit">
        <o:r id="V:Rule1" type="connector" idref="#_x0000_s1126"/>
        <o:r id="V:Rule2" type="connector" idref="#_x0000_s1127"/>
        <o:r id="V:Rule3" type="connector" idref="#_x0000_s1131"/>
        <o:r id="V:Rule4" type="connector" idref="#_x0000_s1133"/>
        <o:r id="V:Rule5" type="connector" idref="#_x0000_s1134"/>
        <o:r id="V:Rule6" type="connector" idref="#_x0000_s1135"/>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125"/>
    <customShpInfo spid="_x0000_s1078"/>
    <customShpInfo spid="_x0000_s1077"/>
    <customShpInfo spid="_x0000_s1076"/>
    <customShpInfo spid="_x0000_s1127"/>
    <customShpInfo spid="_x0000_s1126"/>
    <customShpInfo spid="_x0000_s1075"/>
    <customShpInfo spid="_x0000_s1074"/>
    <customShpInfo spid="_x0000_s1073"/>
    <customShpInfo spid="_x0000_s1128"/>
    <customShpInfo spid="_x0000_s1072"/>
    <customShpInfo spid="_x0000_s1071"/>
    <customShpInfo spid="_x0000_s1070"/>
    <customShpInfo spid="_x0000_s1133"/>
    <customShpInfo spid="_x0000_s1130"/>
    <customShpInfo spid="_x0000_s1057"/>
    <customShpInfo spid="_x0000_s1056"/>
    <customShpInfo spid="_x0000_s1055"/>
    <customShpInfo spid="_x0000_s1131"/>
    <customShpInfo spid="_x0000_s1135"/>
    <customShpInfo spid="_x0000_s1134"/>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FB5317-2A24-4234-9908-389A9B4A3F36}">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31</Pages>
  <Words>1760</Words>
  <Characters>10033</Characters>
  <Lines>83</Lines>
  <Paragraphs>23</Paragraphs>
  <TotalTime>194</TotalTime>
  <ScaleCrop>false</ScaleCrop>
  <LinksUpToDate>false</LinksUpToDate>
  <CharactersWithSpaces>11770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2023-07-24T03:11:02Z</dcterms:modified>
  <dc:subject>石家庄市xxx部门</dc:subject>
  <dc:title>2017年度部门决算</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