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宋体"/>
          <w:b/>
          <w:bCs/>
          <w:sz w:val="44"/>
          <w:szCs w:val="44"/>
          <w:lang w:eastAsia="zh-CN"/>
        </w:rPr>
      </w:pPr>
    </w:p>
    <w:p>
      <w:pPr>
        <w:spacing w:line="360" w:lineRule="auto"/>
        <w:ind w:left="0" w:leftChars="0" w:right="0" w:rightChars="0" w:firstLine="0" w:firstLineChars="0"/>
        <w:jc w:val="center"/>
        <w:rPr>
          <w:rFonts w:hint="eastAsia" w:ascii="华文楷体" w:eastAsia="华文楷体"/>
          <w:sz w:val="44"/>
          <w:szCs w:val="44"/>
          <w:lang w:eastAsia="zh-CN"/>
        </w:rPr>
      </w:pPr>
      <w:r>
        <w:rPr>
          <w:rFonts w:hint="eastAsia" w:ascii="宋体"/>
          <w:b/>
          <w:bCs/>
          <w:sz w:val="44"/>
          <w:szCs w:val="44"/>
          <w:lang w:eastAsia="zh-CN"/>
        </w:rPr>
        <w:t>原光荣院电路改造工程项目</w:t>
      </w:r>
      <w:r>
        <w:rPr>
          <w:rFonts w:hint="eastAsia" w:ascii="宋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原光荣院电路改造工程项目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1.项目主要实施内容和范围；</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机构改革后,原光荣院划归民政局管理,根据鹿泉区委领导议事纪要[2019]第5号会议要求,我局对原光荣院存在的遗留问题进行了全面、细致的梳理。通过梳理主要存在原光荣院商铺租赁不规范、民政局宿舍楼所有住户需办理不动产登记和水、电、暖费用公私不分等问题。</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原光荣院和民政局家属住宅楼从建院到现在，4栋楼共同使用一个用电变压器，下属单位、住户和租户产生的电费均由原光荣院负责派人收取后统一上交区财政。</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（1）将原光荣院使用的变压器办理变更手续</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（2）对原光荣院使用变压器交接事宜进行评估，制定电力改造方案</w:t>
      </w:r>
    </w:p>
    <w:p>
      <w:p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2.项目资金投入情况</w:t>
      </w:r>
    </w:p>
    <w:p>
      <w:pPr>
        <w:adjustRightInd w:val="0"/>
        <w:snapToGrid w:val="0"/>
        <w:spacing w:line="360" w:lineRule="auto"/>
        <w:ind w:firstLine="640" w:firstLineChars="200"/>
        <w:rPr>
          <w:rFonts w:hint="eastAsia" w:ascii="仿宋_GB2312" w:eastAsia="仿宋_GB2312"/>
          <w:sz w:val="32"/>
          <w:szCs w:val="32"/>
          <w:lang w:val="zh-CN" w:eastAsia="zh-CN"/>
        </w:rPr>
      </w:pPr>
      <w:r>
        <w:rPr>
          <w:rFonts w:hint="eastAsia" w:ascii="仿宋_GB2312" w:eastAsia="仿宋_GB2312"/>
          <w:sz w:val="32"/>
          <w:szCs w:val="32"/>
          <w:lang w:val="zh-CN" w:eastAsia="zh-CN"/>
        </w:rPr>
        <w:t>区电力公司依据方案测算电力改造所需资金，出具工程预算书，预计共需462735元，其中安装费用共需420570元,调试费用3904元,项目建设技术服务费34224元,基本预备费4037元。现申请启动资金10万元，用于工程预付款。</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zh-CN" w:eastAsia="zh-CN"/>
        </w:rPr>
        <w:t>使住户与单位电费缴纳必须分离，今后住户和租户产生的电费应由个人直接缴纳。</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绩效评价小组组织会议，根据上级文件确定采用调查问卷的形式，实地走访调查。</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ind w:left="0" w:leftChars="0" w:right="0" w:rightChars="0" w:firstLine="320" w:firstLineChars="1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实地采用调查问卷的方式进行</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left="0" w:leftChars="0" w:right="0" w:rightChars="0"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项目立项规范性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绩效目标合理性</w:t>
      </w:r>
    </w:p>
    <w:p>
      <w:pPr>
        <w:ind w:left="0" w:leftChars="0" w:right="0" w:rightChars="0"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资金使用合规性</w:t>
      </w:r>
    </w:p>
    <w:p>
      <w:pPr>
        <w:ind w:left="0" w:leftChars="0" w:right="0" w:rightChars="0"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3、</w:t>
      </w:r>
      <w:r>
        <w:rPr>
          <w:rFonts w:hint="default" w:ascii="仿宋_GB2312" w:eastAsia="仿宋_GB2312"/>
          <w:sz w:val="32"/>
          <w:szCs w:val="32"/>
          <w:lang w:val="en-US" w:eastAsia="zh-CN"/>
        </w:rPr>
        <w:t>成本节约率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质量达标率</w:t>
      </w:r>
    </w:p>
    <w:p>
      <w:pPr>
        <w:ind w:left="0" w:leftChars="0" w:right="0" w:rightChars="0" w:firstLine="320" w:firstLineChars="1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4、</w:t>
      </w:r>
      <w:r>
        <w:rPr>
          <w:rFonts w:hint="default" w:ascii="仿宋_GB2312" w:eastAsia="仿宋_GB2312"/>
          <w:sz w:val="32"/>
          <w:szCs w:val="32"/>
          <w:lang w:val="en-US" w:eastAsia="zh-CN"/>
        </w:rPr>
        <w:t>服务对象满意度</w:t>
      </w:r>
      <w:r>
        <w:rPr>
          <w:rFonts w:hint="eastAsia" w:ascii="仿宋_GB2312" w:eastAsia="仿宋_GB2312"/>
          <w:sz w:val="32"/>
          <w:szCs w:val="32"/>
          <w:lang w:val="en-US" w:eastAsia="zh-CN"/>
        </w:rPr>
        <w:t>、</w:t>
      </w:r>
      <w:r>
        <w:rPr>
          <w:rFonts w:hint="default" w:ascii="仿宋_GB2312" w:eastAsia="仿宋_GB2312"/>
          <w:sz w:val="32"/>
          <w:szCs w:val="32"/>
          <w:lang w:val="en-US" w:eastAsia="zh-CN"/>
        </w:rPr>
        <w:t>社会效益</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项目立项规范性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项目按照规定的程序申请设立</w:t>
      </w:r>
      <w:r>
        <w:rPr>
          <w:rFonts w:hint="eastAsia" w:ascii="仿宋_GB2312" w:eastAsia="仿宋_GB2312"/>
          <w:sz w:val="32"/>
          <w:szCs w:val="32"/>
          <w:lang w:val="en-US" w:eastAsia="zh-CN"/>
        </w:rPr>
        <w:t>，</w:t>
      </w:r>
      <w:r>
        <w:rPr>
          <w:rFonts w:hint="default" w:ascii="仿宋_GB2312" w:eastAsia="仿宋_GB2312"/>
          <w:sz w:val="32"/>
          <w:szCs w:val="32"/>
          <w:lang w:val="en-US" w:eastAsia="zh-CN"/>
        </w:rPr>
        <w:t>事前已经过必要的可行性研究</w:t>
      </w:r>
      <w:r>
        <w:rPr>
          <w:rFonts w:hint="eastAsia" w:ascii="仿宋_GB2312" w:eastAsia="仿宋_GB2312"/>
          <w:sz w:val="32"/>
          <w:szCs w:val="32"/>
          <w:lang w:val="en-US" w:eastAsia="zh-CN"/>
        </w:rPr>
        <w:t>。</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绩效目标合理性</w:t>
      </w:r>
      <w:r>
        <w:rPr>
          <w:rFonts w:hint="eastAsia" w:ascii="仿宋_GB2312" w:eastAsia="仿宋_GB2312"/>
          <w:sz w:val="32"/>
          <w:szCs w:val="32"/>
          <w:lang w:val="en-US" w:eastAsia="zh-CN"/>
        </w:rPr>
        <w:t>。该项目</w:t>
      </w:r>
      <w:r>
        <w:rPr>
          <w:rFonts w:hint="default" w:ascii="仿宋_GB2312" w:eastAsia="仿宋_GB2312"/>
          <w:sz w:val="32"/>
          <w:szCs w:val="32"/>
          <w:lang w:val="en-US" w:eastAsia="zh-CN"/>
        </w:rPr>
        <w:t>符合国家相关法律法规</w:t>
      </w:r>
      <w:r>
        <w:rPr>
          <w:rFonts w:hint="eastAsia" w:ascii="仿宋_GB2312" w:eastAsia="仿宋_GB2312"/>
          <w:sz w:val="32"/>
          <w:szCs w:val="32"/>
          <w:lang w:val="en-US" w:eastAsia="zh-CN"/>
        </w:rPr>
        <w:t>，是</w:t>
      </w:r>
      <w:r>
        <w:rPr>
          <w:rFonts w:hint="default" w:ascii="仿宋_GB2312" w:eastAsia="仿宋_GB2312"/>
          <w:sz w:val="32"/>
          <w:szCs w:val="32"/>
          <w:lang w:val="en-US" w:eastAsia="zh-CN"/>
        </w:rPr>
        <w:t>事业</w:t>
      </w:r>
      <w:r>
        <w:rPr>
          <w:rFonts w:hint="eastAsia" w:ascii="仿宋_GB2312" w:eastAsia="仿宋_GB2312"/>
          <w:sz w:val="32"/>
          <w:szCs w:val="32"/>
          <w:lang w:val="en-US" w:eastAsia="zh-CN"/>
        </w:rPr>
        <w:t>单位</w:t>
      </w:r>
      <w:r>
        <w:rPr>
          <w:rFonts w:hint="default" w:ascii="仿宋_GB2312" w:eastAsia="仿宋_GB2312"/>
          <w:sz w:val="32"/>
          <w:szCs w:val="32"/>
          <w:lang w:val="en-US" w:eastAsia="zh-CN"/>
        </w:rPr>
        <w:t>发展所必需</w:t>
      </w:r>
      <w:r>
        <w:rPr>
          <w:rFonts w:hint="eastAsia" w:ascii="仿宋_GB2312" w:eastAsia="仿宋_GB2312"/>
          <w:sz w:val="32"/>
          <w:szCs w:val="32"/>
          <w:lang w:val="en-US" w:eastAsia="zh-CN"/>
        </w:rPr>
        <w:t>，项</w:t>
      </w:r>
      <w:r>
        <w:rPr>
          <w:rFonts w:hint="default" w:ascii="仿宋_GB2312" w:eastAsia="仿宋_GB2312"/>
          <w:sz w:val="32"/>
          <w:szCs w:val="32"/>
          <w:lang w:val="en-US" w:eastAsia="zh-CN"/>
        </w:rPr>
        <w:t>目预期产出效益和效果符合正常的业绩水平</w:t>
      </w:r>
      <w:r>
        <w:rPr>
          <w:rFonts w:hint="eastAsia" w:ascii="仿宋_GB2312" w:eastAsia="仿宋_GB2312"/>
          <w:sz w:val="32"/>
          <w:szCs w:val="32"/>
          <w:lang w:val="en-US" w:eastAsia="zh-CN"/>
        </w:rPr>
        <w:t>。</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到位及时率</w:t>
      </w:r>
      <w:r>
        <w:rPr>
          <w:rFonts w:hint="eastAsia" w:ascii="仿宋_GB2312" w:eastAsia="仿宋_GB2312"/>
          <w:sz w:val="32"/>
          <w:szCs w:val="32"/>
          <w:lang w:val="en-US" w:eastAsia="zh-CN"/>
        </w:rPr>
        <w:t>=100%</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资金使用合规性</w:t>
      </w:r>
      <w:r>
        <w:rPr>
          <w:rFonts w:hint="eastAsia" w:ascii="仿宋_GB2312" w:eastAsia="仿宋_GB2312"/>
          <w:sz w:val="32"/>
          <w:szCs w:val="32"/>
          <w:lang w:val="en-US" w:eastAsia="zh-CN"/>
        </w:rPr>
        <w:t>。</w:t>
      </w:r>
      <w:r>
        <w:rPr>
          <w:rFonts w:hint="default" w:ascii="仿宋_GB2312" w:eastAsia="仿宋_GB2312"/>
          <w:sz w:val="32"/>
          <w:szCs w:val="32"/>
          <w:lang w:val="en-US" w:eastAsia="zh-CN"/>
        </w:rPr>
        <w:t>符合国家财经法规和财务管理制度以及有关专项资金管理办法的规定</w:t>
      </w:r>
      <w:r>
        <w:rPr>
          <w:rFonts w:hint="eastAsia" w:ascii="仿宋_GB2312" w:eastAsia="仿宋_GB2312"/>
          <w:sz w:val="32"/>
          <w:szCs w:val="32"/>
          <w:lang w:val="en-US" w:eastAsia="zh-CN"/>
        </w:rPr>
        <w:t>，</w:t>
      </w:r>
      <w:r>
        <w:rPr>
          <w:rFonts w:hint="default" w:ascii="仿宋_GB2312" w:eastAsia="仿宋_GB2312"/>
          <w:sz w:val="32"/>
          <w:szCs w:val="32"/>
          <w:lang w:val="en-US" w:eastAsia="zh-CN"/>
        </w:rPr>
        <w:t>资金的拨付有完整的审批程序和手续</w:t>
      </w:r>
      <w:r>
        <w:rPr>
          <w:rFonts w:hint="eastAsia" w:ascii="仿宋_GB2312" w:eastAsia="仿宋_GB2312"/>
          <w:sz w:val="32"/>
          <w:szCs w:val="32"/>
          <w:lang w:val="en-US" w:eastAsia="zh-CN"/>
        </w:rPr>
        <w:t>，</w:t>
      </w:r>
      <w:r>
        <w:rPr>
          <w:rFonts w:hint="default" w:ascii="仿宋_GB2312" w:eastAsia="仿宋_GB2312"/>
          <w:sz w:val="32"/>
          <w:szCs w:val="32"/>
          <w:lang w:val="en-US" w:eastAsia="zh-CN"/>
        </w:rPr>
        <w:t>符合项目预算批复或合同规定的用途</w:t>
      </w:r>
      <w:r>
        <w:rPr>
          <w:rFonts w:hint="eastAsia" w:ascii="仿宋_GB2312" w:eastAsia="仿宋_GB2312"/>
          <w:sz w:val="32"/>
          <w:szCs w:val="32"/>
          <w:lang w:val="en-US" w:eastAsia="zh-CN"/>
        </w:rPr>
        <w:t>。</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ind w:left="0" w:leftChars="0" w:right="0" w:rightChars="0"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1、</w:t>
      </w:r>
      <w:r>
        <w:rPr>
          <w:rFonts w:hint="default" w:ascii="仿宋_GB2312" w:eastAsia="仿宋_GB2312"/>
          <w:sz w:val="32"/>
          <w:szCs w:val="32"/>
          <w:lang w:val="en-US" w:eastAsia="zh-CN"/>
        </w:rPr>
        <w:t>成本节约率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成本节约率=[（计划成本-实际成本）/计划成本]×100%。</w:t>
      </w:r>
    </w:p>
    <w:p>
      <w:pPr>
        <w:ind w:left="0"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质量达标率</w:t>
      </w:r>
      <w:r>
        <w:rPr>
          <w:rFonts w:hint="eastAsia" w:ascii="仿宋_GB2312" w:eastAsia="仿宋_GB2312"/>
          <w:sz w:val="32"/>
          <w:szCs w:val="32"/>
          <w:lang w:val="en-US" w:eastAsia="zh-CN"/>
        </w:rPr>
        <w:t>。</w:t>
      </w:r>
      <w:r>
        <w:rPr>
          <w:rFonts w:hint="default" w:ascii="仿宋_GB2312" w:eastAsia="仿宋_GB2312"/>
          <w:sz w:val="32"/>
          <w:szCs w:val="32"/>
          <w:lang w:val="en-US" w:eastAsia="zh-CN"/>
        </w:rPr>
        <w:t>质量达标率=（质量达标产出数/实际产出数）×100%。</w:t>
      </w:r>
      <w:r>
        <w:rPr>
          <w:rFonts w:hint="default" w:ascii="仿宋_GB2312" w:eastAsia="仿宋_GB2312"/>
          <w:sz w:val="32"/>
          <w:szCs w:val="32"/>
          <w:lang w:val="en-US" w:eastAsia="zh-CN"/>
        </w:rPr>
        <w:br w:type="textWrapping"/>
      </w:r>
      <w:r>
        <w:rPr>
          <w:rFonts w:hint="eastAsia" w:ascii="楷体_GB2312" w:hAnsi="楷体_GB2312" w:eastAsia="楷体_GB2312" w:cs="楷体_GB2312"/>
          <w:b w:val="0"/>
          <w:bCs w:val="0"/>
          <w:sz w:val="32"/>
          <w:szCs w:val="32"/>
          <w:lang w:val="en-US" w:eastAsia="zh-CN"/>
        </w:rPr>
        <w:t>（四）项目效果</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1、社会效益。通过对原光荣院电路改造工程项目实施，更好地</w:t>
      </w:r>
      <w:bookmarkStart w:id="0" w:name="_GoBack"/>
      <w:bookmarkEnd w:id="0"/>
      <w:r>
        <w:rPr>
          <w:rFonts w:hint="eastAsia" w:ascii="仿宋_GB2312" w:eastAsia="仿宋_GB2312"/>
          <w:sz w:val="32"/>
          <w:szCs w:val="32"/>
          <w:lang w:val="en-US" w:eastAsia="zh-CN"/>
        </w:rPr>
        <w:t>为人民群众服务，维护社会稳定发展。</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w:t>
      </w:r>
      <w:r>
        <w:rPr>
          <w:rFonts w:hint="default" w:ascii="仿宋_GB2312" w:eastAsia="仿宋_GB2312"/>
          <w:sz w:val="32"/>
          <w:szCs w:val="32"/>
          <w:lang w:val="en-US" w:eastAsia="zh-CN"/>
        </w:rPr>
        <w:t>服务对象满意度</w:t>
      </w:r>
      <w:r>
        <w:rPr>
          <w:rFonts w:hint="eastAsia" w:ascii="仿宋_GB2312" w:eastAsia="仿宋_GB2312"/>
          <w:sz w:val="32"/>
          <w:szCs w:val="32"/>
          <w:lang w:val="en-US" w:eastAsia="zh-CN"/>
        </w:rPr>
        <w:t>。通过调查问卷的形式，调查所涉及人员对该项目整体满意。</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根据项目执行情况和项目绩效情况，该项目综合评价得分85分，项目综合绩效评价等级为优秀。</w:t>
      </w:r>
    </w:p>
    <w:p>
      <w:pPr>
        <w:numPr>
          <w:ilvl w:val="0"/>
          <w:numId w:val="2"/>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default" w:ascii="黑体" w:hAnsi="黑体" w:eastAsia="黑体"/>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_GB2312" w:eastAsia="仿宋_GB2312"/>
          <w:sz w:val="32"/>
          <w:szCs w:val="32"/>
          <w:lang w:val="en-US" w:eastAsia="zh-CN"/>
        </w:rPr>
        <w:t>无问题</w:t>
      </w:r>
    </w:p>
    <w:p>
      <w:pPr>
        <w:keepNext w:val="0"/>
        <w:keepLines w:val="0"/>
        <w:pageBreakBefore w:val="0"/>
        <w:widowControl w:val="0"/>
        <w:numPr>
          <w:ilvl w:val="0"/>
          <w:numId w:val="2"/>
        </w:numPr>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黑体" w:eastAsia="黑体"/>
          <w:b w:val="0"/>
          <w:bCs w:val="0"/>
          <w:sz w:val="32"/>
          <w:szCs w:val="32"/>
        </w:rPr>
      </w:pPr>
      <w:r>
        <w:rPr>
          <w:rFonts w:hint="eastAsia" w:ascii="黑体" w:eastAsia="黑体"/>
          <w:b w:val="0"/>
          <w:bCs w:val="0"/>
          <w:sz w:val="32"/>
          <w:szCs w:val="32"/>
        </w:rPr>
        <w:t>评价工作组人员名单及签字</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6"/>
        <w:gridCol w:w="1767"/>
        <w:gridCol w:w="1767"/>
        <w:gridCol w:w="1767"/>
        <w:gridCol w:w="17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姓名</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工作单位</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职务</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职称</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center"/>
              <w:textAlignment w:val="auto"/>
              <w:outlineLvl w:val="9"/>
              <w:rPr>
                <w:rFonts w:hint="eastAsia" w:ascii="黑体" w:eastAsia="黑体"/>
                <w:b w:val="0"/>
                <w:bCs w:val="0"/>
                <w:sz w:val="32"/>
                <w:szCs w:val="32"/>
                <w:vertAlign w:val="baseline"/>
                <w:lang w:val="en-US" w:eastAsia="zh-CN"/>
              </w:rPr>
            </w:pPr>
            <w:r>
              <w:rPr>
                <w:rFonts w:hint="eastAsia" w:ascii="黑体" w:eastAsia="黑体"/>
                <w:b w:val="0"/>
                <w:bCs w:val="0"/>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张彦丽</w:t>
            </w:r>
          </w:p>
        </w:tc>
        <w:tc>
          <w:tcPr>
            <w:tcW w:w="1767" w:type="dxa"/>
          </w:tcPr>
          <w:p>
            <w:pPr>
              <w:ind w:right="0" w:rightChars="0"/>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民政局</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副局长</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副科</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vertAlign w:val="baseline"/>
                <w:lang w:val="en-US" w:eastAsia="zh-CN"/>
              </w:rPr>
            </w:pPr>
            <w:r>
              <w:rPr>
                <w:rFonts w:hint="eastAsia" w:ascii="仿宋_GB2312" w:eastAsia="仿宋_GB2312"/>
                <w:sz w:val="32"/>
                <w:szCs w:val="32"/>
                <w:lang w:val="en-US" w:eastAsia="zh-CN"/>
              </w:rPr>
              <w:t>张彦丽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郝社峰</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民政局</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767" w:type="dxa"/>
          </w:tcPr>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无</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vertAlign w:val="baseline"/>
                <w:lang w:val="en-US" w:eastAsia="zh-CN"/>
              </w:rPr>
            </w:pPr>
            <w:r>
              <w:rPr>
                <w:rFonts w:hint="eastAsia" w:ascii="仿宋_GB2312" w:eastAsia="仿宋_GB2312"/>
                <w:sz w:val="32"/>
                <w:szCs w:val="32"/>
                <w:lang w:val="en-US" w:eastAsia="zh-CN"/>
              </w:rPr>
              <w:t>郝社峰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66"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张波</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民政局</w:t>
            </w:r>
          </w:p>
        </w:tc>
        <w:tc>
          <w:tcPr>
            <w:tcW w:w="1767" w:type="dxa"/>
          </w:tcPr>
          <w:p>
            <w:pPr>
              <w:ind w:right="0" w:rightChars="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767" w:type="dxa"/>
          </w:tcPr>
          <w:p>
            <w:pPr>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无</w:t>
            </w:r>
          </w:p>
        </w:tc>
        <w:tc>
          <w:tcPr>
            <w:tcW w:w="1767" w:type="dxa"/>
          </w:tcPr>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vertAlign w:val="baseline"/>
                <w:lang w:val="en-US" w:eastAsia="zh-CN"/>
              </w:rPr>
            </w:pPr>
            <w:r>
              <w:rPr>
                <w:rFonts w:hint="eastAsia" w:ascii="仿宋_GB2312" w:eastAsia="仿宋_GB2312"/>
                <w:sz w:val="32"/>
                <w:szCs w:val="32"/>
                <w:lang w:val="en-US" w:eastAsia="zh-CN"/>
              </w:rPr>
              <w:t>张波</w:t>
            </w:r>
          </w:p>
        </w:tc>
      </w:tr>
    </w:tbl>
    <w:p>
      <w:pPr>
        <w:keepNext w:val="0"/>
        <w:keepLines w:val="0"/>
        <w:pageBreakBefore w:val="0"/>
        <w:widowControl w:val="0"/>
        <w:numPr>
          <w:ilvl w:val="0"/>
          <w:numId w:val="0"/>
        </w:numPr>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eastAsia="黑体"/>
          <w:b w:val="0"/>
          <w:bCs w:val="0"/>
          <w:sz w:val="32"/>
          <w:szCs w:val="32"/>
          <w:lang w:val="en-US" w:eastAsia="zh-CN"/>
        </w:rPr>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3CCF2A"/>
    <w:multiLevelType w:val="singleLevel"/>
    <w:tmpl w:val="CD3CCF2A"/>
    <w:lvl w:ilvl="0" w:tentative="0">
      <w:start w:val="2"/>
      <w:numFmt w:val="chineseCounting"/>
      <w:suff w:val="nothing"/>
      <w:lvlText w:val="（%1）"/>
      <w:lvlJc w:val="left"/>
      <w:pPr>
        <w:ind w:left="481" w:leftChars="0" w:firstLine="0" w:firstLineChars="0"/>
      </w:pPr>
      <w:rPr>
        <w:rFonts w:hint="eastAsia"/>
      </w:rPr>
    </w:lvl>
  </w:abstractNum>
  <w:abstractNum w:abstractNumId="1">
    <w:nsid w:val="1BE1DD59"/>
    <w:multiLevelType w:val="singleLevel"/>
    <w:tmpl w:val="1BE1DD59"/>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78343C4"/>
    <w:rsid w:val="0A8B57D6"/>
    <w:rsid w:val="178A4258"/>
    <w:rsid w:val="198301F9"/>
    <w:rsid w:val="1D6040CD"/>
    <w:rsid w:val="285E2B49"/>
    <w:rsid w:val="28B008F9"/>
    <w:rsid w:val="2A2941B7"/>
    <w:rsid w:val="2A9110AC"/>
    <w:rsid w:val="2CAC5736"/>
    <w:rsid w:val="2E291AEB"/>
    <w:rsid w:val="36EF5138"/>
    <w:rsid w:val="392A5AA4"/>
    <w:rsid w:val="397C1784"/>
    <w:rsid w:val="4BC17D9F"/>
    <w:rsid w:val="4C791689"/>
    <w:rsid w:val="4F2F3936"/>
    <w:rsid w:val="566679F1"/>
    <w:rsid w:val="56A751D2"/>
    <w:rsid w:val="57DA4337"/>
    <w:rsid w:val="5A211E43"/>
    <w:rsid w:val="5E7B1FF9"/>
    <w:rsid w:val="6F7616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2023-06-27T02:07:02Z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