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pacing w:line="360" w:lineRule="auto"/>
        <w:rPr>
          <w:rFonts w:ascii="黑体" w:hAnsi="黑体" w:eastAsia="黑体" w:cs="黑体"/>
          <w:sz w:val="32"/>
          <w:szCs w:val="32"/>
        </w:rPr>
      </w:pPr>
    </w:p>
    <w:p>
      <w:pPr>
        <w:spacing w:line="360" w:lineRule="auto"/>
        <w:jc w:val="center"/>
        <w:rPr>
          <w:rFonts w:ascii="宋体"/>
          <w:b/>
          <w:bCs/>
          <w:sz w:val="36"/>
          <w:szCs w:val="32"/>
        </w:rPr>
      </w:pPr>
      <w:r>
        <w:rPr>
          <w:rFonts w:hint="eastAsia" w:ascii="宋体"/>
          <w:b/>
          <w:bCs/>
          <w:sz w:val="36"/>
          <w:szCs w:val="32"/>
        </w:rPr>
        <w:t>原光荣院供热管网、污水管网改造工程</w:t>
      </w:r>
    </w:p>
    <w:p>
      <w:pPr>
        <w:spacing w:line="360" w:lineRule="auto"/>
        <w:jc w:val="center"/>
        <w:rPr>
          <w:rFonts w:ascii="华文楷体" w:eastAsia="华文楷体"/>
          <w:sz w:val="32"/>
          <w:szCs w:val="32"/>
        </w:rPr>
      </w:pPr>
      <w:r>
        <w:rPr>
          <w:rFonts w:hint="eastAsia" w:ascii="宋体"/>
          <w:b/>
          <w:bCs/>
          <w:sz w:val="36"/>
          <w:szCs w:val="32"/>
        </w:rPr>
        <w:t>项目绩效评价报告</w:t>
      </w:r>
    </w:p>
    <w:p>
      <w:pPr>
        <w:spacing w:line="360" w:lineRule="auto"/>
        <w:rPr>
          <w:rFonts w:ascii="华文楷体" w:eastAsia="华文楷体"/>
          <w:sz w:val="32"/>
          <w:szCs w:val="32"/>
        </w:rPr>
      </w:pPr>
    </w:p>
    <w:p>
      <w:pPr>
        <w:adjustRightInd w:val="0"/>
        <w:snapToGrid w:val="0"/>
        <w:spacing w:line="360" w:lineRule="auto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根据《石家庄市鹿泉区区级部门预算绩效管理办法》（鹿财字[2019]65号），遵循“科学性、规范性、客观性和公正性”的原则，对原光荣院供热管网、污水管网改造工程项目实施了绩效评价，形成本评价报告。</w:t>
      </w:r>
    </w:p>
    <w:p>
      <w:pPr>
        <w:adjustRightInd w:val="0"/>
        <w:snapToGrid w:val="0"/>
        <w:spacing w:line="360" w:lineRule="auto"/>
        <w:rPr>
          <w:rFonts w:ascii="黑体" w:eastAsia="黑体"/>
          <w:b/>
          <w:bCs/>
          <w:sz w:val="32"/>
          <w:szCs w:val="36"/>
        </w:rPr>
      </w:pPr>
      <w:r>
        <w:rPr>
          <w:rFonts w:hint="eastAsia" w:ascii="黑体" w:eastAsia="黑体"/>
          <w:sz w:val="32"/>
          <w:szCs w:val="32"/>
        </w:rPr>
        <w:t xml:space="preserve">    一、项目</w:t>
      </w:r>
      <w:r>
        <w:rPr>
          <w:rFonts w:hint="eastAsia" w:ascii="黑体" w:eastAsia="黑体"/>
          <w:sz w:val="32"/>
          <w:szCs w:val="36"/>
        </w:rPr>
        <w:t>基本情况</w:t>
      </w:r>
    </w:p>
    <w:p>
      <w:pPr>
        <w:adjustRightInd w:val="0"/>
        <w:snapToGrid w:val="0"/>
        <w:spacing w:line="360" w:lineRule="auto"/>
        <w:ind w:firstLine="640" w:firstLineChars="200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（一）项目概况</w:t>
      </w:r>
    </w:p>
    <w:p>
      <w:pPr>
        <w:adjustRightInd w:val="0"/>
        <w:snapToGrid w:val="0"/>
        <w:spacing w:line="360" w:lineRule="auto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原光荣院供热、污水管网主管道因年久失修已基本坏死，环境脏乱差需整修，现申请资金68070元。其中PVC、古三通、弯头等配件共需5110元，破除及恢复地面9660元75度锌管36800元，人工费16501.</w:t>
      </w:r>
    </w:p>
    <w:p>
      <w:pPr>
        <w:adjustRightInd w:val="0"/>
        <w:snapToGrid w:val="0"/>
        <w:spacing w:line="360" w:lineRule="auto"/>
        <w:ind w:firstLine="640" w:firstLineChars="200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（二）项目预期绩效目标</w:t>
      </w:r>
    </w:p>
    <w:p>
      <w:pPr>
        <w:adjustRightInd w:val="0"/>
        <w:snapToGrid w:val="0"/>
        <w:spacing w:line="360" w:lineRule="auto"/>
        <w:ind w:firstLine="600" w:firstLineChars="200"/>
        <w:rPr>
          <w:rFonts w:hint="eastAsia" w:ascii="楷体_GB2312" w:hAnsi="楷体_GB2312" w:eastAsia="仿宋_GB2312" w:cs="楷体_GB2312"/>
          <w:bCs/>
          <w:sz w:val="32"/>
          <w:szCs w:val="32"/>
          <w:lang w:eastAsia="zh-CN"/>
        </w:rPr>
      </w:pPr>
      <w:r>
        <w:rPr>
          <w:rFonts w:hint="eastAsia" w:ascii="仿宋_GB2312" w:eastAsia="仿宋_GB2312"/>
          <w:sz w:val="30"/>
          <w:szCs w:val="30"/>
        </w:rPr>
        <w:t>完成原光荣院供热、污水管网主管道的改造，需要110PVC42根、110古30个、110弯头32个、110三通36个、110*75三通28个、75弯头58个、75三通48个、50弯头72个、50三通32</w:t>
      </w:r>
      <w:r>
        <w:rPr>
          <w:rFonts w:hint="eastAsia" w:ascii="仿宋_GB2312" w:eastAsia="仿宋_GB2312"/>
          <w:sz w:val="30"/>
          <w:szCs w:val="30"/>
          <w:lang w:eastAsia="zh-CN"/>
        </w:rPr>
        <w:t>个。</w:t>
      </w:r>
    </w:p>
    <w:tbl>
      <w:tblPr>
        <w:tblStyle w:val="4"/>
        <w:tblW w:w="7438" w:type="dxa"/>
        <w:tblInd w:w="9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768"/>
        <w:gridCol w:w="3537"/>
        <w:gridCol w:w="113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2" w:hRule="atLeast"/>
        </w:trPr>
        <w:tc>
          <w:tcPr>
            <w:tcW w:w="2768" w:type="dxa"/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30"/>
                <w:szCs w:val="30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0"/>
                <w:szCs w:val="30"/>
              </w:rPr>
              <w:t>预计使用锌管数量</w:t>
            </w:r>
          </w:p>
        </w:tc>
        <w:tc>
          <w:tcPr>
            <w:tcW w:w="3537" w:type="dxa"/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30"/>
                <w:szCs w:val="30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0"/>
                <w:szCs w:val="30"/>
              </w:rPr>
              <w:t>实际使用锌管数量（米）</w:t>
            </w:r>
          </w:p>
        </w:tc>
        <w:tc>
          <w:tcPr>
            <w:tcW w:w="1133" w:type="dxa"/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30"/>
                <w:szCs w:val="30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0"/>
                <w:szCs w:val="30"/>
              </w:rPr>
              <w:t>≥230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25" w:hRule="atLeast"/>
        </w:trPr>
        <w:tc>
          <w:tcPr>
            <w:tcW w:w="2768" w:type="dxa"/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30"/>
                <w:szCs w:val="30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0"/>
                <w:szCs w:val="30"/>
              </w:rPr>
              <w:t>预计破除及恢复地面数量</w:t>
            </w:r>
          </w:p>
        </w:tc>
        <w:tc>
          <w:tcPr>
            <w:tcW w:w="3537" w:type="dxa"/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30"/>
                <w:szCs w:val="30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0"/>
                <w:szCs w:val="30"/>
              </w:rPr>
              <w:t>实际破除及恢复地面数量（米）</w:t>
            </w:r>
          </w:p>
        </w:tc>
        <w:tc>
          <w:tcPr>
            <w:tcW w:w="1133" w:type="dxa"/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30"/>
                <w:szCs w:val="30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0"/>
                <w:szCs w:val="30"/>
              </w:rPr>
              <w:t>≥42</w:t>
            </w:r>
          </w:p>
        </w:tc>
      </w:tr>
    </w:tbl>
    <w:p>
      <w:pPr>
        <w:adjustRightInd w:val="0"/>
        <w:snapToGrid w:val="0"/>
        <w:spacing w:line="360" w:lineRule="auto"/>
        <w:ind w:firstLine="640" w:firstLineChars="200"/>
        <w:rPr>
          <w:rFonts w:ascii="楷体_GB2312" w:hAnsi="楷体_GB2312" w:eastAsia="楷体_GB2312" w:cs="楷体_GB2312"/>
          <w:bCs/>
          <w:sz w:val="32"/>
          <w:szCs w:val="32"/>
        </w:rPr>
      </w:pPr>
    </w:p>
    <w:p>
      <w:pPr>
        <w:adjustRightInd w:val="0"/>
        <w:snapToGrid w:val="0"/>
        <w:spacing w:line="360" w:lineRule="auto"/>
        <w:ind w:firstLine="643" w:firstLineChars="200"/>
        <w:rPr>
          <w:rFonts w:ascii="黑体" w:hAnsi="黑体" w:eastAsia="黑体" w:cs="黑体"/>
          <w:b/>
          <w:bCs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sz w:val="32"/>
          <w:szCs w:val="32"/>
        </w:rPr>
        <w:t>二、绩效评价工作情况</w:t>
      </w:r>
    </w:p>
    <w:p>
      <w:pPr>
        <w:ind w:firstLine="640" w:firstLineChars="200"/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eastAsia="仿宋_GB2312"/>
          <w:sz w:val="32"/>
          <w:szCs w:val="32"/>
        </w:rPr>
        <w:t>1.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 xml:space="preserve"> 项目立项规范性</w:t>
      </w:r>
    </w:p>
    <w:p>
      <w:pPr>
        <w:shd w:val="solid" w:color="FFFFFF" w:fill="auto"/>
        <w:autoSpaceDN w:val="0"/>
        <w:ind w:firstLine="640" w:firstLineChars="200"/>
        <w:textAlignment w:val="center"/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2. 绩效目标合理性</w:t>
      </w:r>
    </w:p>
    <w:p>
      <w:pPr>
        <w:shd w:val="solid" w:color="FFFFFF" w:fill="auto"/>
        <w:autoSpaceDN w:val="0"/>
        <w:ind w:firstLine="640" w:firstLineChars="200"/>
        <w:textAlignment w:val="center"/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3. 绩效指标明确性</w:t>
      </w:r>
    </w:p>
    <w:p>
      <w:pPr>
        <w:shd w:val="solid" w:color="FFFFFF" w:fill="auto"/>
        <w:autoSpaceDN w:val="0"/>
        <w:ind w:firstLine="640" w:firstLineChars="200"/>
        <w:textAlignment w:val="center"/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4. 管理制度健全性</w:t>
      </w:r>
    </w:p>
    <w:p>
      <w:pPr>
        <w:shd w:val="solid" w:color="FFFFFF" w:fill="auto"/>
        <w:autoSpaceDN w:val="0"/>
        <w:ind w:firstLine="640" w:firstLineChars="200"/>
        <w:textAlignment w:val="center"/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5. 制度执行有效性</w:t>
      </w:r>
    </w:p>
    <w:p>
      <w:pPr>
        <w:shd w:val="solid" w:color="FFFFFF" w:fill="auto"/>
        <w:autoSpaceDN w:val="0"/>
        <w:ind w:firstLine="640" w:firstLineChars="200"/>
        <w:textAlignment w:val="center"/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6. 资金使用合规性</w:t>
      </w:r>
    </w:p>
    <w:p>
      <w:pPr>
        <w:shd w:val="solid" w:color="FFFFFF" w:fill="auto"/>
        <w:autoSpaceDN w:val="0"/>
        <w:ind w:firstLine="640" w:firstLineChars="200"/>
        <w:textAlignment w:val="center"/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 xml:space="preserve">7. </w:t>
      </w:r>
      <w:r>
        <w:rPr>
          <w:rFonts w:hint="default" w:ascii="仿宋_GB2312" w:hAnsi="楷体_GB2312" w:eastAsia="仿宋_GB2312"/>
          <w:color w:val="000000"/>
          <w:sz w:val="32"/>
          <w:szCs w:val="32"/>
          <w:shd w:val="clear" w:color="auto" w:fill="FFFFFF"/>
          <w:lang w:eastAsia="zh-CN"/>
        </w:rPr>
        <w:t>质量达标率</w:t>
      </w:r>
    </w:p>
    <w:p>
      <w:pPr>
        <w:shd w:val="solid" w:color="FFFFFF" w:fill="auto"/>
        <w:autoSpaceDN w:val="0"/>
        <w:ind w:firstLine="640" w:firstLineChars="200"/>
        <w:textAlignment w:val="center"/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8. 社会公众或服务对象满意度</w:t>
      </w:r>
    </w:p>
    <w:p>
      <w:pPr>
        <w:rPr>
          <w:rFonts w:ascii="黑体" w:hAnsi="黑体" w:eastAsia="黑体" w:cs="黑体"/>
          <w:b/>
          <w:bCs/>
          <w:sz w:val="32"/>
          <w:szCs w:val="32"/>
        </w:rPr>
      </w:pPr>
      <w:r>
        <w:rPr>
          <w:rFonts w:hint="eastAsia" w:ascii="仿宋_GB2312" w:eastAsia="仿宋_GB2312"/>
          <w:b/>
          <w:bCs/>
          <w:sz w:val="32"/>
          <w:szCs w:val="32"/>
        </w:rPr>
        <w:t xml:space="preserve">    </w:t>
      </w:r>
      <w:r>
        <w:rPr>
          <w:rFonts w:hint="eastAsia" w:ascii="黑体" w:hAnsi="黑体" w:eastAsia="黑体" w:cs="黑体"/>
          <w:sz w:val="32"/>
          <w:szCs w:val="32"/>
        </w:rPr>
        <w:t>三、项目执行及绩效实现情况</w:t>
      </w:r>
    </w:p>
    <w:p>
      <w:pPr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 xml:space="preserve">   （一）项目投入</w:t>
      </w:r>
    </w:p>
    <w:p>
      <w:pPr>
        <w:ind w:firstLine="640" w:firstLineChars="200"/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eastAsia="仿宋_GB2312"/>
          <w:sz w:val="32"/>
          <w:szCs w:val="32"/>
        </w:rPr>
        <w:t>1.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 xml:space="preserve"> 项目立项规范性，项目的申请、设立过程符合相关要求，用以反映和考核项目立项的规范情况。</w:t>
      </w:r>
    </w:p>
    <w:p>
      <w:pPr>
        <w:shd w:val="solid" w:color="FFFFFF" w:fill="auto"/>
        <w:autoSpaceDN w:val="0"/>
        <w:textAlignment w:val="center"/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2. 绩效目标合理性，项目所设定的绩效目标依据充分，符合客观实际，用以反映和考核项目绩效目标与项目实施的相符情况。</w:t>
      </w:r>
    </w:p>
    <w:p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3.资金到位率，实际到位资金与计划投入资金的比率，用以反映和考核资金落实情况对项目实施的总体保障程度。</w:t>
      </w:r>
      <w:r>
        <w:rPr>
          <w:rFonts w:hint="eastAsia" w:ascii="仿宋_GB2312" w:eastAsia="仿宋_GB2312"/>
          <w:sz w:val="32"/>
          <w:szCs w:val="32"/>
        </w:rPr>
        <w:t xml:space="preserve">   </w:t>
      </w:r>
    </w:p>
    <w:p>
      <w:pPr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（二）项目实施过程</w:t>
      </w:r>
    </w:p>
    <w:p>
      <w:pPr>
        <w:shd w:val="solid" w:color="FFFFFF" w:fill="auto"/>
        <w:autoSpaceDN w:val="0"/>
        <w:textAlignment w:val="center"/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1.管理制度健全性，项目实施单位的业务管理制度健全，用以反映和考核业务管理制度对项目顺利实施的保障情况。</w:t>
      </w:r>
    </w:p>
    <w:p>
      <w:pPr>
        <w:shd w:val="solid" w:color="FFFFFF" w:fill="auto"/>
        <w:autoSpaceDN w:val="0"/>
        <w:textAlignment w:val="center"/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2. 制度执行有效性，项目实施符合相关业务管理规定，用以反映和考核业务管理制度的有效执行情况。</w:t>
      </w:r>
    </w:p>
    <w:p>
      <w:pPr>
        <w:shd w:val="solid" w:color="FFFFFF" w:fill="auto"/>
        <w:autoSpaceDN w:val="0"/>
        <w:textAlignment w:val="center"/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3. 资金使用合规性，项目资金使用符合相关的财务管理制度规定，用以反映和考核项目资金的规范运行情况</w:t>
      </w:r>
    </w:p>
    <w:p>
      <w:pPr>
        <w:rPr>
          <w:rFonts w:ascii="仿宋_GB2312" w:eastAsia="仿宋_GB2312"/>
          <w:b/>
          <w:bCs/>
          <w:sz w:val="32"/>
          <w:szCs w:val="32"/>
        </w:rPr>
      </w:pPr>
      <w:r>
        <w:rPr>
          <w:rFonts w:hint="eastAsia" w:ascii="仿宋_GB2312" w:eastAsia="仿宋_GB2312"/>
          <w:b/>
          <w:bCs/>
          <w:sz w:val="32"/>
          <w:szCs w:val="32"/>
        </w:rPr>
        <w:t xml:space="preserve">   </w:t>
      </w:r>
      <w:r>
        <w:rPr>
          <w:rFonts w:hint="eastAsia" w:ascii="楷体_GB2312" w:hAnsi="楷体_GB2312" w:eastAsia="楷体_GB2312" w:cs="楷体_GB2312"/>
          <w:sz w:val="32"/>
          <w:szCs w:val="32"/>
        </w:rPr>
        <w:t>（三）项目产出</w:t>
      </w:r>
    </w:p>
    <w:p>
      <w:pPr>
        <w:shd w:val="solid" w:color="FFFFFF" w:fill="auto"/>
        <w:autoSpaceDN w:val="0"/>
        <w:textAlignment w:val="center"/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  <w:lang w:val="en-US" w:eastAsia="zh-CN"/>
        </w:rPr>
      </w:pPr>
      <w:r>
        <w:rPr>
          <w:rFonts w:hint="default" w:ascii="仿宋_GB2312" w:hAnsi="楷体_GB2312" w:eastAsia="仿宋_GB2312"/>
          <w:color w:val="000000"/>
          <w:sz w:val="32"/>
          <w:szCs w:val="32"/>
          <w:shd w:val="clear" w:color="auto" w:fill="FFFFFF"/>
          <w:lang w:eastAsia="zh-CN"/>
        </w:rPr>
        <w:t>质量达标率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  <w:lang w:val="en-US" w:eastAsia="zh-CN"/>
        </w:rPr>
        <w:t>=100%</w:t>
      </w:r>
    </w:p>
    <w:p>
      <w:pPr>
        <w:ind w:firstLine="640" w:firstLineChars="200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（四）项目效果</w:t>
      </w:r>
    </w:p>
    <w:p>
      <w:pPr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1.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 xml:space="preserve"> 社会公众或服务对象满意度，社会公众或服务对象对项目实施效果的满意程度。</w:t>
      </w:r>
    </w:p>
    <w:p>
      <w:pPr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四、项目综合评价结论和评价等级</w:t>
      </w:r>
    </w:p>
    <w:p>
      <w:pPr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根据项目执行情况和项目绩效情况，得出综合评价结论和项目综合绩效评价等级为90分，项目综合绩效评价为优秀。</w:t>
      </w: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>
      <w:pPr>
        <w:rPr>
          <w:rFonts w:ascii="楷体_GB2312" w:hAnsi="楷体_GB2312" w:eastAsia="楷体_GB2312"/>
          <w:sz w:val="32"/>
          <w:szCs w:val="32"/>
        </w:rPr>
      </w:pPr>
      <w:r>
        <w:rPr>
          <w:rFonts w:hint="eastAsia" w:ascii="楷体_GB2312" w:hAnsi="楷体_GB2312" w:eastAsia="楷体_GB2312"/>
          <w:b/>
          <w:bCs/>
          <w:sz w:val="32"/>
          <w:szCs w:val="32"/>
        </w:rPr>
        <w:t xml:space="preserve">  </w:t>
      </w:r>
      <w:r>
        <w:rPr>
          <w:rFonts w:hint="eastAsia" w:ascii="楷体_GB2312" w:hAnsi="楷体_GB2312" w:eastAsia="楷体_GB2312"/>
          <w:bCs/>
          <w:sz w:val="32"/>
          <w:szCs w:val="32"/>
        </w:rPr>
        <w:t>在该项目实施过程中没有存在问题及改进措施</w:t>
      </w:r>
    </w:p>
    <w:p>
      <w:pPr>
        <w:adjustRightInd w:val="0"/>
        <w:snapToGrid w:val="0"/>
        <w:spacing w:line="360" w:lineRule="auto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黑体" w:eastAsia="黑体"/>
          <w:sz w:val="32"/>
          <w:szCs w:val="32"/>
        </w:rPr>
        <w:t>六、评价工作组人员名单及签字</w:t>
      </w:r>
    </w:p>
    <w:tbl>
      <w:tblPr>
        <w:tblStyle w:val="5"/>
        <w:tblW w:w="903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07"/>
        <w:gridCol w:w="1808"/>
        <w:gridCol w:w="1808"/>
        <w:gridCol w:w="1808"/>
        <w:gridCol w:w="180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8" w:hRule="atLeast"/>
          <w:jc w:val="center"/>
        </w:trPr>
        <w:tc>
          <w:tcPr>
            <w:tcW w:w="1807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eastAsia="zh-CN"/>
              </w:rPr>
              <w:t>姓名</w:t>
            </w:r>
          </w:p>
        </w:tc>
        <w:tc>
          <w:tcPr>
            <w:tcW w:w="1808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eastAsia="zh-CN"/>
              </w:rPr>
              <w:t>工作单位</w:t>
            </w:r>
          </w:p>
        </w:tc>
        <w:tc>
          <w:tcPr>
            <w:tcW w:w="1808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eastAsia="zh-CN"/>
              </w:rPr>
              <w:t>职务</w:t>
            </w:r>
          </w:p>
        </w:tc>
        <w:tc>
          <w:tcPr>
            <w:tcW w:w="1808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eastAsia="zh-CN"/>
              </w:rPr>
              <w:t>职称</w:t>
            </w:r>
          </w:p>
        </w:tc>
        <w:tc>
          <w:tcPr>
            <w:tcW w:w="1808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eastAsia="zh-CN"/>
              </w:rPr>
              <w:t>签字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8" w:hRule="atLeast"/>
          <w:jc w:val="center"/>
        </w:trPr>
        <w:tc>
          <w:tcPr>
            <w:tcW w:w="1807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eastAsia="zh-CN"/>
              </w:rPr>
              <w:t>张彦丽</w:t>
            </w:r>
          </w:p>
        </w:tc>
        <w:tc>
          <w:tcPr>
            <w:tcW w:w="1808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eastAsia="zh-CN"/>
              </w:rPr>
              <w:t>民政局</w:t>
            </w:r>
          </w:p>
        </w:tc>
        <w:tc>
          <w:tcPr>
            <w:tcW w:w="1808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eastAsia="zh-CN"/>
              </w:rPr>
              <w:t>副局长</w:t>
            </w:r>
          </w:p>
        </w:tc>
        <w:tc>
          <w:tcPr>
            <w:tcW w:w="1808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eastAsia="zh-CN"/>
              </w:rPr>
              <w:t>副科</w:t>
            </w:r>
          </w:p>
        </w:tc>
        <w:tc>
          <w:tcPr>
            <w:tcW w:w="1808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eastAsia="zh-CN"/>
              </w:rPr>
              <w:t>张彦丽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8" w:hRule="atLeast"/>
          <w:jc w:val="center"/>
        </w:trPr>
        <w:tc>
          <w:tcPr>
            <w:tcW w:w="1807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eastAsia="zh-CN"/>
              </w:rPr>
              <w:t>郝社峰</w:t>
            </w:r>
          </w:p>
        </w:tc>
        <w:tc>
          <w:tcPr>
            <w:tcW w:w="1808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eastAsia="zh-CN"/>
              </w:rPr>
              <w:t>民政局</w:t>
            </w:r>
          </w:p>
        </w:tc>
        <w:tc>
          <w:tcPr>
            <w:tcW w:w="1808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eastAsia="zh-CN"/>
              </w:rPr>
              <w:t>科员</w:t>
            </w:r>
          </w:p>
        </w:tc>
        <w:tc>
          <w:tcPr>
            <w:tcW w:w="1808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eastAsia="zh-CN"/>
              </w:rPr>
              <w:t>无</w:t>
            </w:r>
          </w:p>
        </w:tc>
        <w:tc>
          <w:tcPr>
            <w:tcW w:w="1808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eastAsia="zh-CN"/>
              </w:rPr>
              <w:t>郝社峰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7" w:hRule="atLeast"/>
          <w:jc w:val="center"/>
        </w:trPr>
        <w:tc>
          <w:tcPr>
            <w:tcW w:w="1807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eastAsia="zh-CN"/>
              </w:rPr>
              <w:t>张波</w:t>
            </w:r>
          </w:p>
        </w:tc>
        <w:tc>
          <w:tcPr>
            <w:tcW w:w="1808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eastAsia="zh-CN"/>
              </w:rPr>
              <w:t>民政局</w:t>
            </w:r>
          </w:p>
        </w:tc>
        <w:tc>
          <w:tcPr>
            <w:tcW w:w="1808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eastAsia="zh-CN"/>
              </w:rPr>
              <w:t>科员</w:t>
            </w:r>
          </w:p>
        </w:tc>
        <w:tc>
          <w:tcPr>
            <w:tcW w:w="1808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eastAsia="zh-CN"/>
              </w:rPr>
              <w:t>无</w:t>
            </w:r>
          </w:p>
        </w:tc>
        <w:tc>
          <w:tcPr>
            <w:tcW w:w="1808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eastAsia="zh-CN"/>
              </w:rPr>
              <w:t>张波</w:t>
            </w:r>
            <w:bookmarkStart w:id="0" w:name="_GoBack"/>
            <w:bookmarkEnd w:id="0"/>
          </w:p>
        </w:tc>
      </w:tr>
    </w:tbl>
    <w:p/>
    <w:sectPr>
      <w:headerReference r:id="rId3" w:type="first"/>
      <w:footerReference r:id="rId6" w:type="first"/>
      <w:footerReference r:id="rId4" w:type="default"/>
      <w:footerReference r:id="rId5" w:type="even"/>
      <w:pgSz w:w="11906" w:h="16838"/>
      <w:pgMar w:top="1361" w:right="1644" w:bottom="1361" w:left="1644" w:header="851" w:footer="992" w:gutter="0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right" w:y="1"/>
      <w:rPr>
        <w:rStyle w:val="7"/>
      </w:rPr>
    </w:pPr>
    <w:r>
      <w:fldChar w:fldCharType="begin"/>
    </w:r>
    <w:r>
      <w:rPr>
        <w:rStyle w:val="7"/>
      </w:rPr>
      <w:instrText xml:space="preserve">PAGE  </w:instrText>
    </w:r>
    <w:r>
      <w:fldChar w:fldCharType="separate"/>
    </w:r>
    <w:r>
      <w:rPr>
        <w:rStyle w:val="7"/>
      </w:rPr>
      <w:t>4</w:t>
    </w:r>
    <w:r>
      <w:fldChar w:fldCharType="end"/>
    </w:r>
  </w:p>
  <w:p>
    <w:pPr>
      <w:pStyle w:val="2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A2941B7"/>
    <w:rsid w:val="000B0B18"/>
    <w:rsid w:val="000C12AF"/>
    <w:rsid w:val="000D04A5"/>
    <w:rsid w:val="000E2167"/>
    <w:rsid w:val="00134D5A"/>
    <w:rsid w:val="00166026"/>
    <w:rsid w:val="001B6075"/>
    <w:rsid w:val="001D0B0C"/>
    <w:rsid w:val="001E455E"/>
    <w:rsid w:val="001E62D5"/>
    <w:rsid w:val="003008A1"/>
    <w:rsid w:val="00301694"/>
    <w:rsid w:val="00311B41"/>
    <w:rsid w:val="00360948"/>
    <w:rsid w:val="003D01D9"/>
    <w:rsid w:val="003F4384"/>
    <w:rsid w:val="00401AA9"/>
    <w:rsid w:val="004B2B13"/>
    <w:rsid w:val="00656D57"/>
    <w:rsid w:val="00682695"/>
    <w:rsid w:val="00737DF4"/>
    <w:rsid w:val="0074080F"/>
    <w:rsid w:val="00752540"/>
    <w:rsid w:val="007D200C"/>
    <w:rsid w:val="00836E4F"/>
    <w:rsid w:val="00887CC6"/>
    <w:rsid w:val="0090351D"/>
    <w:rsid w:val="009220F4"/>
    <w:rsid w:val="009D0033"/>
    <w:rsid w:val="009D7591"/>
    <w:rsid w:val="00A35220"/>
    <w:rsid w:val="00A37682"/>
    <w:rsid w:val="00AA1039"/>
    <w:rsid w:val="00AC7D1F"/>
    <w:rsid w:val="00B343C4"/>
    <w:rsid w:val="00BC21D9"/>
    <w:rsid w:val="00BD2C03"/>
    <w:rsid w:val="00BE55C4"/>
    <w:rsid w:val="00C76955"/>
    <w:rsid w:val="00C9617D"/>
    <w:rsid w:val="00CA04FD"/>
    <w:rsid w:val="00DA64CC"/>
    <w:rsid w:val="00DF3E75"/>
    <w:rsid w:val="00EC5054"/>
    <w:rsid w:val="00F65209"/>
    <w:rsid w:val="00F82476"/>
    <w:rsid w:val="00F910FA"/>
    <w:rsid w:val="2A2941B7"/>
    <w:rsid w:val="2E6410FE"/>
    <w:rsid w:val="34A21746"/>
    <w:rsid w:val="355C3D94"/>
    <w:rsid w:val="42CB1449"/>
    <w:rsid w:val="462F6DBD"/>
    <w:rsid w:val="482565B1"/>
    <w:rsid w:val="4DB24E9F"/>
    <w:rsid w:val="52032DF6"/>
    <w:rsid w:val="52FA50B9"/>
    <w:rsid w:val="57031626"/>
    <w:rsid w:val="64525B96"/>
    <w:rsid w:val="67794E58"/>
    <w:rsid w:val="687C6C1A"/>
    <w:rsid w:val="732E65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 w:asciiTheme="minorHAnsi" w:hAnsiTheme="minorHAnsi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7">
    <w:name w:val="page number"/>
    <w:basedOn w:val="6"/>
    <w:uiPriority w:val="0"/>
  </w:style>
  <w:style w:type="paragraph" w:customStyle="1" w:styleId="8">
    <w:name w:val="默认段落字体 Para Char Char Char Char Char Char Char"/>
    <w:basedOn w:val="1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3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9</Pages>
  <Words>568</Words>
  <Characters>3244</Characters>
  <Lines>27</Lines>
  <Paragraphs>7</Paragraphs>
  <TotalTime>0</TotalTime>
  <ScaleCrop>false</ScaleCrop>
  <LinksUpToDate>false</LinksUpToDate>
  <CharactersWithSpaces>3805</CharactersWithSpaces>
  <Application>WPS Office_11.1.0.9305_F1E327BC-269C-435d-A152-05C5408002CA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2020-01-02T08:14:00Z</dcterms:created>
  <dc:creator>838</dc:creator>
  <cp:lastModifiedBy>Administrator</cp:lastModifiedBy>
  <cp:lastPrinted>2020-01-06T09:23:34Z</cp:lastPrinted>
  <dcterms:modified xsi:type="dcterms:W3CDTF">2020-01-06T09:23:45Z</dcterms:modified>
  <cp:revision>58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2052-11.1.0.9305</vt:lpwstr>
  </property>
</Properties>
</file>