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default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  <w:lang w:eastAsia="zh-CN"/>
        </w:rPr>
        <w:t>城乡低保项目</w:t>
      </w:r>
      <w:r>
        <w:rPr>
          <w:rFonts w:hint="eastAsia" w:asciiTheme="majorEastAsia" w:hAnsiTheme="majorEastAsia" w:eastAsiaTheme="majorEastAsia" w:cstheme="majorEastAsia"/>
          <w:b/>
          <w:bCs/>
          <w:sz w:val="44"/>
          <w:szCs w:val="44"/>
        </w:rPr>
        <w:t>绩效评价报告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城乡低保项目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</w:t>
      </w:r>
      <w:r>
        <w:rPr>
          <w:rFonts w:hint="eastAsia" w:ascii="仿宋_GB2312" w:eastAsia="仿宋_GB2312"/>
          <w:sz w:val="32"/>
          <w:szCs w:val="32"/>
        </w:rPr>
        <w:t>1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.</w:t>
      </w:r>
      <w:r>
        <w:rPr>
          <w:rFonts w:hint="eastAsia" w:ascii="仿宋_GB2312" w:eastAsia="仿宋_GB2312"/>
          <w:sz w:val="32"/>
          <w:szCs w:val="32"/>
          <w:lang w:eastAsia="zh-CN"/>
        </w:rPr>
        <w:t>项目实施单位：鹿泉区民政局；</w:t>
      </w:r>
    </w:p>
    <w:p>
      <w:pPr>
        <w:adjustRightInd w:val="0"/>
        <w:snapToGrid w:val="0"/>
        <w:spacing w:line="360" w:lineRule="auto"/>
        <w:ind w:firstLine="1280" w:firstLineChars="4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项目立项：国家对共同生活的家庭成员人均收入低于当地最低生活保障标准，且符合当地最低生活保障家庭财产状况规定的家庭，给予最低生活保障。即:低保是以家庭为单位，以收入为依据，以标准为参照，实行差额救助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2.项目主要实施内容和范围；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为鹿泉区城乡低保对象发放低保金，农村低保对象每人每年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4842元，城市低保对象每人每年8052元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3.项目资金投入情况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财政预算</w:t>
      </w:r>
      <w:r>
        <w:rPr>
          <w:rFonts w:hint="eastAsia" w:ascii="仿宋_GB2312" w:eastAsia="仿宋_GB2312"/>
          <w:sz w:val="32"/>
          <w:szCs w:val="32"/>
          <w:lang w:eastAsia="zh-CN"/>
        </w:rPr>
        <w:t>安排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460万元，</w:t>
      </w:r>
      <w:r>
        <w:rPr>
          <w:rFonts w:hint="eastAsia" w:ascii="仿宋_GB2312" w:eastAsia="仿宋_GB2312"/>
          <w:sz w:val="32"/>
          <w:szCs w:val="32"/>
          <w:lang w:eastAsia="zh-CN"/>
        </w:rPr>
        <w:t>调整预算数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263.5521</w:t>
      </w:r>
      <w:r>
        <w:rPr>
          <w:rFonts w:hint="eastAsia" w:ascii="仿宋_GB2312" w:eastAsia="仿宋_GB2312"/>
          <w:sz w:val="32"/>
          <w:szCs w:val="32"/>
        </w:rPr>
        <w:t>万元</w:t>
      </w:r>
      <w:r>
        <w:rPr>
          <w:rFonts w:hint="eastAsia" w:ascii="仿宋_GB2312" w:eastAsia="仿宋_GB2312"/>
          <w:sz w:val="32"/>
          <w:szCs w:val="32"/>
          <w:lang w:eastAsia="zh-CN"/>
        </w:rPr>
        <w:t>，实际支付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200万元</w:t>
      </w:r>
      <w:r>
        <w:rPr>
          <w:rFonts w:hint="eastAsia" w:ascii="仿宋_GB2312" w:eastAsia="仿宋_GB2312"/>
          <w:sz w:val="32"/>
          <w:szCs w:val="32"/>
        </w:rPr>
        <w:t>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  <w:lang w:eastAsia="zh-CN"/>
        </w:rPr>
        <w:t>全区年初共有城乡低保对象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1986人，年末增加到4108人</w:t>
      </w:r>
      <w:r>
        <w:rPr>
          <w:rFonts w:hint="eastAsia" w:ascii="仿宋_GB2312" w:eastAsia="仿宋_GB2312"/>
          <w:sz w:val="32"/>
          <w:szCs w:val="32"/>
          <w:lang w:eastAsia="zh-CN"/>
        </w:rPr>
        <w:t>。</w:t>
      </w:r>
    </w:p>
    <w:p>
      <w:pPr>
        <w:adjustRightInd w:val="0"/>
        <w:snapToGrid w:val="0"/>
        <w:spacing w:line="360" w:lineRule="auto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_GB2312" w:hAnsi="楷体_GB2312" w:eastAsia="仿宋_GB2312" w:cs="楷体_GB2312"/>
          <w:bCs/>
          <w:sz w:val="32"/>
          <w:szCs w:val="32"/>
        </w:rPr>
        <w:t>保障</w:t>
      </w:r>
      <w:r>
        <w:rPr>
          <w:rFonts w:hint="eastAsia" w:ascii="仿宋_GB2312" w:hAnsi="楷体_GB2312" w:eastAsia="仿宋_GB2312" w:cs="楷体_GB2312"/>
          <w:bCs/>
          <w:sz w:val="32"/>
          <w:szCs w:val="32"/>
          <w:lang w:eastAsia="zh-CN"/>
        </w:rPr>
        <w:t>城乡低保对象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的基本生活，维护了社会稳定</w:t>
      </w:r>
      <w:r>
        <w:rPr>
          <w:rFonts w:hint="eastAsia" w:ascii="仿宋_GB2312" w:hAnsi="楷体_GB2312" w:eastAsia="仿宋_GB2312" w:cs="楷体_GB2312"/>
          <w:bCs/>
          <w:sz w:val="32"/>
          <w:szCs w:val="32"/>
          <w:lang w:eastAsia="zh-CN"/>
        </w:rPr>
        <w:t>，增加人民幸福感</w:t>
      </w:r>
      <w:r>
        <w:rPr>
          <w:rFonts w:hint="eastAsia" w:ascii="仿宋_GB2312" w:hAnsi="楷体_GB2312" w:eastAsia="仿宋_GB2312" w:cs="楷体_GB2312"/>
          <w:bCs/>
          <w:sz w:val="32"/>
          <w:szCs w:val="32"/>
        </w:rPr>
        <w:t>。</w:t>
      </w:r>
    </w:p>
    <w:p>
      <w:pPr>
        <w:adjustRightInd w:val="0"/>
        <w:snapToGrid w:val="0"/>
        <w:spacing w:line="360" w:lineRule="auto"/>
        <w:ind w:firstLine="640" w:firstLineChars="200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黑体" w:hAnsi="黑体" w:eastAsia="黑体" w:cs="黑体"/>
          <w:b/>
          <w:bCs/>
          <w:sz w:val="32"/>
          <w:szCs w:val="32"/>
        </w:rPr>
        <w:t>二、绩效评价工作情况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（一）绩效评价的组织工作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楷体_GB2312" w:eastAsia="仿宋_GB2312" w:cs="楷体_GB2312"/>
          <w:sz w:val="32"/>
          <w:szCs w:val="32"/>
        </w:rPr>
      </w:pPr>
      <w:r>
        <w:rPr>
          <w:rFonts w:hint="eastAsia" w:ascii="仿宋_GB2312" w:hAnsi="楷体_GB2312" w:eastAsia="仿宋_GB2312" w:cs="楷体_GB2312"/>
          <w:sz w:val="32"/>
          <w:szCs w:val="32"/>
        </w:rPr>
        <w:t>绩效评价小组组织会议，根据上级文件确定采用调查问卷的形式，实地走访调查。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</w:t>
      </w:r>
      <w:r>
        <w:rPr>
          <w:rFonts w:hint="eastAsia" w:ascii="仿宋_GB2312" w:eastAsia="仿宋_GB2312"/>
          <w:b/>
          <w:bCs/>
          <w:sz w:val="32"/>
          <w:szCs w:val="32"/>
        </w:rPr>
        <w:t xml:space="preserve">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（二）绩效评价的方法和过程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楷体_GB2312" w:eastAsia="仿宋_GB2312" w:cs="楷体_GB2312"/>
          <w:b/>
          <w:bCs/>
          <w:sz w:val="32"/>
          <w:szCs w:val="32"/>
        </w:rPr>
      </w:pPr>
      <w:r>
        <w:rPr>
          <w:rFonts w:hint="eastAsia" w:ascii="仿宋_GB2312" w:hAnsi="楷体_GB2312" w:eastAsia="仿宋_GB2312" w:cs="楷体_GB2312"/>
          <w:sz w:val="32"/>
          <w:szCs w:val="32"/>
        </w:rPr>
        <w:t>实地采用调查问卷的方式进行。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（三）建立绩效评价指标体系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1.此项目与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本单位职责密切相关。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2.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此项目与预算确定的项目资金量相匹配。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en-US" w:eastAsia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3.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完成及时率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4.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到位及时率。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5.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资金的拨付有完整的审批程序和手续。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6.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符合项目预算批复或合同规定的用途。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7.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实际完成率。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8.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服务对象满意度。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黑体" w:hAnsi="黑体" w:eastAsia="黑体" w:cs="黑体"/>
          <w:b/>
          <w:bCs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三、项目执行及绩效实现情况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</w:rPr>
        <w:t xml:space="preserve">   （一）项目投入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项目</w:t>
      </w:r>
      <w:r>
        <w:rPr>
          <w:rFonts w:hint="eastAsia" w:ascii="仿宋_GB2312" w:eastAsia="仿宋_GB2312"/>
          <w:sz w:val="32"/>
          <w:szCs w:val="32"/>
        </w:rPr>
        <w:t>立项情况分析。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hint="eastAsia" w:ascii="仿宋_GB2312" w:eastAsia="仿宋_GB2312" w:cs="宋体"/>
          <w:kern w:val="0"/>
          <w:sz w:val="32"/>
          <w:szCs w:val="32"/>
          <w:lang w:val="zh-CN"/>
        </w:rPr>
        <w:t>此项目与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本单位职责密切相关。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2.此项目与预算确定的项目资金量相匹配。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3.到位及时率=100%。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（二）项目实施过程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财务管理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sz w:val="32"/>
          <w:szCs w:val="32"/>
        </w:rPr>
        <w:t>1.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资金的拨付有完整的审批程序和手续。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 w:cs="宋体"/>
          <w:kern w:val="0"/>
          <w:sz w:val="32"/>
          <w:szCs w:val="32"/>
          <w:lang w:val="zh-CN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2.符合项目预算批复或合同规定的用途。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eastAsia="仿宋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（三）项目产出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1.实际完成率=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  <w:lang w:val="en-US" w:eastAsia="zh-CN"/>
        </w:rPr>
        <w:t>76</w:t>
      </w: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2.完成及时率=100%。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 xml:space="preserve">   </w:t>
      </w:r>
      <w:r>
        <w:rPr>
          <w:rFonts w:hint="eastAsia" w:ascii="楷体_GB2312" w:hAnsi="楷体_GB2312" w:eastAsia="楷体_GB2312" w:cs="楷体_GB2312"/>
          <w:sz w:val="32"/>
          <w:szCs w:val="32"/>
        </w:rPr>
        <w:t>（四）项目效果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仿宋_GB2312" w:hAnsi="楷体_GB2312" w:eastAsia="仿宋_GB2312"/>
          <w:color w:val="000000"/>
          <w:sz w:val="32"/>
          <w:szCs w:val="32"/>
          <w:shd w:val="clear" w:color="auto" w:fill="FFFFFF"/>
        </w:rPr>
        <w:t>服务对象满意度=100%。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四、项目综合评价结论和评价等级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根据项目执行情况和项目绩效情况，此项目得出综合评价结论9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0</w:t>
      </w:r>
      <w:r>
        <w:rPr>
          <w:rFonts w:hint="eastAsia" w:ascii="仿宋_GB2312" w:eastAsia="仿宋_GB2312"/>
          <w:sz w:val="32"/>
          <w:szCs w:val="32"/>
        </w:rPr>
        <w:t>分、项目综合绩效评价等级优秀。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五、存在的问题及改进措施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textAlignment w:val="auto"/>
        <w:rPr>
          <w:rFonts w:hint="eastAsia" w:ascii="仿宋_GB2312" w:hAnsi="楷体_GB2312" w:eastAsia="仿宋_GB2312"/>
          <w:sz w:val="32"/>
          <w:szCs w:val="32"/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</w:rPr>
        <w:t xml:space="preserve">  </w:t>
      </w:r>
      <w:r>
        <w:rPr>
          <w:rFonts w:hint="eastAsia" w:ascii="仿宋_GB2312" w:hAnsi="楷体_GB2312" w:eastAsia="仿宋_GB2312"/>
          <w:bCs/>
          <w:sz w:val="32"/>
          <w:szCs w:val="32"/>
        </w:rPr>
        <w:t xml:space="preserve">  无问题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六、评价工作组人员名单及签字</w:t>
      </w:r>
    </w:p>
    <w:tbl>
      <w:tblPr>
        <w:tblStyle w:val="5"/>
        <w:tblW w:w="900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2"/>
        <w:gridCol w:w="1941"/>
        <w:gridCol w:w="1418"/>
        <w:gridCol w:w="1060"/>
        <w:gridCol w:w="33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  <w:jc w:val="center"/>
        </w:trPr>
        <w:tc>
          <w:tcPr>
            <w:tcW w:w="1232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姓名</w:t>
            </w:r>
          </w:p>
        </w:tc>
        <w:tc>
          <w:tcPr>
            <w:tcW w:w="194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工作单位</w:t>
            </w:r>
          </w:p>
        </w:tc>
        <w:tc>
          <w:tcPr>
            <w:tcW w:w="141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职务</w:t>
            </w:r>
          </w:p>
        </w:tc>
        <w:tc>
          <w:tcPr>
            <w:tcW w:w="106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职称</w:t>
            </w:r>
          </w:p>
        </w:tc>
        <w:tc>
          <w:tcPr>
            <w:tcW w:w="335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atLeast"/>
          <w:jc w:val="center"/>
        </w:trPr>
        <w:tc>
          <w:tcPr>
            <w:tcW w:w="1232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王会生</w:t>
            </w:r>
          </w:p>
        </w:tc>
        <w:tc>
          <w:tcPr>
            <w:tcW w:w="194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民政局</w:t>
            </w:r>
          </w:p>
        </w:tc>
        <w:tc>
          <w:tcPr>
            <w:tcW w:w="141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副局长</w:t>
            </w:r>
          </w:p>
        </w:tc>
        <w:tc>
          <w:tcPr>
            <w:tcW w:w="106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副科</w:t>
            </w:r>
          </w:p>
        </w:tc>
        <w:tc>
          <w:tcPr>
            <w:tcW w:w="335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王会生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  <w:jc w:val="center"/>
        </w:trPr>
        <w:tc>
          <w:tcPr>
            <w:tcW w:w="1232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张亮</w:t>
            </w:r>
          </w:p>
        </w:tc>
        <w:tc>
          <w:tcPr>
            <w:tcW w:w="1941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民政局</w:t>
            </w:r>
          </w:p>
        </w:tc>
        <w:tc>
          <w:tcPr>
            <w:tcW w:w="1418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科员</w:t>
            </w:r>
          </w:p>
        </w:tc>
        <w:tc>
          <w:tcPr>
            <w:tcW w:w="1060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无</w:t>
            </w:r>
          </w:p>
        </w:tc>
        <w:tc>
          <w:tcPr>
            <w:tcW w:w="3353" w:type="dxa"/>
            <w:vAlign w:val="center"/>
          </w:tcPr>
          <w:p>
            <w:pPr>
              <w:adjustRightInd w:val="0"/>
              <w:snapToGrid w:val="0"/>
              <w:spacing w:line="360" w:lineRule="auto"/>
              <w:jc w:val="center"/>
              <w:rPr>
                <w:rFonts w:hint="eastAsia" w:ascii="仿宋_GB2312" w:eastAsia="仿宋_GB2312"/>
                <w:sz w:val="32"/>
                <w:szCs w:val="32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张亮</w:t>
            </w:r>
            <w:bookmarkStart w:id="0" w:name="_GoBack"/>
            <w:bookmarkEnd w:id="0"/>
          </w:p>
        </w:tc>
      </w:tr>
    </w:tbl>
    <w:p/>
    <w:p/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07D3E8B"/>
    <w:rsid w:val="02463141"/>
    <w:rsid w:val="09FC5DFA"/>
    <w:rsid w:val="18B57B63"/>
    <w:rsid w:val="1A651CF2"/>
    <w:rsid w:val="2A2941B7"/>
    <w:rsid w:val="39D32ECB"/>
    <w:rsid w:val="62DF30A1"/>
    <w:rsid w:val="6A322F6B"/>
    <w:rsid w:val="7FCD320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table" w:styleId="5">
    <w:name w:val="Table Grid"/>
    <w:basedOn w:val="4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7">
    <w:name w:val="默认段落字体 Para Char Char Char Char Char Char Char"/>
    <w:basedOn w:val="1"/>
    <w:link w:val="6"/>
    <w:qFormat/>
    <w:uiPriority w:val="0"/>
  </w:style>
  <w:style w:type="character" w:styleId="8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cp:lastPrinted>2020-01-06T09:34:27Z</cp:lastPrinted>
  <dcterms:modified xsi:type="dcterms:W3CDTF">2020-01-06T09:34:30Z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