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pacing w:line="360" w:lineRule="auto"/>
        <w:rPr>
          <w:rFonts w:ascii="黑体" w:hAnsi="黑体" w:eastAsia="黑体" w:cs="黑体"/>
          <w:sz w:val="32"/>
          <w:szCs w:val="32"/>
        </w:rPr>
      </w:pPr>
    </w:p>
    <w:p>
      <w:pPr>
        <w:spacing w:line="360" w:lineRule="auto"/>
        <w:jc w:val="center"/>
        <w:rPr>
          <w:rFonts w:hint="eastAsia" w:ascii="宋体"/>
          <w:b/>
          <w:bCs/>
          <w:sz w:val="36"/>
          <w:szCs w:val="32"/>
        </w:rPr>
      </w:pPr>
      <w:r>
        <w:rPr>
          <w:rFonts w:hint="eastAsia" w:cs="黑体" w:asciiTheme="minorEastAsia" w:hAnsiTheme="minorEastAsia" w:eastAsiaTheme="minorEastAsia"/>
          <w:b/>
          <w:bCs/>
          <w:sz w:val="36"/>
          <w:szCs w:val="36"/>
          <w:lang w:val="en-US" w:eastAsia="zh-CN"/>
        </w:rPr>
        <w:t>儿童福利院经费</w:t>
      </w:r>
      <w:r>
        <w:rPr>
          <w:rFonts w:hint="eastAsia" w:asciiTheme="minorEastAsia" w:hAnsiTheme="minorEastAsia" w:eastAsiaTheme="minorEastAsia"/>
          <w:b/>
          <w:bCs/>
          <w:sz w:val="36"/>
          <w:szCs w:val="32"/>
        </w:rPr>
        <w:t>项目</w:t>
      </w:r>
      <w:r>
        <w:rPr>
          <w:rFonts w:hint="eastAsia" w:ascii="宋体"/>
          <w:b/>
          <w:bCs/>
          <w:sz w:val="36"/>
          <w:szCs w:val="32"/>
        </w:rPr>
        <w:t>绩效评价报告</w:t>
      </w:r>
    </w:p>
    <w:p>
      <w:pPr>
        <w:spacing w:line="360" w:lineRule="auto"/>
        <w:jc w:val="center"/>
        <w:rPr>
          <w:rFonts w:ascii="仿宋" w:hAnsi="仿宋" w:eastAsia="仿宋" w:cs="仿宋"/>
          <w:sz w:val="32"/>
          <w:szCs w:val="32"/>
        </w:rPr>
      </w:pP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根据《石家庄市鹿泉区区级部门预算绩效管理办法》（鹿财字[2019]65号），遵循“科学性、规范性、客观性和公正性”的原则，对</w:t>
      </w:r>
      <w:r>
        <w:rPr>
          <w:rFonts w:hint="eastAsia" w:ascii="仿宋_GB2312" w:eastAsia="仿宋_GB2312" w:cs="黑体" w:hAnsiTheme="majorEastAsia"/>
          <w:bCs/>
          <w:sz w:val="32"/>
          <w:szCs w:val="32"/>
        </w:rPr>
        <w:t>村级民政专管员补助</w:t>
      </w:r>
      <w:r>
        <w:rPr>
          <w:rFonts w:hint="eastAsia" w:ascii="仿宋_GB2312" w:eastAsia="仿宋_GB2312"/>
          <w:sz w:val="32"/>
          <w:szCs w:val="32"/>
        </w:rPr>
        <w:t>项目实施了绩效评价，形成本评价报告。</w:t>
      </w:r>
    </w:p>
    <w:p>
      <w:pPr>
        <w:adjustRightInd w:val="0"/>
        <w:snapToGrid w:val="0"/>
        <w:spacing w:line="360" w:lineRule="auto"/>
        <w:rPr>
          <w:rFonts w:ascii="黑体" w:eastAsia="黑体"/>
          <w:b/>
          <w:bCs/>
          <w:sz w:val="32"/>
          <w:szCs w:val="36"/>
        </w:rPr>
      </w:pPr>
      <w:r>
        <w:rPr>
          <w:rFonts w:hint="eastAsia" w:ascii="黑体" w:eastAsia="黑体"/>
          <w:sz w:val="32"/>
          <w:szCs w:val="32"/>
        </w:rPr>
        <w:t xml:space="preserve">    一、项目</w:t>
      </w:r>
      <w:r>
        <w:rPr>
          <w:rFonts w:hint="eastAsia" w:ascii="黑体" w:eastAsia="黑体"/>
          <w:sz w:val="32"/>
          <w:szCs w:val="36"/>
        </w:rPr>
        <w:t>基本情况</w:t>
      </w:r>
    </w:p>
    <w:p>
      <w:pPr>
        <w:adjustRightInd w:val="0"/>
        <w:snapToGrid w:val="0"/>
        <w:spacing w:line="360" w:lineRule="auto"/>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1.项目主要实施内容和范围；</w:t>
      </w:r>
    </w:p>
    <w:p>
      <w:pPr>
        <w:adjustRightInd w:val="0"/>
        <w:snapToGrid w:val="0"/>
        <w:spacing w:line="360" w:lineRule="auto"/>
        <w:ind w:firstLine="640" w:firstLineChars="200"/>
        <w:rPr>
          <w:rFonts w:hint="default" w:ascii="仿宋_GB2312" w:eastAsia="仿宋_GB2312"/>
          <w:sz w:val="32"/>
          <w:szCs w:val="32"/>
          <w:lang w:val="en-US" w:eastAsia="zh-CN"/>
        </w:rPr>
      </w:pPr>
      <w:r>
        <w:rPr>
          <w:rFonts w:hint="eastAsia" w:ascii="仿宋_GB2312" w:eastAsia="仿宋_GB2312"/>
          <w:sz w:val="32"/>
          <w:szCs w:val="32"/>
          <w:lang w:val="en-US" w:eastAsia="zh-CN"/>
        </w:rPr>
        <w:t>为规范儿童福利机构抚育工作，提升机构专业化、标准化、规范化水平，最大限度地满足儿童生理、心理、安全、情感等方面的需求，为其提供适宜的生活方式和成长环境，保障孤儿的生存、生活权益。</w:t>
      </w: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3.项目资金投入情况</w:t>
      </w: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cs="宋体"/>
          <w:kern w:val="0"/>
          <w:sz w:val="32"/>
          <w:szCs w:val="32"/>
          <w:lang w:val="en-US" w:eastAsia="zh-CN"/>
        </w:rPr>
        <w:t>目前儿童福利院养育孤弃儿童19名</w:t>
      </w:r>
      <w:r>
        <w:rPr>
          <w:rFonts w:hint="eastAsia" w:ascii="仿宋_GB2312" w:eastAsia="仿宋_GB2312" w:cs="宋体"/>
          <w:kern w:val="0"/>
          <w:sz w:val="32"/>
          <w:szCs w:val="32"/>
          <w:lang w:val="zh-CN"/>
        </w:rPr>
        <w:t>，</w:t>
      </w:r>
      <w:r>
        <w:rPr>
          <w:rFonts w:hint="eastAsia" w:ascii="仿宋_GB2312" w:eastAsia="仿宋_GB2312" w:cs="宋体"/>
          <w:kern w:val="0"/>
          <w:sz w:val="32"/>
          <w:szCs w:val="32"/>
          <w:lang w:val="en-US" w:eastAsia="zh-CN"/>
        </w:rPr>
        <w:t>福利院经费主要用于院内儿童医疗、生活用水、电、暖费用等，</w:t>
      </w:r>
      <w:r>
        <w:rPr>
          <w:rFonts w:hint="eastAsia" w:ascii="仿宋_GB2312" w:eastAsia="仿宋_GB2312" w:cs="宋体"/>
          <w:kern w:val="0"/>
          <w:sz w:val="32"/>
          <w:szCs w:val="32"/>
          <w:lang w:val="zh-CN"/>
        </w:rPr>
        <w:t>使用2019年预算本级资金</w:t>
      </w:r>
      <w:r>
        <w:rPr>
          <w:rFonts w:hint="eastAsia" w:ascii="仿宋_GB2312" w:eastAsia="仿宋_GB2312" w:cs="宋体"/>
          <w:kern w:val="0"/>
          <w:sz w:val="32"/>
          <w:szCs w:val="32"/>
          <w:lang w:val="en-US" w:eastAsia="zh-CN"/>
        </w:rPr>
        <w:t>15</w:t>
      </w:r>
      <w:r>
        <w:rPr>
          <w:rFonts w:hint="eastAsia" w:ascii="仿宋_GB2312" w:eastAsia="仿宋_GB2312" w:cs="宋体"/>
          <w:kern w:val="0"/>
          <w:sz w:val="32"/>
          <w:szCs w:val="32"/>
          <w:lang w:val="zh-CN"/>
        </w:rPr>
        <w:t>万元。</w:t>
      </w:r>
    </w:p>
    <w:p>
      <w:pPr>
        <w:adjustRightInd w:val="0"/>
        <w:snapToGrid w:val="0"/>
        <w:spacing w:line="360" w:lineRule="auto"/>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（二）项目预期绩效目标</w:t>
      </w:r>
    </w:p>
    <w:p>
      <w:pPr>
        <w:adjustRightInd w:val="0"/>
        <w:snapToGrid w:val="0"/>
        <w:spacing w:line="360" w:lineRule="auto"/>
        <w:ind w:firstLine="640" w:firstLineChars="200"/>
        <w:rPr>
          <w:rFonts w:hint="default" w:ascii="仿宋_GB2312" w:eastAsia="仿宋_GB2312"/>
          <w:sz w:val="32"/>
          <w:szCs w:val="32"/>
          <w:lang w:val="en-US" w:eastAsia="zh-CN"/>
        </w:rPr>
      </w:pPr>
      <w:r>
        <w:rPr>
          <w:rFonts w:hint="eastAsia" w:ascii="仿宋_GB2312" w:hAnsi="楷体_GB2312" w:eastAsia="仿宋_GB2312" w:cs="楷体_GB2312"/>
          <w:bCs/>
          <w:sz w:val="32"/>
          <w:szCs w:val="32"/>
          <w:lang w:val="en-US" w:eastAsia="zh-CN"/>
        </w:rPr>
        <w:t>养育儿童福利院内孤弃儿童19名</w:t>
      </w:r>
      <w:r>
        <w:rPr>
          <w:rFonts w:hint="eastAsia" w:ascii="仿宋_GB2312" w:hAnsi="楷体_GB2312" w:eastAsia="仿宋_GB2312" w:cs="楷体_GB2312"/>
          <w:bCs/>
          <w:sz w:val="32"/>
          <w:szCs w:val="32"/>
        </w:rPr>
        <w:t>。</w:t>
      </w:r>
      <w:r>
        <w:rPr>
          <w:rFonts w:hint="eastAsia" w:ascii="仿宋_GB2312" w:hAnsi="楷体_GB2312" w:eastAsia="仿宋_GB2312" w:cs="楷体_GB2312"/>
          <w:bCs/>
          <w:sz w:val="32"/>
          <w:szCs w:val="32"/>
          <w:lang w:val="en-US" w:eastAsia="zh-CN"/>
        </w:rPr>
        <w:t>保障孤弃儿童的生存和生活权益，使孤儿生活的更加幸福、更有尊严。</w:t>
      </w:r>
    </w:p>
    <w:p>
      <w:pPr>
        <w:adjustRightInd w:val="0"/>
        <w:snapToGrid w:val="0"/>
        <w:spacing w:line="360" w:lineRule="auto"/>
        <w:ind w:firstLine="643" w:firstLineChars="200"/>
        <w:rPr>
          <w:rFonts w:ascii="黑体" w:hAnsi="黑体" w:eastAsia="黑体" w:cs="黑体"/>
          <w:b/>
          <w:bCs/>
          <w:sz w:val="32"/>
          <w:szCs w:val="32"/>
        </w:rPr>
      </w:pPr>
      <w:r>
        <w:rPr>
          <w:rFonts w:hint="eastAsia" w:ascii="黑体" w:hAnsi="黑体" w:eastAsia="黑体" w:cs="黑体"/>
          <w:b/>
          <w:bCs/>
          <w:sz w:val="32"/>
          <w:szCs w:val="32"/>
        </w:rPr>
        <w:t>二、绩效评价工作情况</w:t>
      </w:r>
    </w:p>
    <w:p>
      <w:pPr>
        <w:rPr>
          <w:rFonts w:ascii="楷体_GB2312" w:hAnsi="楷体_GB2312" w:eastAsia="楷体_GB2312" w:cs="楷体_GB2312"/>
          <w:sz w:val="32"/>
          <w:szCs w:val="32"/>
        </w:rPr>
      </w:pPr>
      <w:r>
        <w:rPr>
          <w:rFonts w:hint="eastAsia" w:ascii="仿宋_GB2312" w:eastAsia="仿宋_GB2312"/>
          <w:sz w:val="32"/>
          <w:szCs w:val="32"/>
        </w:rPr>
        <w:t xml:space="preserve">   </w:t>
      </w:r>
      <w:r>
        <w:rPr>
          <w:rFonts w:hint="eastAsia" w:ascii="楷体_GB2312" w:hAnsi="楷体_GB2312" w:eastAsia="楷体_GB2312" w:cs="楷体_GB2312"/>
          <w:sz w:val="32"/>
          <w:szCs w:val="32"/>
        </w:rPr>
        <w:t>（一）绩效评价的组织工作</w:t>
      </w:r>
    </w:p>
    <w:p>
      <w:pPr>
        <w:ind w:firstLine="645"/>
        <w:rPr>
          <w:rFonts w:ascii="仿宋_GB2312" w:eastAsia="仿宋_GB2312"/>
          <w:sz w:val="32"/>
          <w:szCs w:val="32"/>
        </w:rPr>
      </w:pPr>
      <w:r>
        <w:rPr>
          <w:rFonts w:hint="eastAsia" w:ascii="仿宋_GB2312" w:eastAsia="仿宋_GB2312"/>
          <w:sz w:val="32"/>
          <w:szCs w:val="32"/>
        </w:rPr>
        <w:t>绩效评价小组组织会议，根据上级文件确定采用调查问卷的形式，实地走访调查。</w:t>
      </w:r>
    </w:p>
    <w:p>
      <w:pPr>
        <w:rPr>
          <w:rFonts w:hint="eastAsia" w:ascii="楷体_GB2312" w:hAnsi="楷体_GB2312" w:eastAsia="楷体_GB2312" w:cs="楷体_GB2312"/>
          <w:sz w:val="32"/>
          <w:szCs w:val="32"/>
        </w:rPr>
      </w:pPr>
      <w:r>
        <w:rPr>
          <w:rFonts w:hint="eastAsia" w:ascii="仿宋_GB2312" w:eastAsia="仿宋_GB2312"/>
          <w:b/>
          <w:bCs/>
          <w:sz w:val="32"/>
          <w:szCs w:val="32"/>
        </w:rPr>
        <w:t xml:space="preserve">   </w:t>
      </w:r>
      <w:r>
        <w:rPr>
          <w:rFonts w:hint="eastAsia" w:ascii="楷体_GB2312" w:hAnsi="楷体_GB2312" w:eastAsia="楷体_GB2312" w:cs="楷体_GB2312"/>
          <w:sz w:val="32"/>
          <w:szCs w:val="32"/>
        </w:rPr>
        <w:t>（二）绩效评价的方法和过程</w:t>
      </w:r>
    </w:p>
    <w:p>
      <w:pPr>
        <w:ind w:firstLine="640" w:firstLineChars="200"/>
        <w:rPr>
          <w:rFonts w:hint="eastAsia" w:ascii="仿宋_GB2312" w:hAnsi="楷体_GB2312" w:eastAsia="仿宋_GB2312" w:cs="楷体_GB2312"/>
          <w:b/>
          <w:bCs/>
          <w:sz w:val="32"/>
          <w:szCs w:val="32"/>
        </w:rPr>
      </w:pPr>
      <w:r>
        <w:rPr>
          <w:rFonts w:hint="eastAsia" w:ascii="仿宋_GB2312" w:hAnsi="楷体_GB2312" w:eastAsia="仿宋_GB2312" w:cs="楷体_GB2312"/>
          <w:sz w:val="32"/>
          <w:szCs w:val="32"/>
        </w:rPr>
        <w:t>实地采用调查问卷的方式进行。</w:t>
      </w:r>
    </w:p>
    <w:p>
      <w:pPr>
        <w:rPr>
          <w:rFonts w:ascii="仿宋_GB2312" w:eastAsia="仿宋_GB2312"/>
          <w:sz w:val="32"/>
          <w:szCs w:val="32"/>
        </w:rPr>
      </w:pPr>
      <w:r>
        <w:rPr>
          <w:rFonts w:hint="eastAsia"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（三）建立绩效评价指标体系</w:t>
      </w:r>
    </w:p>
    <w:p>
      <w:pPr>
        <w:ind w:firstLine="640" w:firstLineChars="200"/>
        <w:rPr>
          <w:rFonts w:hint="eastAsia" w:ascii="仿宋_GB2312" w:eastAsia="仿宋_GB2312"/>
          <w:bCs/>
          <w:sz w:val="32"/>
          <w:szCs w:val="32"/>
        </w:rPr>
      </w:pPr>
      <w:r>
        <w:rPr>
          <w:rFonts w:hint="eastAsia" w:ascii="仿宋_GB2312" w:eastAsia="仿宋_GB2312"/>
          <w:bCs/>
          <w:sz w:val="32"/>
          <w:szCs w:val="32"/>
        </w:rPr>
        <w:t>1、项目立项规范性、资金到位率</w:t>
      </w:r>
    </w:p>
    <w:p>
      <w:pPr>
        <w:ind w:firstLine="640" w:firstLineChars="200"/>
        <w:rPr>
          <w:rFonts w:hint="eastAsia" w:ascii="仿宋_GB2312" w:eastAsia="仿宋_GB2312"/>
          <w:bCs/>
          <w:sz w:val="32"/>
          <w:szCs w:val="32"/>
        </w:rPr>
      </w:pPr>
      <w:r>
        <w:rPr>
          <w:rFonts w:hint="eastAsia" w:ascii="仿宋_GB2312" w:eastAsia="仿宋_GB2312"/>
          <w:bCs/>
          <w:sz w:val="32"/>
          <w:szCs w:val="32"/>
        </w:rPr>
        <w:t>2、管理制度健全性、资金使用合规性</w:t>
      </w:r>
    </w:p>
    <w:p>
      <w:pPr>
        <w:ind w:firstLine="640" w:firstLineChars="200"/>
        <w:rPr>
          <w:rFonts w:hint="eastAsia" w:ascii="仿宋_GB2312" w:eastAsia="仿宋_GB2312"/>
          <w:bCs/>
          <w:sz w:val="32"/>
          <w:szCs w:val="32"/>
        </w:rPr>
      </w:pPr>
      <w:r>
        <w:rPr>
          <w:rFonts w:hint="eastAsia" w:ascii="仿宋_GB2312" w:eastAsia="仿宋_GB2312"/>
          <w:bCs/>
          <w:sz w:val="32"/>
          <w:szCs w:val="32"/>
        </w:rPr>
        <w:t>3、实际完成率、质量达标率</w:t>
      </w:r>
    </w:p>
    <w:p>
      <w:pPr>
        <w:ind w:firstLine="640" w:firstLineChars="200"/>
        <w:rPr>
          <w:rFonts w:hint="eastAsia" w:ascii="仿宋_GB2312" w:eastAsia="仿宋_GB2312"/>
          <w:bCs/>
          <w:sz w:val="32"/>
          <w:szCs w:val="32"/>
        </w:rPr>
      </w:pPr>
      <w:r>
        <w:rPr>
          <w:rFonts w:hint="eastAsia" w:ascii="仿宋_GB2312" w:eastAsia="仿宋_GB2312"/>
          <w:bCs/>
          <w:sz w:val="32"/>
          <w:szCs w:val="32"/>
        </w:rPr>
        <w:t>4、服务对象满意度、社会效益</w:t>
      </w:r>
    </w:p>
    <w:p>
      <w:pPr>
        <w:rPr>
          <w:rFonts w:ascii="黑体" w:hAnsi="黑体" w:eastAsia="黑体" w:cs="黑体"/>
          <w:b/>
          <w:bCs/>
          <w:sz w:val="32"/>
          <w:szCs w:val="32"/>
        </w:rPr>
      </w:pPr>
      <w:r>
        <w:rPr>
          <w:rFonts w:hint="eastAsia" w:ascii="黑体" w:hAnsi="黑体" w:eastAsia="黑体" w:cs="黑体"/>
          <w:sz w:val="32"/>
          <w:szCs w:val="32"/>
        </w:rPr>
        <w:t>三、项目执行及绩效实现情况</w:t>
      </w:r>
    </w:p>
    <w:p>
      <w:pPr>
        <w:rPr>
          <w:rFonts w:ascii="楷体_GB2312" w:hAnsi="楷体_GB2312" w:eastAsia="楷体_GB2312" w:cs="楷体_GB2312"/>
          <w:sz w:val="32"/>
          <w:szCs w:val="32"/>
        </w:rPr>
      </w:pPr>
      <w:r>
        <w:rPr>
          <w:rFonts w:hint="eastAsia" w:ascii="楷体_GB2312" w:hAnsi="楷体_GB2312" w:eastAsia="楷体_GB2312" w:cs="楷体_GB2312"/>
          <w:sz w:val="32"/>
          <w:szCs w:val="32"/>
        </w:rPr>
        <w:t xml:space="preserve">   （一）项目投入</w:t>
      </w:r>
    </w:p>
    <w:p>
      <w:pPr>
        <w:ind w:firstLine="640" w:firstLineChars="200"/>
        <w:rPr>
          <w:rFonts w:hint="eastAsia" w:ascii="仿宋_GB2312" w:eastAsia="仿宋_GB2312"/>
          <w:sz w:val="32"/>
          <w:szCs w:val="32"/>
        </w:rPr>
      </w:pPr>
      <w:r>
        <w:rPr>
          <w:rFonts w:hint="eastAsia" w:ascii="仿宋_GB2312" w:eastAsia="仿宋_GB2312"/>
          <w:sz w:val="32"/>
          <w:szCs w:val="32"/>
        </w:rPr>
        <w:t>1.项目</w:t>
      </w:r>
      <w:r>
        <w:rPr>
          <w:rFonts w:ascii="仿宋_GB2312" w:eastAsia="仿宋_GB2312"/>
          <w:sz w:val="32"/>
          <w:szCs w:val="32"/>
        </w:rPr>
        <w:t>立项规范性</w:t>
      </w:r>
      <w:r>
        <w:rPr>
          <w:rFonts w:hint="eastAsia" w:ascii="仿宋_GB2312" w:eastAsia="仿宋_GB2312"/>
          <w:sz w:val="32"/>
          <w:szCs w:val="32"/>
        </w:rPr>
        <w:t>。按照规定的程序申请设立，事前经过必要的可行性研究。</w:t>
      </w:r>
    </w:p>
    <w:p>
      <w:pPr>
        <w:ind w:firstLine="640" w:firstLineChars="200"/>
        <w:rPr>
          <w:rFonts w:hint="eastAsia" w:ascii="仿宋_GB2312" w:eastAsia="仿宋_GB2312"/>
          <w:sz w:val="32"/>
          <w:szCs w:val="32"/>
        </w:rPr>
      </w:pPr>
      <w:r>
        <w:rPr>
          <w:rFonts w:hint="eastAsia" w:ascii="仿宋_GB2312" w:eastAsia="仿宋_GB2312"/>
          <w:sz w:val="32"/>
          <w:szCs w:val="32"/>
        </w:rPr>
        <w:t>2.资金到位率。</w:t>
      </w:r>
      <w:r>
        <w:rPr>
          <w:rFonts w:hint="eastAsia" w:ascii="仿宋_GB2312" w:hAnsi="楷体_GB2312" w:eastAsia="仿宋_GB2312"/>
          <w:color w:val="000000"/>
          <w:sz w:val="32"/>
          <w:szCs w:val="32"/>
          <w:shd w:val="clear" w:color="auto" w:fill="FFFFFF"/>
        </w:rPr>
        <w:t>资金到位率=</w:t>
      </w:r>
      <w:r>
        <w:rPr>
          <w:rFonts w:ascii="仿宋_GB2312" w:hAnsi="楷体_GB2312" w:eastAsia="仿宋_GB2312"/>
          <w:color w:val="000000"/>
          <w:sz w:val="32"/>
          <w:szCs w:val="32"/>
          <w:shd w:val="clear" w:color="auto" w:fill="FFFFFF"/>
        </w:rPr>
        <w:t>（实际到位资金/计划投入资金）×100%</w:t>
      </w:r>
      <w:r>
        <w:rPr>
          <w:rFonts w:hint="eastAsia" w:ascii="仿宋_GB2312" w:hAnsi="楷体_GB2312" w:eastAsia="仿宋_GB2312"/>
          <w:color w:val="000000"/>
          <w:sz w:val="32"/>
          <w:szCs w:val="32"/>
          <w:shd w:val="clear" w:color="auto" w:fill="FFFFFF"/>
        </w:rPr>
        <w:t>。本年度内实际落实的资金为</w:t>
      </w:r>
      <w:r>
        <w:rPr>
          <w:rFonts w:hint="eastAsia" w:ascii="仿宋_GB2312" w:hAnsi="楷体_GB2312" w:eastAsia="仿宋_GB2312"/>
          <w:color w:val="000000"/>
          <w:sz w:val="32"/>
          <w:szCs w:val="32"/>
          <w:shd w:val="clear" w:color="auto" w:fill="FFFFFF"/>
          <w:lang w:val="en-US" w:eastAsia="zh-CN"/>
        </w:rPr>
        <w:t>15</w:t>
      </w:r>
      <w:r>
        <w:rPr>
          <w:rFonts w:hint="eastAsia" w:ascii="仿宋_GB2312" w:hAnsi="楷体_GB2312" w:eastAsia="仿宋_GB2312"/>
          <w:color w:val="000000"/>
          <w:sz w:val="32"/>
          <w:szCs w:val="32"/>
          <w:shd w:val="clear" w:color="auto" w:fill="FFFFFF"/>
        </w:rPr>
        <w:t>万元。</w:t>
      </w:r>
    </w:p>
    <w:p>
      <w:pPr>
        <w:rPr>
          <w:rFonts w:ascii="楷体_GB2312" w:hAnsi="楷体_GB2312" w:eastAsia="楷体_GB2312" w:cs="楷体_GB2312"/>
          <w:sz w:val="32"/>
          <w:szCs w:val="32"/>
        </w:rPr>
      </w:pPr>
      <w:r>
        <w:rPr>
          <w:rFonts w:hint="eastAsia" w:ascii="仿宋_GB2312" w:eastAsia="仿宋_GB2312"/>
          <w:sz w:val="32"/>
          <w:szCs w:val="32"/>
        </w:rPr>
        <w:t xml:space="preserve">   </w:t>
      </w:r>
      <w:r>
        <w:rPr>
          <w:rFonts w:hint="eastAsia" w:ascii="楷体_GB2312" w:hAnsi="楷体_GB2312" w:eastAsia="楷体_GB2312" w:cs="楷体_GB2312"/>
          <w:sz w:val="32"/>
          <w:szCs w:val="32"/>
        </w:rPr>
        <w:t>（二）项目实施过程</w:t>
      </w:r>
    </w:p>
    <w:p>
      <w:pPr>
        <w:ind w:firstLine="640" w:firstLineChars="200"/>
        <w:rPr>
          <w:rFonts w:hint="eastAsia" w:ascii="仿宋_GB2312" w:eastAsia="仿宋_GB2312"/>
          <w:sz w:val="32"/>
          <w:szCs w:val="32"/>
        </w:rPr>
      </w:pPr>
      <w:r>
        <w:rPr>
          <w:rFonts w:hint="eastAsia" w:ascii="仿宋_GB2312" w:eastAsia="仿宋_GB2312"/>
          <w:sz w:val="32"/>
          <w:szCs w:val="32"/>
        </w:rPr>
        <w:t>1.管理制度健全性。</w:t>
      </w:r>
      <w:r>
        <w:rPr>
          <w:rFonts w:hint="eastAsia" w:ascii="仿宋_GB2312" w:hAnsi="楷体_GB2312" w:eastAsia="仿宋_GB2312"/>
          <w:color w:val="000000"/>
          <w:sz w:val="32"/>
          <w:szCs w:val="32"/>
          <w:shd w:val="clear" w:color="auto" w:fill="FFFFFF"/>
        </w:rPr>
        <w:t>已制定或具有相应的业务管理制度；业务管理制度合法、合规、完整。</w:t>
      </w:r>
    </w:p>
    <w:p>
      <w:pPr>
        <w:ind w:firstLine="640" w:firstLineChars="200"/>
        <w:rPr>
          <w:rFonts w:hint="eastAsia" w:ascii="仿宋_GB2312" w:eastAsia="仿宋_GB2312"/>
          <w:sz w:val="32"/>
          <w:szCs w:val="32"/>
        </w:rPr>
      </w:pPr>
      <w:r>
        <w:rPr>
          <w:rFonts w:hint="eastAsia" w:ascii="仿宋_GB2312" w:eastAsia="仿宋_GB2312"/>
          <w:sz w:val="32"/>
          <w:szCs w:val="32"/>
        </w:rPr>
        <w:t>2.资金使用合规性。</w:t>
      </w:r>
      <w:r>
        <w:rPr>
          <w:rFonts w:hint="eastAsia" w:ascii="仿宋_GB2312" w:hAnsi="楷体_GB2312" w:eastAsia="仿宋_GB2312"/>
          <w:color w:val="000000"/>
          <w:sz w:val="32"/>
          <w:szCs w:val="32"/>
          <w:shd w:val="clear" w:color="auto" w:fill="FFFFFF"/>
        </w:rPr>
        <w:t>符合国家财经法规和财务管理制度以及有关专项资金管理办法的规定；资金的拨付是否有完整的审批程序和手续；符合项目预算批复或合同规定的用途。</w:t>
      </w:r>
    </w:p>
    <w:p>
      <w:pPr>
        <w:rPr>
          <w:rFonts w:ascii="仿宋_GB2312" w:eastAsia="仿宋_GB2312"/>
          <w:b/>
          <w:bCs/>
          <w:sz w:val="32"/>
          <w:szCs w:val="32"/>
        </w:rPr>
      </w:pPr>
      <w:r>
        <w:rPr>
          <w:rFonts w:hint="eastAsia" w:ascii="仿宋_GB2312" w:eastAsia="仿宋_GB2312"/>
          <w:b/>
          <w:bCs/>
          <w:sz w:val="32"/>
          <w:szCs w:val="32"/>
        </w:rPr>
        <w:t xml:space="preserve">   </w:t>
      </w:r>
      <w:r>
        <w:rPr>
          <w:rFonts w:hint="eastAsia" w:ascii="楷体_GB2312" w:hAnsi="楷体_GB2312" w:eastAsia="楷体_GB2312" w:cs="楷体_GB2312"/>
          <w:sz w:val="32"/>
          <w:szCs w:val="32"/>
        </w:rPr>
        <w:t>（三）项目产出</w:t>
      </w:r>
    </w:p>
    <w:p>
      <w:pPr>
        <w:ind w:firstLine="640" w:firstLineChars="200"/>
        <w:rPr>
          <w:rFonts w:hint="eastAsia" w:ascii="楷体_GB2312" w:hAnsi="楷体_GB2312" w:eastAsia="楷体_GB2312"/>
          <w:color w:val="000000"/>
          <w:sz w:val="22"/>
          <w:shd w:val="clear" w:color="auto" w:fill="FFFFFF"/>
        </w:rPr>
      </w:pPr>
      <w:r>
        <w:rPr>
          <w:rFonts w:hint="eastAsia" w:ascii="仿宋_GB2312" w:eastAsia="仿宋_GB2312"/>
          <w:sz w:val="32"/>
          <w:szCs w:val="32"/>
        </w:rPr>
        <w:t>1、实际完成率。</w:t>
      </w:r>
      <w:r>
        <w:rPr>
          <w:rFonts w:ascii="仿宋_GB2312" w:eastAsia="仿宋_GB2312"/>
          <w:sz w:val="32"/>
          <w:szCs w:val="32"/>
        </w:rPr>
        <w:t>实际完成率=（实际产出数/计划产出数）×100%</w:t>
      </w:r>
      <w:r>
        <w:rPr>
          <w:rFonts w:ascii="楷体_GB2312" w:hAnsi="楷体_GB2312" w:eastAsia="楷体_GB2312"/>
          <w:color w:val="000000"/>
          <w:sz w:val="22"/>
          <w:shd w:val="clear" w:color="auto" w:fill="FFFFFF"/>
        </w:rPr>
        <w:t>。</w:t>
      </w:r>
    </w:p>
    <w:p>
      <w:pPr>
        <w:ind w:firstLine="640" w:firstLineChars="200"/>
        <w:rPr>
          <w:rFonts w:hint="eastAsia" w:ascii="仿宋_GB2312" w:eastAsia="仿宋_GB2312"/>
          <w:sz w:val="32"/>
          <w:szCs w:val="32"/>
        </w:rPr>
      </w:pPr>
      <w:r>
        <w:rPr>
          <w:rFonts w:hint="eastAsia" w:ascii="仿宋_GB2312" w:eastAsia="仿宋_GB2312"/>
          <w:sz w:val="32"/>
          <w:szCs w:val="32"/>
        </w:rPr>
        <w:t>2、质量达标率。</w:t>
      </w:r>
      <w:r>
        <w:rPr>
          <w:rFonts w:ascii="仿宋_GB2312" w:eastAsia="仿宋_GB2312"/>
          <w:sz w:val="32"/>
          <w:szCs w:val="32"/>
        </w:rPr>
        <w:t>质量达标率=（质量达标产出数/实际产出数）×100%。</w:t>
      </w:r>
    </w:p>
    <w:p>
      <w:pPr>
        <w:rPr>
          <w:rFonts w:ascii="楷体_GB2312" w:hAnsi="楷体_GB2312" w:eastAsia="楷体_GB2312" w:cs="楷体_GB2312"/>
          <w:sz w:val="32"/>
          <w:szCs w:val="32"/>
        </w:rPr>
      </w:pPr>
      <w:r>
        <w:rPr>
          <w:rFonts w:hint="eastAsia"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（四）项目效果</w:t>
      </w: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1、社会效益。</w:t>
      </w:r>
      <w:r>
        <w:rPr>
          <w:rFonts w:hint="eastAsia" w:ascii="仿宋_GB2312" w:hAnsi="楷体_GB2312" w:eastAsia="仿宋_GB2312" w:cs="楷体_GB2312"/>
          <w:bCs/>
          <w:sz w:val="32"/>
          <w:szCs w:val="32"/>
          <w:lang w:val="en-US" w:eastAsia="zh-CN"/>
        </w:rPr>
        <w:t>保障孤弃儿童的生存和生活权益，维护社会稳定。</w:t>
      </w:r>
    </w:p>
    <w:p>
      <w:pPr>
        <w:ind w:firstLine="640" w:firstLineChars="200"/>
        <w:rPr>
          <w:rFonts w:hint="eastAsia" w:ascii="仿宋_GB2312" w:eastAsia="仿宋_GB2312"/>
          <w:sz w:val="32"/>
          <w:szCs w:val="32"/>
        </w:rPr>
      </w:pPr>
      <w:r>
        <w:rPr>
          <w:rFonts w:hint="eastAsia" w:ascii="仿宋_GB2312" w:eastAsia="仿宋_GB2312"/>
          <w:sz w:val="32"/>
          <w:szCs w:val="32"/>
        </w:rPr>
        <w:t>2、社会服务对象满意度。通过调查问卷的形式，调查所涉及人员对该项目整体满意。</w:t>
      </w:r>
    </w:p>
    <w:p>
      <w:pPr>
        <w:ind w:firstLine="640" w:firstLineChars="200"/>
        <w:rPr>
          <w:rFonts w:ascii="黑体" w:hAnsi="黑体" w:eastAsia="黑体"/>
          <w:sz w:val="32"/>
          <w:szCs w:val="32"/>
        </w:rPr>
      </w:pPr>
      <w:r>
        <w:rPr>
          <w:rFonts w:hint="eastAsia" w:ascii="黑体" w:hAnsi="黑体" w:eastAsia="黑体"/>
          <w:sz w:val="32"/>
          <w:szCs w:val="32"/>
        </w:rPr>
        <w:t>四、项目综合评价结论和评价等级</w:t>
      </w:r>
    </w:p>
    <w:p>
      <w:pPr>
        <w:ind w:firstLine="640" w:firstLineChars="200"/>
        <w:rPr>
          <w:rFonts w:ascii="仿宋_GB2312" w:eastAsia="仿宋_GB2312"/>
          <w:sz w:val="32"/>
          <w:szCs w:val="32"/>
        </w:rPr>
      </w:pPr>
      <w:r>
        <w:rPr>
          <w:rFonts w:hint="eastAsia" w:ascii="仿宋_GB2312" w:eastAsia="仿宋_GB2312"/>
          <w:sz w:val="32"/>
          <w:szCs w:val="32"/>
        </w:rPr>
        <w:t>根据项目执行情况和项目绩效情况，该项目综合评价得分：90分，项目综合绩效评价等级为优秀。</w:t>
      </w:r>
    </w:p>
    <w:p>
      <w:pPr>
        <w:ind w:firstLine="640" w:firstLineChars="200"/>
        <w:rPr>
          <w:rFonts w:hint="eastAsia" w:ascii="楷体_GB2312" w:hAnsi="楷体_GB2312" w:eastAsia="楷体_GB2312"/>
          <w:b/>
          <w:bCs/>
          <w:sz w:val="32"/>
          <w:szCs w:val="32"/>
        </w:rPr>
      </w:pPr>
      <w:r>
        <w:rPr>
          <w:rFonts w:hint="eastAsia" w:ascii="黑体" w:hAnsi="黑体" w:eastAsia="黑体"/>
          <w:sz w:val="32"/>
          <w:szCs w:val="32"/>
        </w:rPr>
        <w:t>五、存在的问题及改进措施</w:t>
      </w:r>
    </w:p>
    <w:p>
      <w:pPr>
        <w:ind w:firstLine="640" w:firstLineChars="200"/>
        <w:rPr>
          <w:rFonts w:ascii="仿宋_GB2312" w:eastAsia="仿宋_GB2312"/>
          <w:sz w:val="32"/>
          <w:szCs w:val="32"/>
        </w:rPr>
      </w:pPr>
      <w:r>
        <w:rPr>
          <w:rFonts w:hint="eastAsia" w:ascii="楷体_GB2312" w:hAnsi="楷体_GB2312" w:eastAsia="楷体_GB2312"/>
          <w:bCs/>
          <w:sz w:val="32"/>
          <w:szCs w:val="32"/>
        </w:rPr>
        <w:t>该项目在实施过程中没有存在问题。</w:t>
      </w:r>
    </w:p>
    <w:p>
      <w:pPr>
        <w:adjustRightInd w:val="0"/>
        <w:snapToGrid w:val="0"/>
        <w:spacing w:line="360" w:lineRule="auto"/>
        <w:ind w:firstLine="640" w:firstLineChars="200"/>
        <w:rPr>
          <w:rFonts w:hint="eastAsia" w:ascii="仿宋_GB2312" w:eastAsia="仿宋_GB2312"/>
          <w:sz w:val="32"/>
          <w:szCs w:val="32"/>
        </w:rPr>
      </w:pPr>
      <w:r>
        <w:rPr>
          <w:rFonts w:hint="eastAsia" w:ascii="黑体" w:eastAsia="黑体"/>
          <w:sz w:val="32"/>
          <w:szCs w:val="32"/>
        </w:rPr>
        <w:t>六、评价工作组人员名单及签字</w:t>
      </w:r>
    </w:p>
    <w:tbl>
      <w:tblPr>
        <w:tblStyle w:val="5"/>
        <w:tblW w:w="900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32"/>
        <w:gridCol w:w="1941"/>
        <w:gridCol w:w="1418"/>
        <w:gridCol w:w="1060"/>
        <w:gridCol w:w="335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2" w:hRule="atLeast"/>
          <w:jc w:val="center"/>
        </w:trPr>
        <w:tc>
          <w:tcPr>
            <w:tcW w:w="1232"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姓名</w:t>
            </w:r>
          </w:p>
        </w:tc>
        <w:tc>
          <w:tcPr>
            <w:tcW w:w="1941"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工作单位</w:t>
            </w:r>
          </w:p>
        </w:tc>
        <w:tc>
          <w:tcPr>
            <w:tcW w:w="1418"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职务</w:t>
            </w:r>
          </w:p>
        </w:tc>
        <w:tc>
          <w:tcPr>
            <w:tcW w:w="1060"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职称</w:t>
            </w:r>
          </w:p>
        </w:tc>
        <w:tc>
          <w:tcPr>
            <w:tcW w:w="3353" w:type="dxa"/>
            <w:vAlign w:val="center"/>
          </w:tcPr>
          <w:p>
            <w:pPr>
              <w:adjustRightInd w:val="0"/>
              <w:snapToGrid w:val="0"/>
              <w:spacing w:line="360" w:lineRule="auto"/>
              <w:jc w:val="center"/>
              <w:rPr>
                <w:rFonts w:hint="eastAsia" w:ascii="仿宋_GB2312" w:eastAsia="仿宋_GB2312"/>
                <w:sz w:val="32"/>
                <w:szCs w:val="32"/>
              </w:rPr>
            </w:pPr>
            <w:r>
              <w:rPr>
                <w:rFonts w:hint="eastAsia" w:ascii="仿宋_GB2312" w:eastAsia="仿宋_GB2312"/>
                <w:sz w:val="32"/>
                <w:szCs w:val="32"/>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8" w:hRule="atLeast"/>
          <w:jc w:val="center"/>
        </w:trPr>
        <w:tc>
          <w:tcPr>
            <w:tcW w:w="1232" w:type="dxa"/>
            <w:vAlign w:val="center"/>
          </w:tcPr>
          <w:p>
            <w:pPr>
              <w:adjustRightInd w:val="0"/>
              <w:snapToGrid w:val="0"/>
              <w:spacing w:line="360" w:lineRule="auto"/>
              <w:jc w:val="center"/>
              <w:rPr>
                <w:rFonts w:hint="eastAsia" w:ascii="仿宋_GB2312" w:eastAsia="仿宋_GB2312"/>
                <w:sz w:val="32"/>
                <w:szCs w:val="32"/>
                <w:lang w:eastAsia="zh-CN"/>
              </w:rPr>
            </w:pPr>
            <w:r>
              <w:rPr>
                <w:rFonts w:hint="eastAsia" w:ascii="仿宋_GB2312" w:eastAsia="仿宋_GB2312"/>
                <w:sz w:val="32"/>
                <w:szCs w:val="32"/>
                <w:lang w:val="en-US" w:eastAsia="zh-CN"/>
              </w:rPr>
              <w:t>李竹开</w:t>
            </w:r>
          </w:p>
        </w:tc>
        <w:tc>
          <w:tcPr>
            <w:tcW w:w="1941"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民政局</w:t>
            </w:r>
          </w:p>
        </w:tc>
        <w:tc>
          <w:tcPr>
            <w:tcW w:w="1418"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副局长</w:t>
            </w:r>
          </w:p>
        </w:tc>
        <w:tc>
          <w:tcPr>
            <w:tcW w:w="1060"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副科</w:t>
            </w:r>
          </w:p>
        </w:tc>
        <w:tc>
          <w:tcPr>
            <w:tcW w:w="3353" w:type="dxa"/>
            <w:vAlign w:val="center"/>
          </w:tcPr>
          <w:p>
            <w:pPr>
              <w:adjustRightInd w:val="0"/>
              <w:snapToGrid w:val="0"/>
              <w:spacing w:line="360" w:lineRule="auto"/>
              <w:jc w:val="center"/>
              <w:rPr>
                <w:rFonts w:hint="eastAsia" w:ascii="仿宋_GB2312" w:eastAsia="仿宋_GB2312"/>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 w:hRule="atLeast"/>
          <w:jc w:val="center"/>
        </w:trPr>
        <w:tc>
          <w:tcPr>
            <w:tcW w:w="1232" w:type="dxa"/>
            <w:vAlign w:val="center"/>
          </w:tcPr>
          <w:p>
            <w:pPr>
              <w:adjustRightInd w:val="0"/>
              <w:snapToGrid w:val="0"/>
              <w:spacing w:line="360" w:lineRule="auto"/>
              <w:jc w:val="center"/>
              <w:rPr>
                <w:rFonts w:hint="eastAsia" w:ascii="仿宋_GB2312" w:eastAsia="仿宋_GB2312"/>
                <w:sz w:val="32"/>
                <w:szCs w:val="32"/>
                <w:lang w:eastAsia="zh-CN"/>
              </w:rPr>
            </w:pPr>
            <w:r>
              <w:rPr>
                <w:rFonts w:hint="eastAsia" w:ascii="仿宋_GB2312" w:eastAsia="仿宋_GB2312"/>
                <w:sz w:val="32"/>
                <w:szCs w:val="32"/>
                <w:lang w:val="en-US" w:eastAsia="zh-CN"/>
              </w:rPr>
              <w:t>郭新龙</w:t>
            </w:r>
          </w:p>
        </w:tc>
        <w:tc>
          <w:tcPr>
            <w:tcW w:w="1941"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民政局</w:t>
            </w:r>
          </w:p>
        </w:tc>
        <w:tc>
          <w:tcPr>
            <w:tcW w:w="1418"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科员</w:t>
            </w:r>
          </w:p>
        </w:tc>
        <w:tc>
          <w:tcPr>
            <w:tcW w:w="1060" w:type="dxa"/>
            <w:vAlign w:val="center"/>
          </w:tcPr>
          <w:p>
            <w:pPr>
              <w:adjustRightInd w:val="0"/>
              <w:snapToGrid w:val="0"/>
              <w:spacing w:line="360" w:lineRule="auto"/>
              <w:jc w:val="center"/>
              <w:rPr>
                <w:rFonts w:ascii="仿宋_GB2312" w:eastAsia="仿宋_GB2312"/>
                <w:sz w:val="32"/>
                <w:szCs w:val="32"/>
              </w:rPr>
            </w:pPr>
            <w:r>
              <w:rPr>
                <w:rFonts w:hint="eastAsia" w:ascii="仿宋_GB2312" w:eastAsia="仿宋_GB2312"/>
                <w:sz w:val="32"/>
                <w:szCs w:val="32"/>
              </w:rPr>
              <w:t>无</w:t>
            </w:r>
          </w:p>
        </w:tc>
        <w:tc>
          <w:tcPr>
            <w:tcW w:w="3353" w:type="dxa"/>
            <w:vAlign w:val="center"/>
          </w:tcPr>
          <w:p>
            <w:pPr>
              <w:adjustRightInd w:val="0"/>
              <w:snapToGrid w:val="0"/>
              <w:spacing w:line="360" w:lineRule="auto"/>
              <w:jc w:val="center"/>
              <w:rPr>
                <w:rFonts w:hint="eastAsia" w:ascii="仿宋_GB2312" w:eastAsia="仿宋_GB2312"/>
                <w:sz w:val="32"/>
                <w:szCs w:val="32"/>
              </w:rPr>
            </w:pPr>
          </w:p>
        </w:tc>
      </w:tr>
    </w:tbl>
    <w:p>
      <w:pPr>
        <w:rPr>
          <w:rFonts w:ascii="仿宋_GB2312" w:eastAsia="仿宋_GB2312"/>
          <w:sz w:val="32"/>
          <w:szCs w:val="32"/>
        </w:rPr>
      </w:pPr>
    </w:p>
    <w:p>
      <w:pPr>
        <w:adjustRightInd w:val="0"/>
        <w:spacing w:line="360" w:lineRule="auto"/>
        <w:ind w:firstLine="640" w:firstLineChars="200"/>
        <w:rPr>
          <w:rFonts w:hint="eastAsia" w:ascii="仿宋_GB2312" w:hAnsi="宋体" w:eastAsia="仿宋_GB2312"/>
          <w:sz w:val="32"/>
          <w:szCs w:val="32"/>
        </w:rPr>
      </w:pPr>
    </w:p>
    <w:p>
      <w:pPr>
        <w:adjustRightInd w:val="0"/>
        <w:spacing w:line="360" w:lineRule="auto"/>
        <w:ind w:firstLine="640" w:firstLineChars="200"/>
        <w:rPr>
          <w:rFonts w:hint="eastAsia" w:ascii="仿宋_GB2312" w:hAnsi="宋体" w:eastAsia="仿宋_GB2312"/>
          <w:sz w:val="32"/>
          <w:szCs w:val="32"/>
        </w:rPr>
      </w:pPr>
      <w:bookmarkStart w:id="0" w:name="_GoBack"/>
      <w:bookmarkEnd w:id="0"/>
    </w:p>
    <w:p>
      <w:pPr>
        <w:adjustRightInd w:val="0"/>
        <w:spacing w:line="360" w:lineRule="auto"/>
        <w:ind w:firstLine="640" w:firstLineChars="200"/>
        <w:rPr>
          <w:rFonts w:hint="eastAsia" w:ascii="仿宋_GB2312" w:hAnsi="宋体" w:eastAsia="仿宋_GB2312"/>
          <w:sz w:val="32"/>
          <w:szCs w:val="32"/>
        </w:rPr>
      </w:pPr>
    </w:p>
    <w:p>
      <w:pPr>
        <w:adjustRightInd w:val="0"/>
        <w:spacing w:line="360" w:lineRule="auto"/>
        <w:ind w:firstLine="640" w:firstLineChars="200"/>
        <w:rPr>
          <w:rFonts w:hint="eastAsia" w:ascii="仿宋_GB2312" w:hAnsi="宋体" w:eastAsia="仿宋_GB2312"/>
          <w:sz w:val="32"/>
          <w:szCs w:val="32"/>
        </w:rPr>
      </w:pPr>
    </w:p>
    <w:p>
      <w:pPr>
        <w:adjustRightInd w:val="0"/>
        <w:spacing w:line="360" w:lineRule="auto"/>
        <w:ind w:firstLine="640" w:firstLineChars="200"/>
        <w:rPr>
          <w:rFonts w:hint="eastAsia" w:ascii="仿宋_GB2312" w:hAnsi="宋体" w:eastAsia="仿宋_GB2312"/>
          <w:sz w:val="32"/>
          <w:szCs w:val="32"/>
        </w:rPr>
      </w:pPr>
    </w:p>
    <w:p>
      <w:pPr>
        <w:adjustRightInd w:val="0"/>
        <w:spacing w:line="360" w:lineRule="auto"/>
        <w:ind w:firstLine="640" w:firstLineChars="200"/>
        <w:rPr>
          <w:rFonts w:hint="eastAsia" w:ascii="仿宋_GB2312" w:hAnsi="宋体" w:eastAsia="仿宋_GB2312"/>
          <w:sz w:val="32"/>
          <w:szCs w:val="32"/>
        </w:rPr>
      </w:pPr>
    </w:p>
    <w:p>
      <w:pPr>
        <w:adjustRightInd w:val="0"/>
        <w:spacing w:line="360" w:lineRule="auto"/>
        <w:ind w:firstLine="640" w:firstLineChars="200"/>
        <w:rPr>
          <w:rFonts w:hint="eastAsia" w:ascii="仿宋_GB2312" w:hAnsi="宋体" w:eastAsia="仿宋_GB2312"/>
          <w:sz w:val="32"/>
          <w:szCs w:val="32"/>
        </w:rPr>
      </w:pPr>
    </w:p>
    <w:p>
      <w:pPr>
        <w:adjustRightInd w:val="0"/>
        <w:spacing w:line="360" w:lineRule="auto"/>
        <w:ind w:firstLine="640" w:firstLineChars="200"/>
        <w:rPr>
          <w:rFonts w:hint="eastAsia" w:ascii="仿宋_GB2312" w:hAnsi="宋体" w:eastAsia="仿宋_GB2312"/>
          <w:sz w:val="32"/>
          <w:szCs w:val="32"/>
        </w:rPr>
      </w:pPr>
    </w:p>
    <w:p>
      <w:pPr>
        <w:adjustRightInd w:val="0"/>
        <w:spacing w:line="360" w:lineRule="auto"/>
        <w:ind w:firstLine="640" w:firstLineChars="200"/>
        <w:rPr>
          <w:rFonts w:hint="eastAsia" w:ascii="仿宋_GB2312" w:hAnsi="宋体" w:eastAsia="仿宋_GB2312"/>
          <w:sz w:val="32"/>
          <w:szCs w:val="32"/>
        </w:rPr>
      </w:pPr>
    </w:p>
    <w:p>
      <w:pPr>
        <w:adjustRightInd w:val="0"/>
        <w:spacing w:line="360" w:lineRule="auto"/>
        <w:rPr>
          <w:rFonts w:ascii="仿宋_GB2312" w:hAnsi="宋体" w:eastAsia="仿宋_GB2312"/>
          <w:sz w:val="32"/>
          <w:szCs w:val="32"/>
        </w:rPr>
      </w:pPr>
    </w:p>
    <w:sectPr>
      <w:headerReference r:id="rId3" w:type="first"/>
      <w:footerReference r:id="rId6" w:type="first"/>
      <w:footerReference r:id="rId4" w:type="default"/>
      <w:footerReference r:id="rId5" w:type="even"/>
      <w:pgSz w:w="11906" w:h="16838"/>
      <w:pgMar w:top="1361" w:right="1644" w:bottom="1361" w:left="1644"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7"/>
      </w:rPr>
    </w:pPr>
    <w:r>
      <w:fldChar w:fldCharType="begin"/>
    </w:r>
    <w:r>
      <w:rPr>
        <w:rStyle w:val="7"/>
      </w:rPr>
      <w:instrText xml:space="preserve">PAGE  </w:instrText>
    </w:r>
    <w:r>
      <w:fldChar w:fldCharType="separate"/>
    </w:r>
    <w:r>
      <w:rPr>
        <w:rStyle w:val="7"/>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4"/>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2A2941B7"/>
    <w:rsid w:val="00051B66"/>
    <w:rsid w:val="00162EFA"/>
    <w:rsid w:val="00341B7A"/>
    <w:rsid w:val="00413A9B"/>
    <w:rsid w:val="00497A0A"/>
    <w:rsid w:val="00681AF2"/>
    <w:rsid w:val="00794544"/>
    <w:rsid w:val="0097625A"/>
    <w:rsid w:val="00A04495"/>
    <w:rsid w:val="00A60B07"/>
    <w:rsid w:val="00BF0350"/>
    <w:rsid w:val="00C87316"/>
    <w:rsid w:val="00F94A83"/>
    <w:rsid w:val="00FA5A6B"/>
    <w:rsid w:val="01D579A3"/>
    <w:rsid w:val="2A2941B7"/>
    <w:rsid w:val="2D8C2815"/>
    <w:rsid w:val="2EDA5277"/>
    <w:rsid w:val="6AE7345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table" w:styleId="5">
    <w:name w:val="Table Grid"/>
    <w:basedOn w:val="4"/>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7">
    <w:name w:val="page number"/>
    <w:basedOn w:val="6"/>
    <w:qFormat/>
    <w:uiPriority w:val="0"/>
  </w:style>
  <w:style w:type="paragraph" w:customStyle="1" w:styleId="8">
    <w:name w:val="默认段落字体 Para Char Char Char Char Char Char Char"/>
    <w:basedOn w:val="1"/>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221</Words>
  <Characters>1260</Characters>
  <Lines>10</Lines>
  <Paragraphs>2</Paragraphs>
  <TotalTime>3</TotalTime>
  <ScaleCrop>false</ScaleCrop>
  <LinksUpToDate>false</LinksUpToDate>
  <CharactersWithSpaces>1479</CharactersWithSpaces>
  <Application>WPS Office_11.1.0.9305_F1E327BC-269C-435d-A152-05C5408002CA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Lenovo</cp:lastModifiedBy>
  <cp:lastPrinted>2020-01-06T09:02:14Z</cp:lastPrinted>
  <dcterms:modified xsi:type="dcterms:W3CDTF">2020-01-06T09:02:22Z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2052-11.1.0.9305</vt:lpwstr>
  </property>
</Properties>
</file>