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val="en-US" w:eastAsia="zh-CN"/>
        </w:rPr>
        <w:t>孤儿基本生活费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孤儿基本生活费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石家庄市鹿泉区民政局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河北省民政厅、财政厅、教育厅《关于做好孤儿成年后基本生活费发放工作的通知》（冀民〔2015〕62号）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、石家庄市人民政府办公厅《关于建立困境儿童分类保障制度的通知》（石政办发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〔201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石家庄市民政局、石家庄市财政局《关于落实孤儿基本生活费补助标准》（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民政函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〔201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文件要求，散居孤儿每人每月标准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950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元，机构供养的孤儿每人每月标准是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1450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领取孤儿基本生活费的儿童成年后，仍在普通高中，中等职业学校、普通本科学校、高职高专学校就读的全日制本科以下在校学生，经核实情况属实者，继续按照散居孤儿标准（每人每月标准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0元）对其给予生活补助，直至学业结束。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年全区社会散居孤儿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人，机构抚养儿童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共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人。散居孤儿每人每月标准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950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元，机构供养的孤儿每人每月标准是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1450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领取孤儿基本生活费的儿童成年后，仍在普通高中，中等职业学校、普通本科学校、高职高专学校就读的全日制本科以下在校学生，经核实情况属实者，继续按照散居孤儿标准（每人每月标准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0元）对其给予生活补助，直至学业结束。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3、</w:t>
      </w:r>
      <w:r>
        <w:rPr>
          <w:rFonts w:hint="eastAsia" w:ascii="仿宋_GB2312" w:eastAsia="仿宋_GB2312"/>
          <w:color w:val="auto"/>
          <w:sz w:val="32"/>
          <w:szCs w:val="32"/>
        </w:rPr>
        <w:t>项目资金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未支付情况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   2019年投入预算资金30万元用于</w:t>
      </w:r>
      <w:r>
        <w:rPr>
          <w:rFonts w:hint="eastAsia" w:ascii="仿宋_GB2312" w:eastAsia="仿宋_GB2312" w:cs="黑体" w:hAnsiTheme="majorEastAsia"/>
          <w:bCs/>
          <w:sz w:val="32"/>
          <w:szCs w:val="32"/>
          <w:lang w:val="en-US" w:eastAsia="zh-CN"/>
        </w:rPr>
        <w:t>孤儿基本生活费项目</w:t>
      </w:r>
    </w:p>
    <w:p>
      <w:p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2019年本级孤儿基本生活费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，因一直在使用2018年结余资金以及2019年上级专项资金，所以此项资金未进行拨付。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>二</w:t>
      </w:r>
      <w:bookmarkStart w:id="0" w:name="_GoBack"/>
      <w:bookmarkEnd w:id="0"/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tbl>
      <w:tblPr>
        <w:tblStyle w:val="5"/>
        <w:tblW w:w="90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941"/>
        <w:gridCol w:w="1418"/>
        <w:gridCol w:w="1060"/>
        <w:gridCol w:w="3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李竹开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副局长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副科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郭新龙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7101B"/>
    <w:multiLevelType w:val="singleLevel"/>
    <w:tmpl w:val="2D67101B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2A2941B7"/>
    <w:rsid w:val="4B1823E7"/>
    <w:rsid w:val="5062661D"/>
    <w:rsid w:val="5690311E"/>
    <w:rsid w:val="6E4F07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Lenovo</cp:lastModifiedBy>
  <cp:lastPrinted>2020-01-06T09:05:53Z</cp:lastPrinted>
  <dcterms:modified xsi:type="dcterms:W3CDTF">2020-01-06T09:11:40Z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