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cs="黑体" w:asciiTheme="minorEastAsia" w:hAnsiTheme="minorEastAsia" w:eastAsiaTheme="minorEastAsia"/>
          <w:b/>
          <w:bCs/>
          <w:sz w:val="36"/>
          <w:szCs w:val="36"/>
          <w:lang w:val="en-US" w:eastAsia="zh-CN"/>
        </w:rPr>
      </w:pPr>
      <w:r>
        <w:rPr>
          <w:rFonts w:hint="eastAsia" w:cs="黑体" w:asciiTheme="minorEastAsia" w:hAnsiTheme="minorEastAsia" w:eastAsiaTheme="minorEastAsia"/>
          <w:b/>
          <w:bCs/>
          <w:sz w:val="36"/>
          <w:szCs w:val="36"/>
          <w:lang w:val="en-US" w:eastAsia="zh-CN"/>
        </w:rPr>
        <w:t>高龄老人津贴及80-89周岁困难老人生活补贴</w:t>
      </w:r>
    </w:p>
    <w:p>
      <w:pPr>
        <w:spacing w:line="360" w:lineRule="auto"/>
        <w:jc w:val="center"/>
        <w:rPr>
          <w:rFonts w:hint="eastAsia" w:ascii="宋体"/>
          <w:b/>
          <w:bCs/>
          <w:sz w:val="36"/>
          <w:szCs w:val="32"/>
        </w:rPr>
      </w:pPr>
      <w:r>
        <w:rPr>
          <w:rFonts w:hint="eastAsia" w:asciiTheme="minorEastAsia" w:hAnsiTheme="minorEastAsia" w:eastAsiaTheme="minorEastAsia"/>
          <w:b/>
          <w:bCs/>
          <w:sz w:val="36"/>
          <w:szCs w:val="32"/>
        </w:rPr>
        <w:t>项目</w:t>
      </w:r>
      <w:r>
        <w:rPr>
          <w:rFonts w:hint="eastAsia" w:ascii="宋体"/>
          <w:b/>
          <w:bCs/>
          <w:sz w:val="36"/>
          <w:szCs w:val="32"/>
        </w:rPr>
        <w:t>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_GB2312" w:eastAsia="仿宋_GB2312" w:cs="黑体" w:hAnsiTheme="majorEastAsia"/>
          <w:bCs/>
          <w:sz w:val="32"/>
          <w:szCs w:val="32"/>
        </w:rPr>
        <w:t>高龄老人津贴及80-89周岁困难老人生活补贴</w:t>
      </w:r>
      <w:r>
        <w:rPr>
          <w:rFonts w:hint="eastAsia" w:ascii="仿宋_GB2312" w:eastAsia="仿宋_GB2312"/>
          <w:sz w:val="32"/>
          <w:szCs w:val="32"/>
        </w:rPr>
        <w:t>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1.项目主要实施内容和范围；</w:t>
      </w:r>
    </w:p>
    <w:p>
      <w:pPr>
        <w:ind w:firstLine="630"/>
        <w:rPr>
          <w:rFonts w:hint="default" w:ascii="仿宋_GB2312" w:eastAsia="仿宋_GB2312"/>
          <w:sz w:val="32"/>
          <w:szCs w:val="32"/>
          <w:lang w:val="en-US" w:eastAsia="zh-CN"/>
        </w:rPr>
      </w:pPr>
      <w:r>
        <w:rPr>
          <w:rFonts w:hint="eastAsia" w:ascii="仿宋_GB2312" w:eastAsia="仿宋_GB2312" w:cs="宋体"/>
          <w:color w:val="auto"/>
          <w:kern w:val="0"/>
          <w:sz w:val="32"/>
          <w:szCs w:val="32"/>
          <w:lang w:val="zh-CN"/>
        </w:rPr>
        <w:t>为加快我</w:t>
      </w:r>
      <w:r>
        <w:rPr>
          <w:rFonts w:hint="eastAsia" w:ascii="仿宋_GB2312" w:eastAsia="仿宋_GB2312" w:cs="宋体"/>
          <w:color w:val="auto"/>
          <w:kern w:val="0"/>
          <w:sz w:val="32"/>
          <w:szCs w:val="32"/>
          <w:lang w:val="en-US" w:eastAsia="zh-CN"/>
        </w:rPr>
        <w:t>区</w:t>
      </w:r>
      <w:r>
        <w:rPr>
          <w:rFonts w:hint="eastAsia" w:ascii="仿宋_GB2312" w:eastAsia="仿宋_GB2312" w:cs="宋体"/>
          <w:color w:val="auto"/>
          <w:kern w:val="0"/>
          <w:sz w:val="32"/>
          <w:szCs w:val="32"/>
          <w:lang w:val="zh-CN"/>
        </w:rPr>
        <w:t>养老事业发展，保障老年人共享经济社会发展成果，营造尊老、敬老、助老浓厚氛围，提高老年人生活质量和幸福指数，促进幸福鹿泉建设，</w:t>
      </w:r>
      <w:r>
        <w:rPr>
          <w:rFonts w:hint="eastAsia" w:ascii="仿宋_GB2312" w:eastAsia="仿宋_GB2312"/>
          <w:sz w:val="32"/>
          <w:szCs w:val="32"/>
        </w:rPr>
        <w:t>秉承以人为本宗旨，以实现“老有所养”为目标，建立完善高龄老人津贴</w:t>
      </w:r>
      <w:r>
        <w:rPr>
          <w:rFonts w:hint="eastAsia" w:ascii="仿宋_GB2312" w:eastAsia="仿宋_GB2312"/>
          <w:sz w:val="32"/>
          <w:szCs w:val="32"/>
          <w:lang w:val="en-US" w:eastAsia="zh-CN"/>
        </w:rPr>
        <w:t>发放</w:t>
      </w:r>
      <w:r>
        <w:rPr>
          <w:rFonts w:hint="eastAsia" w:ascii="仿宋_GB2312" w:eastAsia="仿宋_GB2312"/>
          <w:sz w:val="32"/>
          <w:szCs w:val="32"/>
        </w:rPr>
        <w:t>制度</w:t>
      </w:r>
      <w:r>
        <w:rPr>
          <w:rFonts w:hint="eastAsia" w:ascii="仿宋_GB2312" w:eastAsia="仿宋_GB2312"/>
          <w:sz w:val="32"/>
          <w:szCs w:val="32"/>
          <w:lang w:val="en-US" w:eastAsia="zh-CN"/>
        </w:rPr>
        <w:t>和80-89周岁困难老人生活补贴发放制度</w:t>
      </w:r>
      <w:r>
        <w:rPr>
          <w:rFonts w:hint="eastAsia" w:ascii="仿宋_GB2312" w:eastAsia="仿宋_GB2312"/>
          <w:sz w:val="32"/>
          <w:szCs w:val="32"/>
        </w:rPr>
        <w:t>。具有本</w:t>
      </w:r>
      <w:r>
        <w:rPr>
          <w:rFonts w:hint="eastAsia" w:ascii="仿宋_GB2312" w:eastAsia="仿宋_GB2312"/>
          <w:sz w:val="32"/>
          <w:szCs w:val="32"/>
          <w:lang w:val="en-US" w:eastAsia="zh-CN"/>
        </w:rPr>
        <w:t>区</w:t>
      </w:r>
      <w:r>
        <w:rPr>
          <w:rFonts w:hint="eastAsia" w:ascii="仿宋_GB2312" w:eastAsia="仿宋_GB2312"/>
          <w:sz w:val="32"/>
          <w:szCs w:val="32"/>
        </w:rPr>
        <w:t>户籍，年满80周岁（含）及以上的老年人，享受高龄老人津贴待遇。</w:t>
      </w:r>
      <w:r>
        <w:rPr>
          <w:rFonts w:hint="eastAsia" w:ascii="仿宋_GB2312" w:eastAsia="仿宋_GB2312"/>
          <w:sz w:val="32"/>
          <w:szCs w:val="32"/>
          <w:lang w:val="en-US" w:eastAsia="zh-CN"/>
        </w:rPr>
        <w:t>具有我区户籍、年龄在80周岁至89周岁之间享受城乡最低生活保障老人、农村五保老人，享受80-89周岁困难老人生活补贴待遇。</w:t>
      </w:r>
    </w:p>
    <w:p>
      <w:pPr>
        <w:numPr>
          <w:ilvl w:val="0"/>
          <w:numId w:val="1"/>
        </w:numPr>
        <w:adjustRightInd w:val="0"/>
        <w:snapToGrid w:val="0"/>
        <w:spacing w:line="360" w:lineRule="auto"/>
        <w:ind w:firstLine="640" w:firstLineChars="200"/>
        <w:rPr>
          <w:rFonts w:hint="eastAsia" w:ascii="仿宋_GB2312" w:eastAsia="仿宋_GB2312"/>
          <w:color w:val="auto"/>
          <w:sz w:val="32"/>
          <w:szCs w:val="32"/>
        </w:rPr>
      </w:pPr>
      <w:r>
        <w:rPr>
          <w:rFonts w:hint="eastAsia" w:ascii="仿宋_GB2312" w:eastAsia="仿宋_GB2312"/>
          <w:color w:val="auto"/>
          <w:sz w:val="32"/>
          <w:szCs w:val="32"/>
        </w:rPr>
        <w:t>项目资金投入情况</w:t>
      </w:r>
    </w:p>
    <w:p>
      <w:pPr>
        <w:numPr>
          <w:ilvl w:val="0"/>
          <w:numId w:val="0"/>
        </w:numPr>
        <w:adjustRightInd w:val="0"/>
        <w:snapToGrid w:val="0"/>
        <w:spacing w:line="360" w:lineRule="auto"/>
        <w:rPr>
          <w:rFonts w:hint="default" w:ascii="仿宋_GB2312" w:eastAsia="仿宋_GB2312"/>
          <w:color w:val="auto"/>
          <w:sz w:val="32"/>
          <w:szCs w:val="32"/>
          <w:lang w:val="en-US" w:eastAsia="zh-CN"/>
        </w:rPr>
      </w:pPr>
      <w:r>
        <w:rPr>
          <w:rFonts w:hint="eastAsia" w:ascii="仿宋_GB2312" w:eastAsia="仿宋_GB2312"/>
          <w:color w:val="auto"/>
          <w:sz w:val="32"/>
          <w:szCs w:val="32"/>
          <w:lang w:val="en-US" w:eastAsia="zh-CN"/>
        </w:rPr>
        <w:t xml:space="preserve">   2019年投入预算资金700万元用于</w:t>
      </w:r>
      <w:r>
        <w:rPr>
          <w:rFonts w:hint="eastAsia" w:ascii="仿宋_GB2312" w:eastAsia="仿宋_GB2312"/>
          <w:sz w:val="32"/>
          <w:szCs w:val="32"/>
        </w:rPr>
        <w:t>高龄老人津贴</w:t>
      </w:r>
      <w:r>
        <w:rPr>
          <w:rFonts w:hint="eastAsia" w:ascii="仿宋_GB2312" w:eastAsia="仿宋_GB2312"/>
          <w:sz w:val="32"/>
          <w:szCs w:val="32"/>
          <w:lang w:val="en-US" w:eastAsia="zh-CN"/>
        </w:rPr>
        <w:t>发放</w:t>
      </w:r>
      <w:r>
        <w:rPr>
          <w:rFonts w:hint="eastAsia" w:ascii="仿宋_GB2312" w:eastAsia="仿宋_GB2312"/>
          <w:sz w:val="32"/>
          <w:szCs w:val="32"/>
        </w:rPr>
        <w:t>制度</w:t>
      </w:r>
      <w:r>
        <w:rPr>
          <w:rFonts w:hint="eastAsia" w:ascii="仿宋_GB2312" w:eastAsia="仿宋_GB2312"/>
          <w:sz w:val="32"/>
          <w:szCs w:val="32"/>
          <w:lang w:val="en-US" w:eastAsia="zh-CN"/>
        </w:rPr>
        <w:t>和80-89周岁困难老人生活补贴。</w:t>
      </w:r>
    </w:p>
    <w:p>
      <w:pPr>
        <w:adjustRightInd w:val="0"/>
        <w:snapToGrid w:val="0"/>
        <w:spacing w:line="360" w:lineRule="auto"/>
        <w:ind w:firstLine="640" w:firstLineChars="200"/>
        <w:rPr>
          <w:rFonts w:hint="eastAsia" w:ascii="仿宋_GB2312" w:eastAsia="仿宋_GB2312" w:cs="宋体"/>
          <w:color w:val="auto"/>
          <w:kern w:val="0"/>
          <w:sz w:val="32"/>
          <w:szCs w:val="32"/>
          <w:lang w:val="en-US" w:eastAsia="zh-CN"/>
        </w:rPr>
      </w:pPr>
      <w:r>
        <w:rPr>
          <w:rFonts w:hint="eastAsia" w:ascii="仿宋_GB2312" w:eastAsia="仿宋_GB2312" w:cs="宋体"/>
          <w:color w:val="auto"/>
          <w:kern w:val="0"/>
          <w:sz w:val="32"/>
          <w:szCs w:val="32"/>
          <w:lang w:val="en-US" w:eastAsia="zh-CN"/>
        </w:rPr>
        <w:t>按照80周岁至89周岁的老年人，每人每月享受60元高龄津贴；90周岁至99周岁的老年人，每人每月享受100元高龄津贴；100周岁及以上的老年人，每人每月享受500元高龄津贴的标准。</w:t>
      </w:r>
      <w:r>
        <w:rPr>
          <w:rFonts w:hint="eastAsia" w:ascii="仿宋_GB2312" w:eastAsia="仿宋_GB2312" w:cs="宋体"/>
          <w:color w:val="auto"/>
          <w:kern w:val="0"/>
          <w:sz w:val="32"/>
          <w:szCs w:val="32"/>
          <w:lang w:val="zh-CN"/>
        </w:rPr>
        <w:t>全区</w:t>
      </w:r>
      <w:r>
        <w:rPr>
          <w:rFonts w:hint="eastAsia" w:ascii="仿宋_GB2312" w:eastAsia="仿宋_GB2312" w:cs="宋体"/>
          <w:color w:val="auto"/>
          <w:kern w:val="0"/>
          <w:sz w:val="32"/>
          <w:szCs w:val="32"/>
          <w:lang w:val="en-US" w:eastAsia="zh-CN"/>
        </w:rPr>
        <w:t>2019年发放高龄老人津贴80-89周岁89270人次，90-99周岁12222人次，100周岁及以上262人次。</w:t>
      </w:r>
      <w:r>
        <w:rPr>
          <w:rFonts w:hint="eastAsia" w:ascii="仿宋_GB2312" w:eastAsia="仿宋_GB2312" w:cs="宋体"/>
          <w:color w:val="auto"/>
          <w:kern w:val="0"/>
          <w:sz w:val="32"/>
          <w:szCs w:val="32"/>
          <w:lang w:val="zh-CN"/>
        </w:rPr>
        <w:t>使用2019年预算本级资金</w:t>
      </w:r>
      <w:r>
        <w:rPr>
          <w:rFonts w:hint="eastAsia" w:ascii="仿宋_GB2312" w:eastAsia="仿宋_GB2312" w:cs="宋体"/>
          <w:color w:val="auto"/>
          <w:kern w:val="0"/>
          <w:sz w:val="32"/>
          <w:szCs w:val="32"/>
          <w:lang w:val="en-US" w:eastAsia="zh-CN"/>
        </w:rPr>
        <w:t>670.94</w:t>
      </w:r>
      <w:r>
        <w:rPr>
          <w:rFonts w:hint="eastAsia" w:ascii="仿宋_GB2312" w:eastAsia="仿宋_GB2312" w:cs="宋体"/>
          <w:color w:val="auto"/>
          <w:kern w:val="0"/>
          <w:sz w:val="32"/>
          <w:szCs w:val="32"/>
          <w:lang w:val="zh-CN"/>
        </w:rPr>
        <w:t>万元</w:t>
      </w:r>
      <w:r>
        <w:rPr>
          <w:rFonts w:hint="eastAsia" w:ascii="仿宋_GB2312" w:eastAsia="仿宋_GB2312" w:cs="宋体"/>
          <w:color w:val="auto"/>
          <w:kern w:val="0"/>
          <w:sz w:val="32"/>
          <w:szCs w:val="32"/>
          <w:lang w:val="en-US" w:eastAsia="zh-CN"/>
        </w:rPr>
        <w:t>.</w:t>
      </w:r>
    </w:p>
    <w:p>
      <w:pPr>
        <w:adjustRightInd w:val="0"/>
        <w:snapToGrid w:val="0"/>
        <w:spacing w:line="360" w:lineRule="auto"/>
        <w:ind w:firstLine="640" w:firstLineChars="200"/>
        <w:rPr>
          <w:rFonts w:hint="default" w:ascii="仿宋_GB2312" w:eastAsia="仿宋_GB2312" w:cs="宋体"/>
          <w:color w:val="auto"/>
          <w:kern w:val="0"/>
          <w:sz w:val="32"/>
          <w:szCs w:val="32"/>
          <w:lang w:val="en-US" w:eastAsia="zh-CN"/>
        </w:rPr>
      </w:pPr>
      <w:r>
        <w:rPr>
          <w:rFonts w:hint="eastAsia" w:ascii="仿宋_GB2312" w:eastAsia="仿宋_GB2312" w:cs="宋体"/>
          <w:color w:val="auto"/>
          <w:kern w:val="0"/>
          <w:sz w:val="32"/>
          <w:szCs w:val="32"/>
          <w:lang w:val="en-US" w:eastAsia="zh-CN"/>
        </w:rPr>
        <w:t>按照每人每月80元的发放标准，</w:t>
      </w:r>
      <w:r>
        <w:rPr>
          <w:rFonts w:hint="eastAsia" w:ascii="仿宋_GB2312" w:eastAsia="仿宋_GB2312" w:cs="宋体"/>
          <w:color w:val="auto"/>
          <w:kern w:val="0"/>
          <w:sz w:val="32"/>
          <w:szCs w:val="32"/>
          <w:lang w:val="zh-CN"/>
        </w:rPr>
        <w:t>全区</w:t>
      </w:r>
      <w:r>
        <w:rPr>
          <w:rFonts w:hint="eastAsia" w:ascii="仿宋_GB2312" w:eastAsia="仿宋_GB2312" w:cs="宋体"/>
          <w:color w:val="auto"/>
          <w:kern w:val="0"/>
          <w:sz w:val="32"/>
          <w:szCs w:val="32"/>
          <w:lang w:val="en-US" w:eastAsia="zh-CN"/>
        </w:rPr>
        <w:t>2019年发放</w:t>
      </w:r>
      <w:r>
        <w:rPr>
          <w:rFonts w:hint="eastAsia" w:ascii="仿宋_GB2312" w:eastAsia="仿宋_GB2312"/>
          <w:color w:val="auto"/>
          <w:sz w:val="32"/>
          <w:szCs w:val="32"/>
          <w:lang w:val="en-US" w:eastAsia="zh-CN"/>
        </w:rPr>
        <w:t>80-89周岁困难老人生活补贴1219人次，</w:t>
      </w:r>
      <w:r>
        <w:rPr>
          <w:rFonts w:hint="eastAsia" w:ascii="仿宋_GB2312" w:eastAsia="仿宋_GB2312" w:cs="宋体"/>
          <w:color w:val="auto"/>
          <w:kern w:val="0"/>
          <w:sz w:val="32"/>
          <w:szCs w:val="32"/>
          <w:lang w:val="zh-CN"/>
        </w:rPr>
        <w:t>使用2019年预算本级资金</w:t>
      </w:r>
      <w:r>
        <w:rPr>
          <w:rFonts w:hint="eastAsia" w:ascii="仿宋_GB2312" w:eastAsia="仿宋_GB2312" w:cs="宋体"/>
          <w:color w:val="auto"/>
          <w:kern w:val="0"/>
          <w:sz w:val="32"/>
          <w:szCs w:val="32"/>
          <w:lang w:val="en-US" w:eastAsia="zh-CN"/>
        </w:rPr>
        <w:t>6.095</w:t>
      </w:r>
      <w:r>
        <w:rPr>
          <w:rFonts w:hint="eastAsia" w:ascii="仿宋_GB2312" w:eastAsia="仿宋_GB2312" w:cs="宋体"/>
          <w:color w:val="auto"/>
          <w:kern w:val="0"/>
          <w:sz w:val="32"/>
          <w:szCs w:val="32"/>
          <w:lang w:val="zh-CN"/>
        </w:rPr>
        <w:t>万元。</w:t>
      </w:r>
    </w:p>
    <w:p>
      <w:pPr>
        <w:adjustRightInd w:val="0"/>
        <w:snapToGrid w:val="0"/>
        <w:spacing w:line="360" w:lineRule="auto"/>
        <w:ind w:firstLine="640" w:firstLineChars="200"/>
        <w:rPr>
          <w:rFonts w:hint="eastAsia"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rPr>
        <w:t>（二）项目预期绩效目标</w:t>
      </w:r>
    </w:p>
    <w:p>
      <w:pPr>
        <w:adjustRightInd w:val="0"/>
        <w:snapToGrid w:val="0"/>
        <w:spacing w:line="360" w:lineRule="auto"/>
        <w:ind w:firstLine="640" w:firstLineChars="200"/>
        <w:rPr>
          <w:rFonts w:hint="eastAsia" w:ascii="仿宋_GB2312" w:eastAsia="仿宋_GB2312"/>
          <w:color w:val="auto"/>
          <w:sz w:val="32"/>
          <w:szCs w:val="32"/>
        </w:rPr>
      </w:pPr>
      <w:r>
        <w:rPr>
          <w:rFonts w:hint="eastAsia" w:ascii="仿宋_GB2312" w:eastAsia="仿宋_GB2312" w:cs="宋体"/>
          <w:color w:val="auto"/>
          <w:kern w:val="0"/>
          <w:sz w:val="32"/>
          <w:szCs w:val="32"/>
          <w:lang w:val="zh-CN"/>
        </w:rPr>
        <w:t>提高老年人生活质量和幸福指数，</w:t>
      </w:r>
      <w:r>
        <w:rPr>
          <w:rFonts w:hint="eastAsia" w:ascii="仿宋_GB2312" w:hAnsi="楷体_GB2312" w:eastAsia="仿宋_GB2312" w:cs="楷体_GB2312"/>
          <w:bCs/>
          <w:color w:val="auto"/>
          <w:sz w:val="32"/>
          <w:szCs w:val="32"/>
        </w:rPr>
        <w:t>增加</w:t>
      </w:r>
      <w:r>
        <w:rPr>
          <w:rFonts w:hint="eastAsia" w:ascii="仿宋_GB2312" w:hAnsi="楷体_GB2312" w:eastAsia="仿宋_GB2312" w:cs="楷体_GB2312"/>
          <w:bCs/>
          <w:color w:val="auto"/>
          <w:sz w:val="32"/>
          <w:szCs w:val="32"/>
          <w:lang w:val="en-US" w:eastAsia="zh-CN"/>
        </w:rPr>
        <w:t>老年人</w:t>
      </w:r>
      <w:r>
        <w:rPr>
          <w:rFonts w:hint="eastAsia" w:ascii="仿宋_GB2312" w:hAnsi="楷体_GB2312" w:eastAsia="仿宋_GB2312" w:cs="楷体_GB2312"/>
          <w:bCs/>
          <w:color w:val="auto"/>
          <w:sz w:val="32"/>
          <w:szCs w:val="32"/>
        </w:rPr>
        <w:t>的获得感、认同感和幸福感。</w:t>
      </w:r>
    </w:p>
    <w:p>
      <w:pPr>
        <w:adjustRightInd w:val="0"/>
        <w:snapToGrid w:val="0"/>
        <w:spacing w:line="360" w:lineRule="auto"/>
        <w:ind w:firstLine="643" w:firstLineChars="200"/>
        <w:rPr>
          <w:rFonts w:ascii="黑体" w:hAnsi="黑体" w:eastAsia="黑体" w:cs="黑体"/>
          <w:b/>
          <w:bCs/>
          <w:color w:val="auto"/>
          <w:sz w:val="32"/>
          <w:szCs w:val="32"/>
        </w:rPr>
      </w:pPr>
      <w:r>
        <w:rPr>
          <w:rFonts w:hint="eastAsia" w:ascii="黑体" w:hAnsi="黑体" w:eastAsia="黑体" w:cs="黑体"/>
          <w:b/>
          <w:bCs/>
          <w:color w:val="auto"/>
          <w:sz w:val="32"/>
          <w:szCs w:val="32"/>
        </w:rPr>
        <w:t>二、绩效评价工作情况</w:t>
      </w:r>
    </w:p>
    <w:p>
      <w:pPr>
        <w:rPr>
          <w:rFonts w:ascii="楷体_GB2312" w:hAnsi="楷体_GB2312" w:eastAsia="楷体_GB2312" w:cs="楷体_GB2312"/>
          <w:color w:val="auto"/>
          <w:sz w:val="32"/>
          <w:szCs w:val="32"/>
        </w:rPr>
      </w:pPr>
      <w:r>
        <w:rPr>
          <w:rFonts w:hint="eastAsia" w:ascii="仿宋_GB2312" w:eastAsia="仿宋_GB2312"/>
          <w:color w:val="0000FF"/>
          <w:sz w:val="32"/>
          <w:szCs w:val="32"/>
        </w:rPr>
        <w:t xml:space="preserve">   </w:t>
      </w:r>
      <w:r>
        <w:rPr>
          <w:rFonts w:hint="eastAsia" w:ascii="楷体_GB2312" w:hAnsi="楷体_GB2312" w:eastAsia="楷体_GB2312" w:cs="楷体_GB2312"/>
          <w:color w:val="auto"/>
          <w:sz w:val="32"/>
          <w:szCs w:val="32"/>
        </w:rPr>
        <w:t>（一）绩效评价的组织工作</w:t>
      </w:r>
    </w:p>
    <w:p>
      <w:pPr>
        <w:ind w:firstLine="645"/>
        <w:rPr>
          <w:rFonts w:ascii="仿宋_GB2312" w:eastAsia="仿宋_GB2312"/>
          <w:color w:val="auto"/>
          <w:sz w:val="32"/>
          <w:szCs w:val="32"/>
        </w:rPr>
      </w:pPr>
      <w:r>
        <w:rPr>
          <w:rFonts w:hint="eastAsia" w:ascii="仿宋_GB2312" w:eastAsia="仿宋_GB2312"/>
          <w:color w:val="auto"/>
          <w:sz w:val="32"/>
          <w:szCs w:val="32"/>
        </w:rPr>
        <w:t>绩效评价小组组织会议，根据上级文件确定采用调查问卷的形式，实地走访调查。</w:t>
      </w:r>
    </w:p>
    <w:p>
      <w:pPr>
        <w:rPr>
          <w:rFonts w:hint="eastAsia" w:ascii="楷体_GB2312" w:hAnsi="楷体_GB2312" w:eastAsia="楷体_GB2312" w:cs="楷体_GB2312"/>
          <w:color w:val="auto"/>
          <w:sz w:val="32"/>
          <w:szCs w:val="32"/>
        </w:rPr>
      </w:pPr>
      <w:r>
        <w:rPr>
          <w:rFonts w:hint="eastAsia" w:ascii="仿宋_GB2312" w:eastAsia="仿宋_GB2312"/>
          <w:b/>
          <w:bCs/>
          <w:color w:val="auto"/>
          <w:sz w:val="32"/>
          <w:szCs w:val="32"/>
        </w:rPr>
        <w:t xml:space="preserve">   </w:t>
      </w:r>
      <w:r>
        <w:rPr>
          <w:rFonts w:hint="eastAsia" w:ascii="楷体_GB2312" w:hAnsi="楷体_GB2312" w:eastAsia="楷体_GB2312" w:cs="楷体_GB2312"/>
          <w:color w:val="auto"/>
          <w:sz w:val="32"/>
          <w:szCs w:val="32"/>
        </w:rPr>
        <w:t>（二）绩效评价的方法和过程</w:t>
      </w:r>
    </w:p>
    <w:p>
      <w:pPr>
        <w:ind w:firstLine="640" w:firstLineChars="200"/>
        <w:rPr>
          <w:rFonts w:hint="eastAsia" w:ascii="仿宋_GB2312" w:hAnsi="楷体_GB2312" w:eastAsia="仿宋_GB2312" w:cs="楷体_GB2312"/>
          <w:b/>
          <w:bCs/>
          <w:color w:val="auto"/>
          <w:sz w:val="32"/>
          <w:szCs w:val="32"/>
        </w:rPr>
      </w:pPr>
      <w:r>
        <w:rPr>
          <w:rFonts w:hint="eastAsia" w:ascii="仿宋_GB2312" w:hAnsi="楷体_GB2312" w:eastAsia="仿宋_GB2312" w:cs="楷体_GB2312"/>
          <w:color w:val="auto"/>
          <w:sz w:val="32"/>
          <w:szCs w:val="32"/>
        </w:rPr>
        <w:t>实地采用调查问卷的方式进行。</w:t>
      </w:r>
    </w:p>
    <w:p>
      <w:pPr>
        <w:rPr>
          <w:rFonts w:ascii="仿宋_GB2312" w:eastAsia="仿宋_GB2312"/>
          <w:color w:val="auto"/>
          <w:sz w:val="32"/>
          <w:szCs w:val="32"/>
        </w:rPr>
      </w:pPr>
      <w:r>
        <w:rPr>
          <w:rFonts w:hint="eastAsia" w:ascii="楷体_GB2312" w:hAnsi="楷体_GB2312" w:eastAsia="楷体_GB2312" w:cs="楷体_GB2312"/>
          <w:b/>
          <w:bCs/>
          <w:color w:val="0000FF"/>
          <w:sz w:val="32"/>
          <w:szCs w:val="32"/>
        </w:rPr>
        <w:t xml:space="preserve">  </w:t>
      </w:r>
      <w:r>
        <w:rPr>
          <w:rFonts w:hint="eastAsia" w:ascii="楷体_GB2312" w:hAnsi="楷体_GB2312" w:eastAsia="楷体_GB2312" w:cs="楷体_GB2312"/>
          <w:b/>
          <w:bCs/>
          <w:color w:val="auto"/>
          <w:sz w:val="32"/>
          <w:szCs w:val="32"/>
        </w:rPr>
        <w:t xml:space="preserve"> </w:t>
      </w:r>
      <w:r>
        <w:rPr>
          <w:rFonts w:hint="eastAsia" w:ascii="楷体_GB2312" w:hAnsi="楷体_GB2312" w:eastAsia="楷体_GB2312" w:cs="楷体_GB2312"/>
          <w:color w:val="auto"/>
          <w:sz w:val="32"/>
          <w:szCs w:val="32"/>
        </w:rPr>
        <w:t>（三）建立绩效评价指标体系</w:t>
      </w:r>
    </w:p>
    <w:p>
      <w:pPr>
        <w:ind w:firstLine="640" w:firstLineChars="200"/>
        <w:rPr>
          <w:rFonts w:hint="eastAsia" w:ascii="仿宋_GB2312" w:eastAsia="仿宋_GB2312"/>
          <w:bCs/>
          <w:color w:val="auto"/>
          <w:sz w:val="32"/>
          <w:szCs w:val="32"/>
        </w:rPr>
      </w:pPr>
      <w:r>
        <w:rPr>
          <w:rFonts w:hint="eastAsia" w:ascii="仿宋_GB2312" w:eastAsia="仿宋_GB2312"/>
          <w:bCs/>
          <w:color w:val="auto"/>
          <w:sz w:val="32"/>
          <w:szCs w:val="32"/>
        </w:rPr>
        <w:t>1、项目立项规范性、资金到位率</w:t>
      </w:r>
    </w:p>
    <w:p>
      <w:pPr>
        <w:ind w:firstLine="640" w:firstLineChars="200"/>
        <w:rPr>
          <w:rFonts w:hint="eastAsia" w:ascii="仿宋_GB2312" w:eastAsia="仿宋_GB2312"/>
          <w:bCs/>
          <w:color w:val="auto"/>
          <w:sz w:val="32"/>
          <w:szCs w:val="32"/>
        </w:rPr>
      </w:pPr>
      <w:r>
        <w:rPr>
          <w:rFonts w:hint="eastAsia" w:ascii="仿宋_GB2312" w:eastAsia="仿宋_GB2312"/>
          <w:bCs/>
          <w:color w:val="auto"/>
          <w:sz w:val="32"/>
          <w:szCs w:val="32"/>
        </w:rPr>
        <w:t>2、管理制度健全性、资金使用合规性</w:t>
      </w:r>
    </w:p>
    <w:p>
      <w:pPr>
        <w:ind w:firstLine="640" w:firstLineChars="200"/>
        <w:rPr>
          <w:rFonts w:hint="eastAsia" w:ascii="仿宋_GB2312" w:eastAsia="仿宋_GB2312"/>
          <w:bCs/>
          <w:color w:val="auto"/>
          <w:sz w:val="32"/>
          <w:szCs w:val="32"/>
        </w:rPr>
      </w:pPr>
      <w:r>
        <w:rPr>
          <w:rFonts w:hint="eastAsia" w:ascii="仿宋_GB2312" w:eastAsia="仿宋_GB2312"/>
          <w:bCs/>
          <w:color w:val="auto"/>
          <w:sz w:val="32"/>
          <w:szCs w:val="32"/>
        </w:rPr>
        <w:t>3、实际完成率、质量达标率</w:t>
      </w:r>
    </w:p>
    <w:p>
      <w:pPr>
        <w:ind w:firstLine="640" w:firstLineChars="200"/>
        <w:rPr>
          <w:rFonts w:hint="eastAsia" w:ascii="仿宋_GB2312" w:eastAsia="仿宋_GB2312"/>
          <w:bCs/>
          <w:color w:val="auto"/>
          <w:sz w:val="32"/>
          <w:szCs w:val="32"/>
        </w:rPr>
      </w:pPr>
      <w:r>
        <w:rPr>
          <w:rFonts w:hint="eastAsia" w:ascii="仿宋_GB2312" w:eastAsia="仿宋_GB2312"/>
          <w:bCs/>
          <w:color w:val="auto"/>
          <w:sz w:val="32"/>
          <w:szCs w:val="32"/>
        </w:rPr>
        <w:t>4、服务对象满意度、社会效益</w:t>
      </w:r>
    </w:p>
    <w:p>
      <w:pPr>
        <w:ind w:firstLine="640" w:firstLineChars="200"/>
        <w:rPr>
          <w:rFonts w:ascii="黑体" w:hAnsi="黑体" w:eastAsia="黑体" w:cs="黑体"/>
          <w:b/>
          <w:bCs/>
          <w:color w:val="auto"/>
          <w:sz w:val="32"/>
          <w:szCs w:val="32"/>
        </w:rPr>
      </w:pPr>
      <w:r>
        <w:rPr>
          <w:rFonts w:hint="eastAsia" w:ascii="黑体" w:hAnsi="黑体" w:eastAsia="黑体" w:cs="黑体"/>
          <w:color w:val="auto"/>
          <w:sz w:val="32"/>
          <w:szCs w:val="32"/>
        </w:rPr>
        <w:t>三、项目执行及绩效实现情况</w:t>
      </w:r>
    </w:p>
    <w:p>
      <w:pPr>
        <w:rPr>
          <w:rFonts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rPr>
        <w:t xml:space="preserve">   （一）项目投入</w:t>
      </w:r>
    </w:p>
    <w:p>
      <w:pPr>
        <w:ind w:firstLine="640" w:firstLineChars="200"/>
        <w:rPr>
          <w:rFonts w:hint="default" w:ascii="仿宋_GB2312" w:eastAsia="仿宋_GB2312"/>
          <w:color w:val="auto"/>
          <w:sz w:val="32"/>
          <w:szCs w:val="32"/>
          <w:lang w:val="en-US" w:eastAsia="zh-CN"/>
        </w:rPr>
      </w:pPr>
      <w:r>
        <w:rPr>
          <w:rFonts w:hint="eastAsia" w:ascii="仿宋_GB2312" w:hAnsi="楷体_GB2312" w:eastAsia="仿宋_GB2312"/>
          <w:color w:val="auto"/>
          <w:sz w:val="32"/>
          <w:szCs w:val="32"/>
          <w:shd w:val="clear" w:color="auto" w:fill="FFFFFF"/>
        </w:rPr>
        <w:t>资金到位率=</w:t>
      </w:r>
      <w:r>
        <w:rPr>
          <w:rFonts w:hint="eastAsia" w:ascii="仿宋_GB2312" w:hAnsi="楷体_GB2312" w:eastAsia="仿宋_GB2312"/>
          <w:color w:val="auto"/>
          <w:sz w:val="32"/>
          <w:szCs w:val="32"/>
          <w:shd w:val="clear" w:color="auto" w:fill="FFFFFF"/>
          <w:lang w:val="en-US" w:eastAsia="zh-CN"/>
        </w:rPr>
        <w:t>100%。</w:t>
      </w:r>
    </w:p>
    <w:p>
      <w:pPr>
        <w:rPr>
          <w:rFonts w:ascii="楷体_GB2312" w:hAnsi="楷体_GB2312" w:eastAsia="楷体_GB2312" w:cs="楷体_GB2312"/>
          <w:color w:val="auto"/>
          <w:sz w:val="32"/>
          <w:szCs w:val="32"/>
        </w:rPr>
      </w:pPr>
      <w:r>
        <w:rPr>
          <w:rFonts w:hint="eastAsia" w:ascii="仿宋_GB2312" w:eastAsia="仿宋_GB2312"/>
          <w:color w:val="auto"/>
          <w:sz w:val="32"/>
          <w:szCs w:val="32"/>
        </w:rPr>
        <w:t xml:space="preserve">   </w:t>
      </w:r>
      <w:r>
        <w:rPr>
          <w:rFonts w:hint="eastAsia" w:ascii="楷体_GB2312" w:hAnsi="楷体_GB2312" w:eastAsia="楷体_GB2312" w:cs="楷体_GB2312"/>
          <w:color w:val="auto"/>
          <w:sz w:val="32"/>
          <w:szCs w:val="32"/>
        </w:rPr>
        <w:t>（二）项目实施过程</w:t>
      </w:r>
    </w:p>
    <w:p>
      <w:pPr>
        <w:ind w:firstLine="640" w:firstLineChars="200"/>
        <w:rPr>
          <w:rFonts w:hint="eastAsia" w:ascii="仿宋_GB2312" w:eastAsia="仿宋_GB2312"/>
          <w:color w:val="auto"/>
          <w:sz w:val="32"/>
          <w:szCs w:val="32"/>
        </w:rPr>
      </w:pPr>
      <w:r>
        <w:rPr>
          <w:rFonts w:hint="eastAsia" w:ascii="仿宋_GB2312" w:eastAsia="仿宋_GB2312"/>
          <w:color w:val="auto"/>
          <w:sz w:val="32"/>
          <w:szCs w:val="32"/>
        </w:rPr>
        <w:t>1.制度健全性。</w:t>
      </w:r>
      <w:r>
        <w:rPr>
          <w:rFonts w:hint="eastAsia" w:ascii="仿宋_GB2312" w:hAnsi="楷体_GB2312" w:eastAsia="仿宋_GB2312"/>
          <w:color w:val="auto"/>
          <w:sz w:val="32"/>
          <w:szCs w:val="32"/>
          <w:shd w:val="clear" w:color="auto" w:fill="FFFFFF"/>
        </w:rPr>
        <w:t>已制定或具有相应</w:t>
      </w:r>
      <w:r>
        <w:rPr>
          <w:rFonts w:hint="eastAsia" w:ascii="仿宋_GB2312" w:hAnsi="楷体_GB2312" w:eastAsia="仿宋_GB2312"/>
          <w:color w:val="auto"/>
          <w:sz w:val="32"/>
          <w:szCs w:val="32"/>
          <w:shd w:val="clear" w:color="auto" w:fill="FFFFFF"/>
          <w:lang w:val="en-US" w:eastAsia="zh-CN"/>
        </w:rPr>
        <w:t>工作</w:t>
      </w:r>
      <w:r>
        <w:rPr>
          <w:rFonts w:hint="eastAsia" w:ascii="仿宋_GB2312" w:hAnsi="楷体_GB2312" w:eastAsia="仿宋_GB2312"/>
          <w:color w:val="auto"/>
          <w:sz w:val="32"/>
          <w:szCs w:val="32"/>
          <w:shd w:val="clear" w:color="auto" w:fill="FFFFFF"/>
        </w:rPr>
        <w:t>制度；制度合法、合规、完整。</w:t>
      </w:r>
    </w:p>
    <w:p>
      <w:pPr>
        <w:ind w:firstLine="640" w:firstLineChars="200"/>
        <w:rPr>
          <w:rFonts w:hint="eastAsia" w:ascii="仿宋_GB2312" w:eastAsia="仿宋_GB2312"/>
          <w:color w:val="auto"/>
          <w:sz w:val="32"/>
          <w:szCs w:val="32"/>
        </w:rPr>
      </w:pPr>
      <w:r>
        <w:rPr>
          <w:rFonts w:hint="eastAsia" w:ascii="仿宋_GB2312" w:eastAsia="仿宋_GB2312"/>
          <w:color w:val="auto"/>
          <w:sz w:val="32"/>
          <w:szCs w:val="32"/>
        </w:rPr>
        <w:t>2.资金使用合规性。</w:t>
      </w:r>
      <w:r>
        <w:rPr>
          <w:rFonts w:hint="eastAsia" w:ascii="仿宋_GB2312" w:hAnsi="楷体_GB2312" w:eastAsia="仿宋_GB2312"/>
          <w:color w:val="auto"/>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ascii="仿宋_GB2312" w:eastAsia="仿宋_GB2312"/>
          <w:b/>
          <w:bCs/>
          <w:color w:val="auto"/>
          <w:sz w:val="32"/>
          <w:szCs w:val="32"/>
        </w:rPr>
      </w:pPr>
      <w:r>
        <w:rPr>
          <w:rFonts w:hint="eastAsia" w:ascii="仿宋_GB2312" w:eastAsia="仿宋_GB2312"/>
          <w:b/>
          <w:bCs/>
          <w:color w:val="auto"/>
          <w:sz w:val="32"/>
          <w:szCs w:val="32"/>
        </w:rPr>
        <w:t xml:space="preserve">   </w:t>
      </w:r>
      <w:r>
        <w:rPr>
          <w:rFonts w:hint="eastAsia" w:ascii="楷体_GB2312" w:hAnsi="楷体_GB2312" w:eastAsia="楷体_GB2312" w:cs="楷体_GB2312"/>
          <w:color w:val="auto"/>
          <w:sz w:val="32"/>
          <w:szCs w:val="32"/>
        </w:rPr>
        <w:t>（三）项目产出</w:t>
      </w:r>
    </w:p>
    <w:p>
      <w:pPr>
        <w:ind w:firstLine="640" w:firstLineChars="200"/>
        <w:rPr>
          <w:rFonts w:hint="eastAsia" w:ascii="楷体_GB2312" w:hAnsi="楷体_GB2312" w:eastAsia="楷体_GB2312"/>
          <w:color w:val="auto"/>
          <w:sz w:val="22"/>
          <w:shd w:val="clear" w:color="auto" w:fill="FFFFFF"/>
        </w:rPr>
      </w:pPr>
      <w:r>
        <w:rPr>
          <w:rFonts w:hint="eastAsia" w:ascii="仿宋_GB2312" w:eastAsia="仿宋_GB2312"/>
          <w:color w:val="auto"/>
          <w:sz w:val="32"/>
          <w:szCs w:val="32"/>
        </w:rPr>
        <w:t>1、</w:t>
      </w:r>
      <w:r>
        <w:rPr>
          <w:rFonts w:ascii="仿宋_GB2312" w:eastAsia="仿宋_GB2312"/>
          <w:color w:val="auto"/>
          <w:sz w:val="32"/>
          <w:szCs w:val="32"/>
        </w:rPr>
        <w:t>实际完成率=100%</w:t>
      </w:r>
      <w:r>
        <w:rPr>
          <w:rFonts w:ascii="楷体_GB2312" w:hAnsi="楷体_GB2312" w:eastAsia="楷体_GB2312"/>
          <w:color w:val="auto"/>
          <w:sz w:val="22"/>
          <w:shd w:val="clear" w:color="auto" w:fill="FFFFFF"/>
        </w:rPr>
        <w:t>。</w:t>
      </w:r>
    </w:p>
    <w:p>
      <w:pPr>
        <w:ind w:firstLine="640" w:firstLineChars="200"/>
        <w:rPr>
          <w:rFonts w:hint="eastAsia" w:ascii="仿宋_GB2312" w:eastAsia="仿宋_GB2312"/>
          <w:color w:val="auto"/>
          <w:sz w:val="32"/>
          <w:szCs w:val="32"/>
        </w:rPr>
      </w:pPr>
      <w:r>
        <w:rPr>
          <w:rFonts w:hint="eastAsia" w:ascii="仿宋_GB2312" w:eastAsia="仿宋_GB2312"/>
          <w:color w:val="auto"/>
          <w:sz w:val="32"/>
          <w:szCs w:val="32"/>
        </w:rPr>
        <w:t>2、</w:t>
      </w:r>
      <w:r>
        <w:rPr>
          <w:rFonts w:ascii="仿宋_GB2312" w:eastAsia="仿宋_GB2312"/>
          <w:color w:val="auto"/>
          <w:sz w:val="32"/>
          <w:szCs w:val="32"/>
        </w:rPr>
        <w:t>质量达标率=100%。</w:t>
      </w:r>
    </w:p>
    <w:p>
      <w:pPr>
        <w:rPr>
          <w:rFonts w:ascii="楷体_GB2312" w:hAnsi="楷体_GB2312" w:eastAsia="楷体_GB2312" w:cs="楷体_GB2312"/>
          <w:color w:val="auto"/>
          <w:sz w:val="32"/>
          <w:szCs w:val="32"/>
        </w:rPr>
      </w:pPr>
      <w:r>
        <w:rPr>
          <w:rFonts w:hint="eastAsia" w:ascii="楷体_GB2312" w:hAnsi="楷体_GB2312" w:eastAsia="楷体_GB2312" w:cs="楷体_GB2312"/>
          <w:b/>
          <w:bCs/>
          <w:color w:val="auto"/>
          <w:sz w:val="32"/>
          <w:szCs w:val="32"/>
        </w:rPr>
        <w:t xml:space="preserve">   </w:t>
      </w:r>
      <w:r>
        <w:rPr>
          <w:rFonts w:hint="eastAsia" w:ascii="楷体_GB2312" w:hAnsi="楷体_GB2312" w:eastAsia="楷体_GB2312" w:cs="楷体_GB2312"/>
          <w:color w:val="auto"/>
          <w:sz w:val="32"/>
          <w:szCs w:val="32"/>
        </w:rPr>
        <w:t>（四）项目效果</w:t>
      </w:r>
    </w:p>
    <w:p>
      <w:pPr>
        <w:adjustRightInd w:val="0"/>
        <w:snapToGrid w:val="0"/>
        <w:spacing w:line="360" w:lineRule="auto"/>
        <w:ind w:firstLine="640" w:firstLineChars="200"/>
        <w:rPr>
          <w:rFonts w:hint="eastAsia" w:ascii="仿宋_GB2312" w:eastAsia="仿宋_GB2312"/>
          <w:color w:val="auto"/>
          <w:sz w:val="32"/>
          <w:szCs w:val="32"/>
        </w:rPr>
      </w:pPr>
      <w:r>
        <w:rPr>
          <w:rFonts w:hint="eastAsia" w:ascii="仿宋_GB2312" w:eastAsia="仿宋_GB2312"/>
          <w:color w:val="auto"/>
          <w:sz w:val="32"/>
          <w:szCs w:val="32"/>
        </w:rPr>
        <w:t>1、社会效益。</w:t>
      </w:r>
      <w:r>
        <w:rPr>
          <w:rFonts w:hint="eastAsia" w:ascii="仿宋_GB2312" w:eastAsia="仿宋_GB2312" w:cs="宋体"/>
          <w:color w:val="auto"/>
          <w:kern w:val="0"/>
          <w:sz w:val="32"/>
          <w:szCs w:val="32"/>
          <w:lang w:val="zh-CN"/>
        </w:rPr>
        <w:t>提高老年人生活质量和幸福指数，</w:t>
      </w:r>
      <w:r>
        <w:rPr>
          <w:rFonts w:hint="eastAsia" w:ascii="仿宋_GB2312" w:hAnsi="楷体_GB2312" w:eastAsia="仿宋_GB2312" w:cs="楷体_GB2312"/>
          <w:bCs/>
          <w:color w:val="auto"/>
          <w:sz w:val="32"/>
          <w:szCs w:val="32"/>
        </w:rPr>
        <w:t>增加</w:t>
      </w:r>
      <w:r>
        <w:rPr>
          <w:rFonts w:hint="eastAsia" w:ascii="仿宋_GB2312" w:hAnsi="楷体_GB2312" w:eastAsia="仿宋_GB2312" w:cs="楷体_GB2312"/>
          <w:bCs/>
          <w:color w:val="auto"/>
          <w:sz w:val="32"/>
          <w:szCs w:val="32"/>
          <w:lang w:val="en-US" w:eastAsia="zh-CN"/>
        </w:rPr>
        <w:t>老年人</w:t>
      </w:r>
      <w:r>
        <w:rPr>
          <w:rFonts w:hint="eastAsia" w:ascii="仿宋_GB2312" w:hAnsi="楷体_GB2312" w:eastAsia="仿宋_GB2312" w:cs="楷体_GB2312"/>
          <w:bCs/>
          <w:color w:val="auto"/>
          <w:sz w:val="32"/>
          <w:szCs w:val="32"/>
        </w:rPr>
        <w:t>的获得感、认同感和幸福感。</w:t>
      </w:r>
    </w:p>
    <w:p>
      <w:pPr>
        <w:ind w:firstLine="640" w:firstLineChars="200"/>
        <w:rPr>
          <w:rFonts w:hint="eastAsia" w:ascii="仿宋_GB2312" w:eastAsia="仿宋_GB2312"/>
          <w:color w:val="auto"/>
          <w:sz w:val="32"/>
          <w:szCs w:val="32"/>
        </w:rPr>
      </w:pPr>
      <w:r>
        <w:rPr>
          <w:rFonts w:hint="eastAsia" w:ascii="仿宋_GB2312" w:eastAsia="仿宋_GB2312"/>
          <w:color w:val="auto"/>
          <w:sz w:val="32"/>
          <w:szCs w:val="32"/>
        </w:rPr>
        <w:t>2、社会服务对象满意度。通过调查问卷的形式，调查所涉及人员对该项目整体满意。</w:t>
      </w:r>
    </w:p>
    <w:p>
      <w:pPr>
        <w:ind w:firstLine="640" w:firstLineChars="200"/>
        <w:rPr>
          <w:rFonts w:ascii="黑体" w:hAnsi="黑体" w:eastAsia="黑体"/>
          <w:color w:val="auto"/>
          <w:sz w:val="32"/>
          <w:szCs w:val="32"/>
        </w:rPr>
      </w:pPr>
      <w:r>
        <w:rPr>
          <w:rFonts w:hint="eastAsia" w:ascii="黑体" w:hAnsi="黑体" w:eastAsia="黑体"/>
          <w:color w:val="auto"/>
          <w:sz w:val="32"/>
          <w:szCs w:val="32"/>
        </w:rPr>
        <w:t>四、项目综合评价结论和评价等级</w:t>
      </w:r>
    </w:p>
    <w:p>
      <w:pPr>
        <w:ind w:firstLine="640" w:firstLineChars="200"/>
        <w:rPr>
          <w:rFonts w:ascii="仿宋_GB2312" w:eastAsia="仿宋_GB2312"/>
          <w:color w:val="auto"/>
          <w:sz w:val="32"/>
          <w:szCs w:val="32"/>
        </w:rPr>
      </w:pPr>
      <w:r>
        <w:rPr>
          <w:rFonts w:hint="eastAsia" w:ascii="仿宋_GB2312" w:eastAsia="仿宋_GB2312"/>
          <w:color w:val="auto"/>
          <w:sz w:val="32"/>
          <w:szCs w:val="32"/>
        </w:rPr>
        <w:t>根据项目执行情况和项目绩效情况，该项目综合评价得分：90分，项目综合绩效评价等级为优秀。</w:t>
      </w:r>
    </w:p>
    <w:p>
      <w:pPr>
        <w:ind w:firstLine="640" w:firstLineChars="200"/>
        <w:rPr>
          <w:rFonts w:hint="eastAsia" w:ascii="楷体_GB2312" w:hAnsi="楷体_GB2312" w:eastAsia="楷体_GB2312"/>
          <w:b/>
          <w:bCs/>
          <w:color w:val="auto"/>
          <w:sz w:val="32"/>
          <w:szCs w:val="32"/>
        </w:rPr>
      </w:pPr>
      <w:r>
        <w:rPr>
          <w:rFonts w:hint="eastAsia" w:ascii="黑体" w:hAnsi="黑体" w:eastAsia="黑体"/>
          <w:color w:val="auto"/>
          <w:sz w:val="32"/>
          <w:szCs w:val="32"/>
        </w:rPr>
        <w:t>五、存在的问题及改进措施</w:t>
      </w:r>
    </w:p>
    <w:p>
      <w:pPr>
        <w:ind w:firstLine="640" w:firstLineChars="200"/>
        <w:rPr>
          <w:rFonts w:ascii="仿宋_GB2312" w:eastAsia="仿宋_GB2312"/>
          <w:color w:val="auto"/>
          <w:sz w:val="32"/>
          <w:szCs w:val="32"/>
        </w:rPr>
      </w:pPr>
      <w:r>
        <w:rPr>
          <w:rFonts w:hint="eastAsia" w:ascii="楷体_GB2312" w:hAnsi="楷体_GB2312" w:eastAsia="楷体_GB2312"/>
          <w:bCs/>
          <w:color w:val="auto"/>
          <w:sz w:val="32"/>
          <w:szCs w:val="32"/>
        </w:rPr>
        <w:t>该项目在实施过程中没有存在问题。</w:t>
      </w:r>
    </w:p>
    <w:p>
      <w:pPr>
        <w:adjustRightInd w:val="0"/>
        <w:snapToGrid w:val="0"/>
        <w:spacing w:line="360" w:lineRule="auto"/>
        <w:ind w:firstLine="640" w:firstLineChars="200"/>
        <w:rPr>
          <w:rFonts w:hint="eastAsia" w:ascii="仿宋_GB2312" w:eastAsia="仿宋_GB2312"/>
          <w:color w:val="auto"/>
          <w:sz w:val="32"/>
          <w:szCs w:val="32"/>
        </w:rPr>
      </w:pPr>
      <w:r>
        <w:rPr>
          <w:rFonts w:hint="eastAsia" w:ascii="黑体" w:eastAsia="黑体"/>
          <w:color w:val="auto"/>
          <w:sz w:val="32"/>
          <w:szCs w:val="32"/>
        </w:rPr>
        <w:t>六、评价工作组人员名单及签字</w:t>
      </w:r>
    </w:p>
    <w:tbl>
      <w:tblPr>
        <w:tblStyle w:val="5"/>
        <w:tblW w:w="90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ascii="仿宋_GB2312" w:eastAsia="仿宋_GB2312"/>
                <w:color w:val="auto"/>
                <w:sz w:val="32"/>
                <w:szCs w:val="32"/>
              </w:rPr>
            </w:pPr>
            <w:r>
              <w:rPr>
                <w:rFonts w:hint="eastAsia" w:ascii="仿宋_GB2312" w:eastAsia="仿宋_GB2312"/>
                <w:color w:val="auto"/>
                <w:sz w:val="32"/>
                <w:szCs w:val="32"/>
              </w:rPr>
              <w:t>姓名</w:t>
            </w:r>
          </w:p>
        </w:tc>
        <w:tc>
          <w:tcPr>
            <w:tcW w:w="1941" w:type="dxa"/>
            <w:vAlign w:val="center"/>
          </w:tcPr>
          <w:p>
            <w:pPr>
              <w:adjustRightInd w:val="0"/>
              <w:snapToGrid w:val="0"/>
              <w:spacing w:line="360" w:lineRule="auto"/>
              <w:jc w:val="center"/>
              <w:rPr>
                <w:rFonts w:ascii="仿宋_GB2312" w:eastAsia="仿宋_GB2312"/>
                <w:color w:val="auto"/>
                <w:sz w:val="32"/>
                <w:szCs w:val="32"/>
              </w:rPr>
            </w:pPr>
            <w:r>
              <w:rPr>
                <w:rFonts w:hint="eastAsia" w:ascii="仿宋_GB2312" w:eastAsia="仿宋_GB2312"/>
                <w:color w:val="auto"/>
                <w:sz w:val="32"/>
                <w:szCs w:val="32"/>
              </w:rPr>
              <w:t>工作单位</w:t>
            </w:r>
          </w:p>
        </w:tc>
        <w:tc>
          <w:tcPr>
            <w:tcW w:w="1418" w:type="dxa"/>
            <w:vAlign w:val="center"/>
          </w:tcPr>
          <w:p>
            <w:pPr>
              <w:adjustRightInd w:val="0"/>
              <w:snapToGrid w:val="0"/>
              <w:spacing w:line="360" w:lineRule="auto"/>
              <w:jc w:val="center"/>
              <w:rPr>
                <w:rFonts w:ascii="仿宋_GB2312" w:eastAsia="仿宋_GB2312"/>
                <w:color w:val="auto"/>
                <w:sz w:val="32"/>
                <w:szCs w:val="32"/>
              </w:rPr>
            </w:pPr>
            <w:r>
              <w:rPr>
                <w:rFonts w:hint="eastAsia" w:ascii="仿宋_GB2312" w:eastAsia="仿宋_GB2312"/>
                <w:color w:val="auto"/>
                <w:sz w:val="32"/>
                <w:szCs w:val="32"/>
              </w:rPr>
              <w:t>职务</w:t>
            </w:r>
          </w:p>
        </w:tc>
        <w:tc>
          <w:tcPr>
            <w:tcW w:w="1060" w:type="dxa"/>
            <w:vAlign w:val="center"/>
          </w:tcPr>
          <w:p>
            <w:pPr>
              <w:adjustRightInd w:val="0"/>
              <w:snapToGrid w:val="0"/>
              <w:spacing w:line="360" w:lineRule="auto"/>
              <w:jc w:val="center"/>
              <w:rPr>
                <w:rFonts w:ascii="仿宋_GB2312" w:eastAsia="仿宋_GB2312"/>
                <w:color w:val="auto"/>
                <w:sz w:val="32"/>
                <w:szCs w:val="32"/>
              </w:rPr>
            </w:pPr>
            <w:r>
              <w:rPr>
                <w:rFonts w:hint="eastAsia" w:ascii="仿宋_GB2312" w:eastAsia="仿宋_GB2312"/>
                <w:color w:val="auto"/>
                <w:sz w:val="32"/>
                <w:szCs w:val="32"/>
              </w:rPr>
              <w:t>职称</w:t>
            </w:r>
          </w:p>
        </w:tc>
        <w:tc>
          <w:tcPr>
            <w:tcW w:w="3353" w:type="dxa"/>
            <w:vAlign w:val="center"/>
          </w:tcPr>
          <w:p>
            <w:pPr>
              <w:adjustRightInd w:val="0"/>
              <w:snapToGrid w:val="0"/>
              <w:spacing w:line="360" w:lineRule="auto"/>
              <w:jc w:val="center"/>
              <w:rPr>
                <w:rFonts w:hint="eastAsia" w:ascii="仿宋_GB2312" w:eastAsia="仿宋_GB2312"/>
                <w:color w:val="auto"/>
                <w:sz w:val="32"/>
                <w:szCs w:val="32"/>
              </w:rPr>
            </w:pPr>
            <w:r>
              <w:rPr>
                <w:rFonts w:hint="eastAsia" w:ascii="仿宋_GB2312" w:eastAsia="仿宋_GB2312"/>
                <w:color w:val="auto"/>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232" w:type="dxa"/>
            <w:vAlign w:val="center"/>
          </w:tcPr>
          <w:p>
            <w:pPr>
              <w:adjustRightInd w:val="0"/>
              <w:snapToGrid w:val="0"/>
              <w:spacing w:line="360" w:lineRule="auto"/>
              <w:jc w:val="center"/>
              <w:rPr>
                <w:rFonts w:hint="eastAsia" w:ascii="仿宋_GB2312" w:eastAsia="仿宋_GB2312"/>
                <w:color w:val="auto"/>
                <w:sz w:val="32"/>
                <w:szCs w:val="32"/>
                <w:lang w:eastAsia="zh-CN"/>
              </w:rPr>
            </w:pPr>
            <w:r>
              <w:rPr>
                <w:rFonts w:hint="eastAsia" w:ascii="仿宋_GB2312" w:eastAsia="仿宋_GB2312"/>
                <w:color w:val="auto"/>
                <w:sz w:val="32"/>
                <w:szCs w:val="32"/>
                <w:lang w:eastAsia="zh-CN"/>
              </w:rPr>
              <w:t>李竹开</w:t>
            </w:r>
          </w:p>
        </w:tc>
        <w:tc>
          <w:tcPr>
            <w:tcW w:w="1941" w:type="dxa"/>
            <w:vAlign w:val="center"/>
          </w:tcPr>
          <w:p>
            <w:pPr>
              <w:adjustRightInd w:val="0"/>
              <w:snapToGrid w:val="0"/>
              <w:spacing w:line="360" w:lineRule="auto"/>
              <w:jc w:val="center"/>
              <w:rPr>
                <w:rFonts w:ascii="仿宋_GB2312" w:eastAsia="仿宋_GB2312"/>
                <w:color w:val="auto"/>
                <w:sz w:val="32"/>
                <w:szCs w:val="32"/>
              </w:rPr>
            </w:pPr>
            <w:r>
              <w:rPr>
                <w:rFonts w:hint="eastAsia" w:ascii="仿宋_GB2312" w:eastAsia="仿宋_GB2312"/>
                <w:color w:val="auto"/>
                <w:sz w:val="32"/>
                <w:szCs w:val="32"/>
              </w:rPr>
              <w:t>民政局</w:t>
            </w:r>
          </w:p>
        </w:tc>
        <w:tc>
          <w:tcPr>
            <w:tcW w:w="1418" w:type="dxa"/>
            <w:vAlign w:val="center"/>
          </w:tcPr>
          <w:p>
            <w:pPr>
              <w:adjustRightInd w:val="0"/>
              <w:snapToGrid w:val="0"/>
              <w:spacing w:line="360" w:lineRule="auto"/>
              <w:jc w:val="center"/>
              <w:rPr>
                <w:rFonts w:ascii="仿宋_GB2312" w:eastAsia="仿宋_GB2312"/>
                <w:color w:val="auto"/>
                <w:sz w:val="32"/>
                <w:szCs w:val="32"/>
              </w:rPr>
            </w:pPr>
            <w:r>
              <w:rPr>
                <w:rFonts w:hint="eastAsia" w:ascii="仿宋_GB2312" w:eastAsia="仿宋_GB2312"/>
                <w:color w:val="auto"/>
                <w:sz w:val="32"/>
                <w:szCs w:val="32"/>
              </w:rPr>
              <w:t>副局长</w:t>
            </w:r>
          </w:p>
        </w:tc>
        <w:tc>
          <w:tcPr>
            <w:tcW w:w="1060" w:type="dxa"/>
            <w:vAlign w:val="center"/>
          </w:tcPr>
          <w:p>
            <w:pPr>
              <w:adjustRightInd w:val="0"/>
              <w:snapToGrid w:val="0"/>
              <w:spacing w:line="360" w:lineRule="auto"/>
              <w:jc w:val="center"/>
              <w:rPr>
                <w:rFonts w:ascii="仿宋_GB2312" w:eastAsia="仿宋_GB2312"/>
                <w:color w:val="auto"/>
                <w:sz w:val="32"/>
                <w:szCs w:val="32"/>
              </w:rPr>
            </w:pPr>
            <w:r>
              <w:rPr>
                <w:rFonts w:hint="eastAsia" w:ascii="仿宋_GB2312" w:eastAsia="仿宋_GB2312"/>
                <w:color w:val="auto"/>
                <w:sz w:val="32"/>
                <w:szCs w:val="32"/>
              </w:rPr>
              <w:t>副科</w:t>
            </w:r>
          </w:p>
        </w:tc>
        <w:tc>
          <w:tcPr>
            <w:tcW w:w="3353" w:type="dxa"/>
            <w:vAlign w:val="center"/>
          </w:tcPr>
          <w:p>
            <w:pPr>
              <w:adjustRightInd w:val="0"/>
              <w:snapToGrid w:val="0"/>
              <w:spacing w:line="360" w:lineRule="auto"/>
              <w:jc w:val="center"/>
              <w:rPr>
                <w:rFonts w:hint="eastAsia" w:ascii="仿宋_GB2312" w:eastAsia="仿宋_GB2312"/>
                <w:color w:val="auto"/>
                <w:sz w:val="32"/>
                <w:szCs w:val="32"/>
              </w:rPr>
            </w:pPr>
            <w:r>
              <w:rPr>
                <w:rFonts w:hint="eastAsia" w:ascii="仿宋_GB2312" w:eastAsia="仿宋_GB2312"/>
                <w:color w:val="auto"/>
                <w:sz w:val="32"/>
                <w:szCs w:val="32"/>
                <w:lang w:eastAsia="zh-CN"/>
              </w:rPr>
              <w:t>李竹开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32" w:type="dxa"/>
            <w:vAlign w:val="center"/>
          </w:tcPr>
          <w:p>
            <w:pPr>
              <w:adjustRightInd w:val="0"/>
              <w:snapToGrid w:val="0"/>
              <w:spacing w:line="360" w:lineRule="auto"/>
              <w:jc w:val="center"/>
              <w:rPr>
                <w:rFonts w:hint="eastAsia" w:ascii="仿宋_GB2312" w:eastAsia="仿宋_GB2312"/>
                <w:color w:val="auto"/>
                <w:sz w:val="32"/>
                <w:szCs w:val="32"/>
                <w:lang w:eastAsia="zh-CN"/>
              </w:rPr>
            </w:pPr>
            <w:r>
              <w:rPr>
                <w:rFonts w:hint="eastAsia" w:ascii="仿宋_GB2312" w:eastAsia="仿宋_GB2312"/>
                <w:color w:val="auto"/>
                <w:sz w:val="32"/>
                <w:szCs w:val="32"/>
                <w:lang w:eastAsia="zh-CN"/>
              </w:rPr>
              <w:t>王志友</w:t>
            </w:r>
          </w:p>
        </w:tc>
        <w:tc>
          <w:tcPr>
            <w:tcW w:w="1941" w:type="dxa"/>
            <w:vAlign w:val="center"/>
          </w:tcPr>
          <w:p>
            <w:pPr>
              <w:adjustRightInd w:val="0"/>
              <w:snapToGrid w:val="0"/>
              <w:spacing w:line="360" w:lineRule="auto"/>
              <w:jc w:val="center"/>
              <w:rPr>
                <w:rFonts w:ascii="仿宋_GB2312" w:eastAsia="仿宋_GB2312"/>
                <w:color w:val="auto"/>
                <w:sz w:val="32"/>
                <w:szCs w:val="32"/>
              </w:rPr>
            </w:pPr>
            <w:r>
              <w:rPr>
                <w:rFonts w:hint="eastAsia" w:ascii="仿宋_GB2312" w:eastAsia="仿宋_GB2312"/>
                <w:color w:val="auto"/>
                <w:sz w:val="32"/>
                <w:szCs w:val="32"/>
              </w:rPr>
              <w:t>民政局</w:t>
            </w:r>
          </w:p>
        </w:tc>
        <w:tc>
          <w:tcPr>
            <w:tcW w:w="1418" w:type="dxa"/>
            <w:vAlign w:val="center"/>
          </w:tcPr>
          <w:p>
            <w:pPr>
              <w:adjustRightInd w:val="0"/>
              <w:snapToGrid w:val="0"/>
              <w:spacing w:line="360" w:lineRule="auto"/>
              <w:jc w:val="center"/>
              <w:rPr>
                <w:rFonts w:ascii="仿宋_GB2312" w:eastAsia="仿宋_GB2312"/>
                <w:color w:val="auto"/>
                <w:sz w:val="32"/>
                <w:szCs w:val="32"/>
              </w:rPr>
            </w:pPr>
            <w:r>
              <w:rPr>
                <w:rFonts w:hint="eastAsia" w:ascii="仿宋_GB2312" w:eastAsia="仿宋_GB2312"/>
                <w:color w:val="auto"/>
                <w:sz w:val="32"/>
                <w:szCs w:val="32"/>
              </w:rPr>
              <w:t>科员</w:t>
            </w:r>
          </w:p>
        </w:tc>
        <w:tc>
          <w:tcPr>
            <w:tcW w:w="1060" w:type="dxa"/>
            <w:vAlign w:val="center"/>
          </w:tcPr>
          <w:p>
            <w:pPr>
              <w:adjustRightInd w:val="0"/>
              <w:snapToGrid w:val="0"/>
              <w:spacing w:line="360" w:lineRule="auto"/>
              <w:jc w:val="center"/>
              <w:rPr>
                <w:rFonts w:ascii="仿宋_GB2312" w:eastAsia="仿宋_GB2312"/>
                <w:color w:val="auto"/>
                <w:sz w:val="32"/>
                <w:szCs w:val="32"/>
              </w:rPr>
            </w:pPr>
            <w:r>
              <w:rPr>
                <w:rFonts w:hint="eastAsia" w:ascii="仿宋_GB2312" w:eastAsia="仿宋_GB2312"/>
                <w:color w:val="auto"/>
                <w:sz w:val="32"/>
                <w:szCs w:val="32"/>
              </w:rPr>
              <w:t>无</w:t>
            </w:r>
          </w:p>
        </w:tc>
        <w:tc>
          <w:tcPr>
            <w:tcW w:w="3353" w:type="dxa"/>
            <w:vAlign w:val="center"/>
          </w:tcPr>
          <w:p>
            <w:pPr>
              <w:adjustRightInd w:val="0"/>
              <w:snapToGrid w:val="0"/>
              <w:spacing w:line="360" w:lineRule="auto"/>
              <w:jc w:val="center"/>
              <w:rPr>
                <w:rFonts w:hint="eastAsia" w:ascii="仿宋_GB2312" w:eastAsia="仿宋_GB2312"/>
                <w:color w:val="auto"/>
                <w:sz w:val="32"/>
                <w:szCs w:val="32"/>
              </w:rPr>
            </w:pPr>
            <w:r>
              <w:rPr>
                <w:rFonts w:hint="eastAsia" w:ascii="仿宋_GB2312" w:eastAsia="仿宋_GB2312"/>
                <w:color w:val="auto"/>
                <w:sz w:val="32"/>
                <w:szCs w:val="32"/>
                <w:lang w:eastAsia="zh-CN"/>
              </w:rPr>
              <w:t>王志友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232" w:type="dxa"/>
            <w:vAlign w:val="center"/>
          </w:tcPr>
          <w:p>
            <w:pPr>
              <w:adjustRightInd w:val="0"/>
              <w:snapToGrid w:val="0"/>
              <w:spacing w:line="360" w:lineRule="auto"/>
              <w:jc w:val="center"/>
              <w:rPr>
                <w:rFonts w:hint="eastAsia" w:ascii="仿宋_GB2312" w:eastAsia="仿宋_GB2312"/>
                <w:color w:val="auto"/>
                <w:sz w:val="32"/>
                <w:szCs w:val="32"/>
                <w:lang w:eastAsia="zh-CN"/>
              </w:rPr>
            </w:pPr>
            <w:r>
              <w:rPr>
                <w:rFonts w:hint="eastAsia" w:ascii="仿宋_GB2312" w:eastAsia="仿宋_GB2312"/>
                <w:color w:val="auto"/>
                <w:sz w:val="32"/>
                <w:szCs w:val="32"/>
                <w:lang w:val="en-US" w:eastAsia="zh-CN"/>
              </w:rPr>
              <w:t>孙源</w:t>
            </w:r>
          </w:p>
        </w:tc>
        <w:tc>
          <w:tcPr>
            <w:tcW w:w="1941" w:type="dxa"/>
            <w:vAlign w:val="center"/>
          </w:tcPr>
          <w:p>
            <w:pPr>
              <w:adjustRightInd w:val="0"/>
              <w:snapToGrid w:val="0"/>
              <w:spacing w:line="360" w:lineRule="auto"/>
              <w:jc w:val="center"/>
              <w:rPr>
                <w:rFonts w:ascii="仿宋_GB2312" w:eastAsia="仿宋_GB2312"/>
                <w:color w:val="auto"/>
                <w:sz w:val="32"/>
                <w:szCs w:val="32"/>
              </w:rPr>
            </w:pPr>
            <w:r>
              <w:rPr>
                <w:rFonts w:hint="eastAsia" w:ascii="仿宋_GB2312" w:eastAsia="仿宋_GB2312"/>
                <w:color w:val="auto"/>
                <w:sz w:val="32"/>
                <w:szCs w:val="32"/>
              </w:rPr>
              <w:t>民政局</w:t>
            </w:r>
          </w:p>
        </w:tc>
        <w:tc>
          <w:tcPr>
            <w:tcW w:w="1418" w:type="dxa"/>
            <w:vAlign w:val="center"/>
          </w:tcPr>
          <w:p>
            <w:pPr>
              <w:adjustRightInd w:val="0"/>
              <w:snapToGrid w:val="0"/>
              <w:spacing w:line="360" w:lineRule="auto"/>
              <w:jc w:val="center"/>
              <w:rPr>
                <w:rFonts w:ascii="仿宋_GB2312" w:eastAsia="仿宋_GB2312"/>
                <w:color w:val="auto"/>
                <w:sz w:val="32"/>
                <w:szCs w:val="32"/>
              </w:rPr>
            </w:pPr>
            <w:r>
              <w:rPr>
                <w:rFonts w:hint="eastAsia" w:ascii="仿宋_GB2312" w:eastAsia="仿宋_GB2312"/>
                <w:color w:val="auto"/>
                <w:sz w:val="32"/>
                <w:szCs w:val="32"/>
              </w:rPr>
              <w:t>科员</w:t>
            </w:r>
          </w:p>
        </w:tc>
        <w:tc>
          <w:tcPr>
            <w:tcW w:w="1060" w:type="dxa"/>
            <w:vAlign w:val="center"/>
          </w:tcPr>
          <w:p>
            <w:pPr>
              <w:adjustRightInd w:val="0"/>
              <w:snapToGrid w:val="0"/>
              <w:spacing w:line="360" w:lineRule="auto"/>
              <w:jc w:val="center"/>
              <w:rPr>
                <w:rFonts w:ascii="仿宋_GB2312" w:eastAsia="仿宋_GB2312"/>
                <w:color w:val="auto"/>
                <w:sz w:val="32"/>
                <w:szCs w:val="32"/>
              </w:rPr>
            </w:pPr>
            <w:r>
              <w:rPr>
                <w:rFonts w:hint="eastAsia" w:ascii="仿宋_GB2312" w:eastAsia="仿宋_GB2312"/>
                <w:color w:val="auto"/>
                <w:sz w:val="32"/>
                <w:szCs w:val="32"/>
              </w:rPr>
              <w:t>无</w:t>
            </w:r>
          </w:p>
        </w:tc>
        <w:tc>
          <w:tcPr>
            <w:tcW w:w="3353" w:type="dxa"/>
            <w:vAlign w:val="center"/>
          </w:tcPr>
          <w:p>
            <w:pPr>
              <w:adjustRightInd w:val="0"/>
              <w:snapToGrid w:val="0"/>
              <w:spacing w:line="360" w:lineRule="auto"/>
              <w:jc w:val="center"/>
              <w:rPr>
                <w:rFonts w:hint="eastAsia" w:ascii="仿宋_GB2312" w:eastAsia="仿宋_GB2312"/>
                <w:color w:val="auto"/>
                <w:sz w:val="32"/>
                <w:szCs w:val="32"/>
              </w:rPr>
            </w:pPr>
            <w:r>
              <w:rPr>
                <w:rFonts w:hint="eastAsia" w:ascii="仿宋_GB2312" w:eastAsia="仿宋_GB2312"/>
                <w:color w:val="auto"/>
                <w:sz w:val="32"/>
                <w:szCs w:val="32"/>
                <w:lang w:val="en-US" w:eastAsia="zh-CN"/>
              </w:rPr>
              <w:t>孙源</w:t>
            </w:r>
            <w:bookmarkStart w:id="0" w:name="_GoBack"/>
            <w:bookmarkEnd w:id="0"/>
          </w:p>
        </w:tc>
      </w:tr>
    </w:tbl>
    <w:p>
      <w:pPr>
        <w:adjustRightInd w:val="0"/>
        <w:snapToGrid w:val="0"/>
        <w:spacing w:line="360" w:lineRule="auto"/>
        <w:ind w:firstLine="640" w:firstLineChars="200"/>
        <w:rPr>
          <w:rFonts w:ascii="仿宋_GB2312" w:eastAsia="仿宋_GB2312"/>
          <w:sz w:val="32"/>
          <w:szCs w:val="32"/>
        </w:rPr>
      </w:pPr>
    </w:p>
    <w:p>
      <w:pPr>
        <w:rPr>
          <w:rFonts w:ascii="仿宋_GB2312"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rPr>
          <w:rFonts w:ascii="仿宋_GB2312" w:hAnsi="宋体" w:eastAsia="仿宋_GB2312"/>
          <w:sz w:val="32"/>
          <w:szCs w:val="32"/>
        </w:rPr>
      </w:pPr>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0369656"/>
    <w:multiLevelType w:val="singleLevel"/>
    <w:tmpl w:val="B0369656"/>
    <w:lvl w:ilvl="0" w:tentative="0">
      <w:start w:val="2"/>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51B66"/>
    <w:rsid w:val="00162EFA"/>
    <w:rsid w:val="00341B7A"/>
    <w:rsid w:val="00413A9B"/>
    <w:rsid w:val="00497A0A"/>
    <w:rsid w:val="00681AF2"/>
    <w:rsid w:val="00794544"/>
    <w:rsid w:val="0097625A"/>
    <w:rsid w:val="00A04495"/>
    <w:rsid w:val="00A60B07"/>
    <w:rsid w:val="00BF0350"/>
    <w:rsid w:val="00C87316"/>
    <w:rsid w:val="00F94A83"/>
    <w:rsid w:val="00FA5A6B"/>
    <w:rsid w:val="037A6016"/>
    <w:rsid w:val="03852145"/>
    <w:rsid w:val="05A45C34"/>
    <w:rsid w:val="079633EC"/>
    <w:rsid w:val="08265E6D"/>
    <w:rsid w:val="08566669"/>
    <w:rsid w:val="090D6100"/>
    <w:rsid w:val="0F3A1359"/>
    <w:rsid w:val="0F6A273F"/>
    <w:rsid w:val="1201162E"/>
    <w:rsid w:val="135B0E70"/>
    <w:rsid w:val="16FF1536"/>
    <w:rsid w:val="1C7E5FAA"/>
    <w:rsid w:val="21DC4F4C"/>
    <w:rsid w:val="2264566A"/>
    <w:rsid w:val="24626F06"/>
    <w:rsid w:val="2724621B"/>
    <w:rsid w:val="28A80B5B"/>
    <w:rsid w:val="2A2941B7"/>
    <w:rsid w:val="2E9A54CF"/>
    <w:rsid w:val="332E5EA3"/>
    <w:rsid w:val="357A0875"/>
    <w:rsid w:val="3938667D"/>
    <w:rsid w:val="41A17793"/>
    <w:rsid w:val="4CA75B65"/>
    <w:rsid w:val="4E5932DE"/>
    <w:rsid w:val="50163226"/>
    <w:rsid w:val="5BB519E8"/>
    <w:rsid w:val="63B42156"/>
    <w:rsid w:val="6FC7706F"/>
    <w:rsid w:val="71555C46"/>
    <w:rsid w:val="749937CF"/>
    <w:rsid w:val="76C55E91"/>
    <w:rsid w:val="77795FC4"/>
    <w:rsid w:val="787F02EA"/>
    <w:rsid w:val="788D6679"/>
    <w:rsid w:val="79E4215B"/>
    <w:rsid w:val="7A1133EB"/>
    <w:rsid w:val="7F183603"/>
    <w:rsid w:val="7F2B02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7">
    <w:name w:val="page number"/>
    <w:basedOn w:val="6"/>
    <w:qFormat/>
    <w:uiPriority w:val="0"/>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221</Words>
  <Characters>1260</Characters>
  <Lines>10</Lines>
  <Paragraphs>2</Paragraphs>
  <TotalTime>0</TotalTime>
  <ScaleCrop>false</ScaleCrop>
  <LinksUpToDate>false</LinksUpToDate>
  <CharactersWithSpaces>1479</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2020-01-06T09:27:49Z</cp:lastPrinted>
  <dcterms:modified xsi:type="dcterms:W3CDTF">2020-01-06T09:28:03Z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