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center"/>
        <w:textAlignment w:val="auto"/>
        <w:rPr>
          <w:rFonts w:hint="eastAsia" w:cs="黑体" w:asciiTheme="minorEastAsia" w:hAnsiTheme="minorEastAsia" w:eastAsiaTheme="minorEastAsia"/>
          <w:b/>
          <w:bCs/>
          <w:sz w:val="36"/>
          <w:szCs w:val="36"/>
          <w:lang w:eastAsia="zh-CN"/>
        </w:rPr>
      </w:pPr>
      <w:r>
        <w:rPr>
          <w:rFonts w:hint="eastAsia" w:cs="黑体" w:asciiTheme="minorEastAsia" w:hAnsiTheme="minorEastAsia" w:eastAsiaTheme="minorEastAsia"/>
          <w:b/>
          <w:bCs/>
          <w:sz w:val="36"/>
          <w:szCs w:val="36"/>
          <w:lang w:eastAsia="zh-CN"/>
        </w:rPr>
        <w:t>居家养老服务中心运营评估</w:t>
      </w:r>
    </w:p>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宋体"/>
          <w:b/>
          <w:bCs/>
          <w:sz w:val="36"/>
          <w:szCs w:val="32"/>
        </w:rPr>
      </w:pPr>
      <w:r>
        <w:rPr>
          <w:rFonts w:hint="eastAsia" w:asciiTheme="minorEastAsia" w:hAnsiTheme="minorEastAsia" w:eastAsiaTheme="minorEastAsia"/>
          <w:b/>
          <w:bCs/>
          <w:sz w:val="36"/>
          <w:szCs w:val="32"/>
        </w:rPr>
        <w:t>项目</w:t>
      </w:r>
      <w:r>
        <w:rPr>
          <w:rFonts w:hint="eastAsia" w:ascii="宋体"/>
          <w:b/>
          <w:bCs/>
          <w:sz w:val="36"/>
          <w:szCs w:val="32"/>
        </w:rPr>
        <w:t>绩效评价报告</w:t>
      </w:r>
    </w:p>
    <w:p>
      <w:pPr>
        <w:keepNext w:val="0"/>
        <w:keepLines w:val="0"/>
        <w:pageBreakBefore w:val="0"/>
        <w:widowControl w:val="0"/>
        <w:kinsoku/>
        <w:wordWrap/>
        <w:overflowPunct/>
        <w:topLinePunct w:val="0"/>
        <w:autoSpaceDE/>
        <w:autoSpaceDN/>
        <w:bidi w:val="0"/>
        <w:spacing w:line="560" w:lineRule="exact"/>
        <w:jc w:val="center"/>
        <w:textAlignment w:val="auto"/>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sz w:val="32"/>
          <w:szCs w:val="32"/>
          <w:lang w:eastAsia="zh-CN"/>
        </w:rPr>
        <w:t>居家养老服务中心运营评估</w:t>
      </w:r>
      <w:r>
        <w:rPr>
          <w:rFonts w:hint="eastAsia" w:ascii="仿宋_GB2312" w:eastAsia="仿宋_GB2312"/>
          <w:sz w:val="32"/>
          <w:szCs w:val="32"/>
        </w:rPr>
        <w:t>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1.项目主要实施内容和范围；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rPr>
      </w:pPr>
      <w:r>
        <w:rPr>
          <w:rFonts w:hint="eastAsia" w:ascii="仿宋_GB2312" w:hAnsi="仿宋_GB2312" w:eastAsia="仿宋_GB2312" w:cs="仿宋_GB2312"/>
          <w:color w:val="000000"/>
          <w:sz w:val="32"/>
          <w:szCs w:val="32"/>
          <w:lang w:val="en-US" w:eastAsia="zh-CN"/>
        </w:rPr>
        <w:t>对</w:t>
      </w:r>
      <w:r>
        <w:rPr>
          <w:rFonts w:hint="eastAsia" w:ascii="仿宋_GB2312" w:hAnsi="仿宋_GB2312" w:eastAsia="仿宋_GB2312" w:cs="仿宋_GB2312"/>
          <w:color w:val="000000"/>
          <w:sz w:val="32"/>
          <w:szCs w:val="32"/>
        </w:rPr>
        <w:t>达到相关建设和运营要求且由社会力量运营的居家养老服务中心、日间照料中心、嵌入式社区照护中心，投入运营满一年后，按照建设规模、上年度服务流量、服务内容、服务满意度等因素给予运营补贴。</w:t>
      </w:r>
      <w:r>
        <w:rPr>
          <w:rFonts w:hint="eastAsia" w:ascii="仿宋_GB2312" w:hAnsi="仿宋_GB2312" w:eastAsia="仿宋_GB2312" w:cs="仿宋_GB2312"/>
          <w:color w:val="000000"/>
          <w:sz w:val="32"/>
          <w:szCs w:val="32"/>
          <w:lang w:eastAsia="zh-CN"/>
        </w:rPr>
        <w:t>居家养老服务中心运营情况需由第三方评估组织进行评估，作为发放运营补贴的依据</w:t>
      </w:r>
      <w:r>
        <w:rPr>
          <w:rFonts w:hint="eastAsia" w:ascii="仿宋_GB2312" w:eastAsia="仿宋_GB2312" w:cs="宋体"/>
          <w:kern w:val="0"/>
          <w:sz w:val="32"/>
          <w:szCs w:val="32"/>
          <w:lang w:val="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3.项目资金投入情况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eastAsia="zh-CN"/>
        </w:rPr>
        <w:t>我区</w:t>
      </w:r>
      <w:r>
        <w:rPr>
          <w:rFonts w:hint="eastAsia" w:ascii="仿宋_GB2312" w:hAnsi="仿宋_GB2312" w:eastAsia="仿宋_GB2312" w:cs="仿宋_GB2312"/>
          <w:color w:val="000000"/>
          <w:sz w:val="32"/>
          <w:szCs w:val="32"/>
          <w:lang w:val="en-US" w:eastAsia="zh-CN"/>
        </w:rPr>
        <w:t>2019年运营的综合居家养老服务中心12家，标准化居家养老服务中心7家，共计19家。参照石家庄市民政局聘请第三方评估公司费用，按照每家2000元的评估费用计算，需评估资金38000元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eastAsia="仿宋_GB2312"/>
          <w:sz w:val="32"/>
          <w:szCs w:val="32"/>
          <w:lang w:val="en-US" w:eastAsia="zh-CN"/>
        </w:rPr>
      </w:pPr>
      <w:r>
        <w:rPr>
          <w:rFonts w:hint="eastAsia" w:ascii="仿宋_GB2312" w:hAnsi="楷体_GB2312" w:eastAsia="仿宋_GB2312" w:cs="楷体_GB2312"/>
          <w:bCs/>
          <w:sz w:val="32"/>
          <w:szCs w:val="32"/>
          <w:lang w:val="en-US" w:eastAsia="zh-CN"/>
        </w:rPr>
        <w:t>2019年我区居家养老服务中心申请运营补贴15家，4家因运营不善主动放弃运营补贴。2019年实际评估15家，通过第三方评估的方式，使政府资金充分有效的使用。</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ascii="黑体" w:hAnsi="黑体" w:eastAsia="黑体" w:cs="黑体"/>
          <w:b/>
          <w:bCs/>
          <w:sz w:val="32"/>
          <w:szCs w:val="32"/>
        </w:rPr>
      </w:pPr>
      <w:r>
        <w:rPr>
          <w:rFonts w:hint="eastAsia" w:ascii="黑体" w:hAnsi="黑体" w:eastAsia="黑体" w:cs="黑体"/>
          <w:b/>
          <w:bCs/>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keepNext w:val="0"/>
        <w:keepLines w:val="0"/>
        <w:pageBreakBefore w:val="0"/>
        <w:widowControl w:val="0"/>
        <w:kinsoku/>
        <w:wordWrap/>
        <w:overflowPunct/>
        <w:topLinePunct w:val="0"/>
        <w:autoSpaceDE/>
        <w:autoSpaceDN/>
        <w:bidi w:val="0"/>
        <w:spacing w:line="560" w:lineRule="exact"/>
        <w:ind w:firstLine="645"/>
        <w:textAlignment w:val="auto"/>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keepNext w:val="0"/>
        <w:keepLines w:val="0"/>
        <w:pageBreakBefore w:val="0"/>
        <w:widowControl w:val="0"/>
        <w:kinsoku/>
        <w:wordWrap/>
        <w:overflowPunct/>
        <w:topLinePunct w:val="0"/>
        <w:autoSpaceDE/>
        <w:autoSpaceDN/>
        <w:bidi w:val="0"/>
        <w:spacing w:line="560" w:lineRule="exact"/>
        <w:textAlignment w:val="auto"/>
        <w:rPr>
          <w:rFonts w:hint="eastAsia"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keepNext w:val="0"/>
        <w:keepLines w:val="0"/>
        <w:pageBreakBefore w:val="0"/>
        <w:widowControl w:val="0"/>
        <w:kinsoku/>
        <w:wordWrap/>
        <w:overflowPunct/>
        <w:topLinePunct w:val="0"/>
        <w:autoSpaceDE/>
        <w:autoSpaceDN/>
        <w:bidi w:val="0"/>
        <w:spacing w:line="560" w:lineRule="exact"/>
        <w:textAlignment w:val="auto"/>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hint="eastAsia" w:ascii="仿宋_GB2312" w:eastAsia="仿宋_GB2312"/>
          <w:bCs/>
          <w:sz w:val="32"/>
          <w:szCs w:val="32"/>
        </w:rPr>
        <w:t>1、项目立项规范性、资金到位率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hint="eastAsia" w:ascii="仿宋_GB2312" w:eastAsia="仿宋_GB2312"/>
          <w:bCs/>
          <w:sz w:val="32"/>
          <w:szCs w:val="32"/>
        </w:rPr>
        <w:t>3、实际完成率、质量达标率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hint="eastAsia" w:ascii="仿宋_GB2312" w:eastAsia="仿宋_GB2312"/>
          <w:bCs/>
          <w:sz w:val="32"/>
          <w:szCs w:val="32"/>
        </w:rPr>
        <w:t>4、服务对象满意度、社会效益</w:t>
      </w:r>
    </w:p>
    <w:p>
      <w:pPr>
        <w:keepNext w:val="0"/>
        <w:keepLines w:val="0"/>
        <w:pageBreakBefore w:val="0"/>
        <w:widowControl w:val="0"/>
        <w:kinsoku/>
        <w:wordWrap/>
        <w:overflowPunct/>
        <w:topLinePunct w:val="0"/>
        <w:autoSpaceDE/>
        <w:autoSpaceDN/>
        <w:bidi w:val="0"/>
        <w:spacing w:line="560" w:lineRule="exact"/>
        <w:textAlignment w:val="auto"/>
        <w:rPr>
          <w:rFonts w:ascii="黑体" w:hAnsi="黑体" w:eastAsia="黑体" w:cs="黑体"/>
          <w:b/>
          <w:bCs/>
          <w:sz w:val="32"/>
          <w:szCs w:val="32"/>
        </w:rPr>
      </w:pPr>
      <w:r>
        <w:rPr>
          <w:rFonts w:hint="eastAsia" w:ascii="黑体" w:hAnsi="黑体" w:eastAsia="黑体" w:cs="黑体"/>
          <w:sz w:val="32"/>
          <w:szCs w:val="32"/>
        </w:rPr>
        <w:t>三、项目执行及绩效实现情况</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w:t>
      </w:r>
      <w:r>
        <w:rPr>
          <w:rFonts w:ascii="仿宋_GB2312" w:hAnsi="楷体_GB2312" w:eastAsia="仿宋_GB2312"/>
          <w:color w:val="000000"/>
          <w:sz w:val="32"/>
          <w:szCs w:val="32"/>
          <w:shd w:val="clear" w:color="auto" w:fill="FFFFFF"/>
        </w:rPr>
        <w:t>100%</w:t>
      </w:r>
      <w:r>
        <w:rPr>
          <w:rFonts w:hint="eastAsia" w:ascii="仿宋_GB2312" w:hAnsi="楷体_GB2312" w:eastAsia="仿宋_GB2312"/>
          <w:color w:val="000000"/>
          <w:sz w:val="32"/>
          <w:szCs w:val="32"/>
          <w:shd w:val="clear" w:color="auto" w:fill="FFFFFF"/>
        </w:rPr>
        <w:t>。</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keepNext w:val="0"/>
        <w:keepLines w:val="0"/>
        <w:pageBreakBefore w:val="0"/>
        <w:widowControl w:val="0"/>
        <w:kinsoku/>
        <w:wordWrap/>
        <w:overflowPunct/>
        <w:topLinePunct w:val="0"/>
        <w:autoSpaceDE/>
        <w:autoSpaceDN/>
        <w:bidi w:val="0"/>
        <w:spacing w:line="560" w:lineRule="exact"/>
        <w:textAlignment w:val="auto"/>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olor w:val="000000"/>
          <w:sz w:val="22"/>
          <w:shd w:val="clear" w:color="auto" w:fill="FFFFFF"/>
        </w:rPr>
      </w:pPr>
      <w:r>
        <w:rPr>
          <w:rFonts w:hint="eastAsia" w:ascii="仿宋_GB2312" w:eastAsia="仿宋_GB2312"/>
          <w:sz w:val="32"/>
          <w:szCs w:val="32"/>
        </w:rPr>
        <w:t>1、</w:t>
      </w:r>
      <w:r>
        <w:rPr>
          <w:rFonts w:ascii="仿宋_GB2312" w:eastAsia="仿宋_GB2312"/>
          <w:sz w:val="32"/>
          <w:szCs w:val="32"/>
        </w:rPr>
        <w:t>实际完成率=</w:t>
      </w:r>
      <w:r>
        <w:rPr>
          <w:rFonts w:hint="eastAsia" w:ascii="仿宋_GB2312" w:eastAsia="仿宋_GB2312"/>
          <w:sz w:val="32"/>
          <w:szCs w:val="32"/>
          <w:lang w:val="en-US" w:eastAsia="zh-CN"/>
        </w:rPr>
        <w:t>80</w:t>
      </w:r>
      <w:r>
        <w:rPr>
          <w:rFonts w:ascii="仿宋_GB2312" w:eastAsia="仿宋_GB2312"/>
          <w:sz w:val="32"/>
          <w:szCs w:val="32"/>
        </w:rPr>
        <w:t>%</w:t>
      </w:r>
      <w:r>
        <w:rPr>
          <w:rFonts w:ascii="楷体_GB2312" w:hAnsi="楷体_GB2312" w:eastAsia="楷体_GB2312"/>
          <w:color w:val="000000"/>
          <w:sz w:val="22"/>
          <w:shd w:val="clear" w:color="auto" w:fill="FFFFFF"/>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2、</w:t>
      </w:r>
      <w:r>
        <w:rPr>
          <w:rFonts w:ascii="仿宋_GB2312" w:eastAsia="仿宋_GB2312"/>
          <w:sz w:val="32"/>
          <w:szCs w:val="32"/>
        </w:rPr>
        <w:t>质量达标率=100%。</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1、社会效益。</w:t>
      </w:r>
      <w:r>
        <w:rPr>
          <w:rFonts w:hint="eastAsia" w:ascii="仿宋_GB2312" w:eastAsia="仿宋_GB2312"/>
          <w:sz w:val="32"/>
          <w:szCs w:val="32"/>
          <w:lang w:eastAsia="zh-CN"/>
        </w:rPr>
        <w:t>通过第三方评估公司专项评估，使政府投入资金能够安全有效使用</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b/>
          <w:bCs/>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eastAsia="zh-CN"/>
              </w:rPr>
              <w:t>李竹开</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eastAsia="zh-CN"/>
              </w:rPr>
              <w:t>李竹开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eastAsia="zh-CN"/>
              </w:rPr>
              <w:t>王志友</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eastAsia="zh-CN"/>
              </w:rPr>
              <w:t>科员</w:t>
            </w:r>
          </w:p>
        </w:tc>
        <w:tc>
          <w:tcPr>
            <w:tcW w:w="1060"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eastAsia="zh-CN"/>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eastAsia="zh-CN"/>
              </w:rPr>
              <w:t>王志友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eastAsia="zh-CN"/>
              </w:rPr>
              <w:t>孙源</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eastAsia="zh-CN"/>
              </w:rPr>
              <w:t>孙源</w:t>
            </w:r>
            <w:bookmarkStart w:id="0" w:name="_GoBack"/>
            <w:bookmarkEnd w:id="0"/>
          </w:p>
        </w:tc>
      </w:tr>
    </w:tbl>
    <w:p>
      <w:pPr>
        <w:adjustRightInd w:val="0"/>
        <w:snapToGrid w:val="0"/>
        <w:spacing w:line="360" w:lineRule="auto"/>
        <w:ind w:firstLine="640" w:firstLineChars="200"/>
        <w:rPr>
          <w:rFonts w:ascii="仿宋_GB2312" w:eastAsia="仿宋_GB2312"/>
          <w:sz w:val="32"/>
          <w:szCs w:val="32"/>
        </w:rPr>
      </w:pPr>
    </w:p>
    <w:p>
      <w:pPr>
        <w:rPr>
          <w:rFonts w:ascii="仿宋_GB2312" w:eastAsia="仿宋_GB2312"/>
          <w:sz w:val="32"/>
          <w:szCs w:val="32"/>
        </w:rPr>
      </w:pPr>
    </w:p>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162EFA"/>
    <w:rsid w:val="00341B7A"/>
    <w:rsid w:val="00413A9B"/>
    <w:rsid w:val="00497A0A"/>
    <w:rsid w:val="00681AF2"/>
    <w:rsid w:val="00794544"/>
    <w:rsid w:val="0097625A"/>
    <w:rsid w:val="00A04495"/>
    <w:rsid w:val="00A60B07"/>
    <w:rsid w:val="00BF0350"/>
    <w:rsid w:val="00C87316"/>
    <w:rsid w:val="00F94A83"/>
    <w:rsid w:val="00FA5A6B"/>
    <w:rsid w:val="1A4B79B0"/>
    <w:rsid w:val="1C0919D5"/>
    <w:rsid w:val="2A2941B7"/>
    <w:rsid w:val="4AC206AD"/>
    <w:rsid w:val="57603C94"/>
    <w:rsid w:val="645575F7"/>
    <w:rsid w:val="73FF18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221</Words>
  <Characters>1260</Characters>
  <Lines>10</Lines>
  <Paragraphs>2</Paragraphs>
  <TotalTime>0</TotalTime>
  <ScaleCrop>false</ScaleCrop>
  <LinksUpToDate>false</LinksUpToDate>
  <CharactersWithSpaces>1479</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2020-01-06T09:29:06Z</cp:lastPrinted>
  <dcterms:modified xsi:type="dcterms:W3CDTF">2020-01-06T09:29:38Z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