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bookmarkEnd w:id="1"/>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321560" cy="553720"/>
                <wp:effectExtent l="0" t="0" r="0" b="0"/>
                <wp:wrapNone/>
                <wp:docPr id="5" name="文本框 5"/>
                <wp:cNvGraphicFramePr/>
                <a:graphic xmlns:a="http://schemas.openxmlformats.org/drawingml/2006/main">
                  <a:graphicData uri="http://schemas.microsoft.com/office/word/2010/wordprocessingShape">
                    <wps:wsp>
                      <wps:cNvSpPr txBox="1"/>
                      <wps:spPr>
                        <a:xfrm>
                          <a:off x="2600960" y="9102725"/>
                          <a:ext cx="2321560" cy="5537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44"/>
                                <w:szCs w:val="52"/>
                                <w:lang w:val="en-US" w:eastAsia="zh-CN"/>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r>
                              <w:rPr>
                                <w:rFonts w:hint="eastAsia" w:ascii="楷体_GB2312" w:hAnsi="楷体_GB2312" w:eastAsia="楷体_GB2312" w:cs="楷体_GB2312"/>
                                <w:sz w:val="44"/>
                                <w:szCs w:val="52"/>
                                <w:lang w:val="en-US" w:eastAsia="zh-CN"/>
                              </w:rPr>
                              <w:t>9日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3.6pt;width:182.8pt;z-index:251666432;mso-width-relative:page;mso-height-relative:page;" filled="f" stroked="f" coordsize="21600,21600" o:gfxdata="UEsDBAoAAAAAAIdO4kAAAAAAAAAAAAAAAAAEAAAAZHJzL1BLAwQUAAAACACHTuJAsctDyt0AAAAN&#10;AQAADwAAAGRycy9kb3ducmV2LnhtbE2PzU7DMBCE70i8g7VI3KgdVwltGqdCkSokBIeWXrg58TaJ&#10;iO0Quz/w9CynctyZT7MzxfpiB3bCKfTeKUhmAhi6xpvetQr275uHBbAQtTN68A4VfGOAdXl7U+jc&#10;+LPb4mkXW0YhLuRaQRfjmHMemg6tDjM/oiPv4CerI51Ty82kzxRuBy6FyLjVvaMPnR6x6rD53B2t&#10;gpdq86a3tbSLn6F6fj08jV/7j1Sp+7tErIBFvMQrDH/1qTqU1Kn2R2cCGxTINEsJJUPOlzSCkEzK&#10;BFhN0lw+CuBlwf+vKH8BUEsDBBQAAAAIAIdO4kAjrBVhKgIAACQEAAAOAAAAZHJzL2Uyb0RvYy54&#10;bWytU0uOEzEQ3SNxB8t70p+kMyRKZxRmFIQUMSMFxNpx2+mW/MN20h0OADeYFRv2nCvnoOxOMhGw&#10;Qmzc1a7n+rx6NbvtpEB7Zl2jVYmzQYoRU1RXjdqW+OOH5avXGDlPVEWEVqzEB+bw7fzli1lrpizX&#10;tRYVswiCKDdtTYlr7800SRytmSRuoA1T4OTaSuLh126TypIWokuR5Gk6TlptK2M1Zc7B7X3vxPMY&#10;n3NG/QPnjnkkSgy1+XjaeG7CmcxnZLq1xNQNPZVB/qEKSRoFSS+h7oknaGebP0LJhlrtNPcDqmWi&#10;OW8oiz1AN1n6WzfrmhgWewFynLnQ5P5fWPp+/2hRU5W4wEgRCSM6Pn07fv95/PEVFYGe1rgpoNYG&#10;cL57ozsY8/newWXouuNWhi/0g8Cfj9N0Mga6DyWeZGl+k8dIZMo6j2gADPOsCAAKiKIY3uRxEslz&#10;JGOdf8u0RMEosYVBRn7JfuU8VAXQMyQkVnrZCBGHKRRqSzweFml8cPHAC6HgYeinrztYvtt0pyY3&#10;ujpAj1b3InGGLhtIviLOPxILqoB6Qen+AQ4uNCTRJwujWtsvf7sPeBgWeDFqQWUldp93xDKMxDsF&#10;Y5xko1GQZfwZFYEHZK89m2uP2sk7DULOYKcMjWbAe3E2udXyEyzEImQFF1EUcpfYn80732sfFoqy&#10;xSKCQIiG+JVaGxpC93Qudl7zJjIdaOq5ObEHUowDOK1N0Pr1f0Q9L/f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HLQ8rdAAAADQEAAA8AAAAAAAAAAQAgAAAAIgAAAGRycy9kb3ducmV2LnhtbFBL&#10;AQIUABQAAAAIAIdO4kAjrBVhKgIAACQEAAAOAAAAAAAAAAEAIAAAACwBAABkcnMvZTJvRG9jLnht&#10;bFBLBQYAAAAABgAGAFkBAADIBQAAAAA=&#10;">
                <v:fill on="f" focussize="0,0"/>
                <v:stroke on="f" weight="0.5pt"/>
                <v:imagedata o:title=""/>
                <o:lock v:ext="edit" aspectratio="f"/>
                <v:textbox>
                  <w:txbxContent>
                    <w:p>
                      <w:pPr>
                        <w:jc w:val="center"/>
                        <w:rPr>
                          <w:rFonts w:hint="eastAsia" w:ascii="楷体_GB2312" w:hAnsi="楷体_GB2312" w:eastAsia="楷体_GB2312" w:cs="楷体_GB2312"/>
                          <w:sz w:val="44"/>
                          <w:szCs w:val="52"/>
                          <w:lang w:val="en-US" w:eastAsia="zh-CN"/>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r>
                        <w:rPr>
                          <w:rFonts w:hint="eastAsia" w:ascii="楷体_GB2312" w:hAnsi="楷体_GB2312" w:eastAsia="楷体_GB2312" w:cs="楷体_GB2312"/>
                          <w:sz w:val="44"/>
                          <w:szCs w:val="52"/>
                          <w:lang w:val="en-US" w:eastAsia="zh-CN"/>
                        </w:rPr>
                        <w:t>9日</w:t>
                      </w:r>
                    </w:p>
                  </w:txbxContent>
                </v:textbox>
              </v:shape>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6"/>
                    <a:stretch>
                      <a:fillRect/>
                    </a:stretch>
                  </pic:blipFill>
                  <pic:spPr>
                    <a:xfrm>
                      <a:off x="0" y="0"/>
                      <a:ext cx="7592060" cy="10739755"/>
                    </a:xfrm>
                    <a:prstGeom prst="rect">
                      <a:avLst/>
                    </a:prstGeom>
                  </pic:spPr>
                </pic:pic>
              </a:graphicData>
            </a:graphic>
          </wp:anchor>
        </w:drawing>
      </w:r>
      <w:r>
        <w:br w:type="page"/>
      </w:r>
    </w:p>
    <w:p>
      <w:pPr>
        <w:ind w:firstLine="1440" w:firstLineChars="200"/>
        <w:rPr>
          <w:rFonts w:hint="eastAsia" w:ascii="黑体" w:hAnsi="黑体" w:eastAsia="黑体" w:cs="黑体"/>
          <w:sz w:val="72"/>
          <w:szCs w:val="96"/>
          <w:lang w:eastAsia="zh-CN"/>
        </w:rPr>
      </w:pPr>
      <w:r>
        <w:rPr>
          <w:rFonts w:hint="eastAsia" w:ascii="黑体" w:hAnsi="黑体" w:eastAsia="黑体" w:cs="黑体"/>
          <w:sz w:val="72"/>
          <w:szCs w:val="96"/>
          <w:lang w:eastAsia="zh-CN"/>
        </w:rPr>
        <w:t>鹿泉区民政局（汇总）</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九日</w:t>
      </w:r>
    </w:p>
    <w:p>
      <w:pPr>
        <w:jc w:val="both"/>
        <w:rPr>
          <w:rFonts w:ascii="黑体" w:hAnsi="黑体" w:eastAsia="黑体" w:cs="黑体"/>
          <w:sz w:val="56"/>
          <w:szCs w:val="72"/>
          <w:highlight w:val="yellow"/>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1" w:type="first"/>
          <w:footerReference r:id="rId13" w:type="first"/>
          <w:headerReference r:id="rId10" w:type="default"/>
          <w:footerReference r:id="rId12"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7"/>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（一）主要部门职能</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1.贯彻执行民政工作的方针政策和法律法规；研究提出全区民政事业的发展规划和年度工作计划。负责全区民政信息宣传和政策理论研究工作，负责全区民政执法监督检查、行政复议工作。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3.承担城乡社会救助体系建设；负责城乡居民最低生活保障、五保供养、临时救助和生活无着人员救助工作，以及其它特殊救济对象的救济、60年代精减退职职工40%的救济；负责指导全区敬老院的建设和管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4.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5.负责全区扶贫开发工作。按照《鹿泉市扶贫开发规划》落实各扶贫重点村的扶贫项目，管好用好扶贫资金和物资；做好各级帮扶单位的协调、服务工作；完成扶贫培训任务，动员全社会开展扶贫济困活动；认真做好各种数据报表、文字材料上报工作；做好扶贫开发的信息宣传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6.拟订社会福利事业发展规划，做好各类福利机构的管理和服务工作；拟订加快养老服务社会化政策和老年福利设施建设规划；负责全区福利彩票销售管理工作；负责全区社会福利企业发展和管理工作，对社会福利生产企业进行指导和宏观管理。</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7.承担全区民办非企业及社团登记管理和监察责任；指导和监督全区社会团体和民办非企业单位的登记管理工作。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8.拟订全区慈善事业发展规划和政策，组织指导社会捐助工作；负责全区老年人、孤儿等特殊群体的权益保护行政管理工作。</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9</w:t>
      </w:r>
      <w:r>
        <w:rPr>
          <w:rFonts w:hint="eastAsia" w:ascii="仿宋" w:hAnsi="仿宋" w:eastAsia="仿宋" w:cs="Times New Roman"/>
          <w:sz w:val="32"/>
          <w:szCs w:val="32"/>
        </w:rPr>
        <w:t>.主管婚姻登记、殡葬管理和儿童收养工作；推行婚俗和殡葬改革工作，负责殡葬事业单位的管理建设工作。</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10</w:t>
      </w:r>
      <w:r>
        <w:rPr>
          <w:rFonts w:hint="eastAsia" w:ascii="仿宋" w:hAnsi="仿宋" w:eastAsia="仿宋" w:cs="Times New Roman"/>
          <w:sz w:val="32"/>
          <w:szCs w:val="32"/>
        </w:rPr>
        <w:t>.拟订加快养服务社会化政策和老年福利设施建设规划；协调老人维权工作；组织敬老爱老活动。</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1</w:t>
      </w:r>
      <w:r>
        <w:rPr>
          <w:rFonts w:hint="eastAsia" w:ascii="仿宋" w:hAnsi="仿宋" w:eastAsia="仿宋" w:cs="Times New Roman"/>
          <w:sz w:val="32"/>
          <w:szCs w:val="32"/>
        </w:rPr>
        <w:t>.拟订全区民政事业发展规划和民政事业资金管理办法；负责民政专项资金的管理监督；负责直属单位的内部审计工作；负责民政统计工作。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2</w:t>
      </w:r>
      <w:r>
        <w:rPr>
          <w:rFonts w:hint="eastAsia" w:ascii="仿宋" w:hAnsi="仿宋" w:eastAsia="仿宋" w:cs="Times New Roman"/>
          <w:sz w:val="32"/>
          <w:szCs w:val="32"/>
        </w:rPr>
        <w:t>.研究制定社会工作人才队伍建设规划，会同有关部门推进社会工作人才队伍建设。</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(二)机构情况，包括当年变动情况及原因。</w:t>
      </w:r>
    </w:p>
    <w:p>
      <w:pPr>
        <w:pStyle w:val="2"/>
        <w:spacing w:line="560" w:lineRule="exact"/>
        <w:ind w:firstLine="640" w:firstLineChars="200"/>
        <w:jc w:val="left"/>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石家庄市鹿泉区民政局为财政全额拨款一级预算单位，下属</w:t>
      </w:r>
      <w:r>
        <w:rPr>
          <w:rFonts w:ascii="Calibri" w:hAnsi="Calibri" w:eastAsia="仿宋" w:cs="Calibri"/>
          <w:b w:val="0"/>
          <w:bCs w:val="0"/>
          <w:kern w:val="2"/>
          <w:sz w:val="32"/>
          <w:szCs w:val="32"/>
        </w:rPr>
        <w:t> </w:t>
      </w:r>
      <w:r>
        <w:rPr>
          <w:rFonts w:hint="eastAsia" w:ascii="仿宋" w:hAnsi="仿宋" w:eastAsia="仿宋" w:cs="Times New Roman"/>
          <w:b w:val="0"/>
          <w:bCs w:val="0"/>
          <w:kern w:val="2"/>
          <w:sz w:val="32"/>
          <w:szCs w:val="32"/>
          <w:lang w:val="en-US" w:eastAsia="zh-CN"/>
        </w:rPr>
        <w:t>4</w:t>
      </w:r>
      <w:r>
        <w:rPr>
          <w:rFonts w:hint="eastAsia" w:ascii="仿宋" w:hAnsi="仿宋" w:eastAsia="仿宋" w:cs="Times New Roman"/>
          <w:b w:val="0"/>
          <w:bCs w:val="0"/>
          <w:kern w:val="2"/>
          <w:sz w:val="32"/>
          <w:szCs w:val="32"/>
        </w:rPr>
        <w:t>个二级预算单位，分别为：</w:t>
      </w:r>
      <w:r>
        <w:rPr>
          <w:rFonts w:hint="eastAsia" w:ascii="仿宋" w:hAnsi="仿宋" w:eastAsia="仿宋" w:cs="Times New Roman"/>
          <w:b w:val="0"/>
          <w:bCs w:val="0"/>
          <w:kern w:val="2"/>
          <w:sz w:val="32"/>
          <w:szCs w:val="32"/>
          <w:lang w:val="en-US" w:eastAsia="zh-CN"/>
        </w:rPr>
        <w:t>鹿泉区</w:t>
      </w:r>
      <w:r>
        <w:rPr>
          <w:rFonts w:hint="eastAsia" w:ascii="仿宋" w:hAnsi="仿宋" w:eastAsia="仿宋" w:cs="Times New Roman"/>
          <w:b w:val="0"/>
          <w:bCs w:val="0"/>
          <w:kern w:val="2"/>
          <w:sz w:val="32"/>
          <w:szCs w:val="32"/>
        </w:rPr>
        <w:t>殡仪馆、</w:t>
      </w:r>
      <w:r>
        <w:rPr>
          <w:rFonts w:hint="eastAsia" w:ascii="仿宋" w:hAnsi="仿宋" w:eastAsia="仿宋" w:cs="Times New Roman"/>
          <w:b w:val="0"/>
          <w:bCs w:val="0"/>
          <w:kern w:val="2"/>
          <w:sz w:val="32"/>
          <w:szCs w:val="32"/>
          <w:lang w:val="en-US" w:eastAsia="zh-CN"/>
        </w:rPr>
        <w:t>鹿泉区</w:t>
      </w:r>
      <w:r>
        <w:rPr>
          <w:rFonts w:hint="eastAsia" w:ascii="仿宋" w:hAnsi="仿宋" w:eastAsia="仿宋" w:cs="Times New Roman"/>
          <w:b w:val="0"/>
          <w:bCs w:val="0"/>
          <w:kern w:val="2"/>
          <w:sz w:val="32"/>
          <w:szCs w:val="32"/>
        </w:rPr>
        <w:t>民政事业中心服务中心</w:t>
      </w:r>
      <w:r>
        <w:rPr>
          <w:rFonts w:hint="eastAsia" w:ascii="仿宋" w:hAnsi="仿宋" w:eastAsia="仿宋" w:cs="Times New Roman"/>
          <w:b w:val="0"/>
          <w:bCs w:val="0"/>
          <w:kern w:val="2"/>
          <w:sz w:val="32"/>
          <w:szCs w:val="32"/>
          <w:lang w:eastAsia="zh-CN"/>
        </w:rPr>
        <w:t>、鹿泉区儿童福利院、鹿泉区福利彩票销售管理中心</w:t>
      </w:r>
      <w:r>
        <w:rPr>
          <w:rFonts w:hint="eastAsia" w:ascii="仿宋" w:hAnsi="仿宋" w:eastAsia="仿宋" w:cs="Times New Roman"/>
          <w:sz w:val="32"/>
          <w:szCs w:val="32"/>
        </w:rPr>
        <w:t>。</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（三）人员情况，包括当年变动情况及原因。</w:t>
      </w:r>
    </w:p>
    <w:p>
      <w:pPr>
        <w:widowControl/>
        <w:spacing w:after="160" w:line="580" w:lineRule="exact"/>
        <w:ind w:firstLine="1273" w:firstLineChars="398"/>
        <w:rPr>
          <w:rFonts w:ascii="仿宋" w:hAnsi="仿宋" w:eastAsia="仿宋" w:cs="Times New Roman"/>
          <w:sz w:val="32"/>
          <w:szCs w:val="32"/>
          <w:highlight w:val="none"/>
        </w:rPr>
      </w:pPr>
      <w:r>
        <w:rPr>
          <w:rFonts w:hint="eastAsia" w:ascii="仿宋" w:hAnsi="仿宋" w:eastAsia="仿宋" w:cs="Times New Roman"/>
          <w:sz w:val="32"/>
          <w:szCs w:val="32"/>
          <w:highlight w:val="none"/>
        </w:rPr>
        <w:t>行政编制</w:t>
      </w:r>
      <w:r>
        <w:rPr>
          <w:rFonts w:hint="eastAsia" w:ascii="仿宋" w:hAnsi="仿宋" w:eastAsia="仿宋" w:cs="Times New Roman"/>
          <w:sz w:val="32"/>
          <w:szCs w:val="32"/>
          <w:highlight w:val="none"/>
          <w:lang w:val="en-US" w:eastAsia="zh-CN"/>
        </w:rPr>
        <w:t>9</w:t>
      </w:r>
      <w:r>
        <w:rPr>
          <w:rFonts w:hint="eastAsia" w:ascii="仿宋" w:hAnsi="仿宋" w:eastAsia="仿宋" w:cs="Times New Roman"/>
          <w:sz w:val="32"/>
          <w:szCs w:val="32"/>
          <w:highlight w:val="none"/>
        </w:rPr>
        <w:t>人、行政在职1</w:t>
      </w:r>
      <w:r>
        <w:rPr>
          <w:rFonts w:ascii="仿宋" w:hAnsi="仿宋" w:eastAsia="仿宋" w:cs="Times New Roman"/>
          <w:sz w:val="32"/>
          <w:szCs w:val="32"/>
          <w:highlight w:val="none"/>
        </w:rPr>
        <w:t>1</w:t>
      </w:r>
      <w:r>
        <w:rPr>
          <w:rFonts w:hint="eastAsia" w:ascii="仿宋" w:hAnsi="仿宋" w:eastAsia="仿宋" w:cs="Times New Roman"/>
          <w:sz w:val="32"/>
          <w:szCs w:val="32"/>
          <w:highlight w:val="none"/>
        </w:rPr>
        <w:t>人、事业编制</w:t>
      </w:r>
      <w:r>
        <w:rPr>
          <w:rFonts w:hint="eastAsia" w:ascii="仿宋" w:hAnsi="仿宋" w:eastAsia="仿宋" w:cs="Times New Roman"/>
          <w:sz w:val="32"/>
          <w:szCs w:val="32"/>
          <w:highlight w:val="none"/>
          <w:lang w:val="en-US" w:eastAsia="zh-CN"/>
        </w:rPr>
        <w:t>36</w:t>
      </w:r>
      <w:r>
        <w:rPr>
          <w:rFonts w:hint="eastAsia" w:ascii="仿宋" w:hAnsi="仿宋" w:eastAsia="仿宋" w:cs="Times New Roman"/>
          <w:sz w:val="32"/>
          <w:szCs w:val="32"/>
          <w:highlight w:val="none"/>
        </w:rPr>
        <w:t>人、事业在职</w:t>
      </w:r>
      <w:r>
        <w:rPr>
          <w:rFonts w:hint="eastAsia" w:ascii="仿宋" w:hAnsi="仿宋" w:eastAsia="仿宋" w:cs="Times New Roman"/>
          <w:sz w:val="32"/>
          <w:szCs w:val="32"/>
          <w:highlight w:val="none"/>
          <w:lang w:val="en-US" w:eastAsia="zh-CN"/>
        </w:rPr>
        <w:t>34</w:t>
      </w:r>
      <w:r>
        <w:rPr>
          <w:rFonts w:hint="eastAsia" w:ascii="仿宋" w:hAnsi="仿宋" w:eastAsia="仿宋" w:cs="Times New Roman"/>
          <w:sz w:val="32"/>
          <w:szCs w:val="32"/>
          <w:highlight w:val="none"/>
        </w:rPr>
        <w:t>人。</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二、当年取得的主要事业成效。</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（一）是加强沟通协调，做好预算经费的争取工作。积极争取各项民政资金，挖掘政策依据，科学编制部门预算，争取资金超额到位，确保传统项目经费的递增、新增项目经费的落实和单位人员经费的正常运转。</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（二）是加强预算实施管理，确保预算执行进度。积极配合相关科室和二级单位，做好各项专项指标的录入和项目资金的争取、分配和拨付工作。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（三）是强化预算执行分析，促进支出结构优化。通过加大治理“三公”经费支出力度等措施，努力降低行政成本，提高预算执行率和资金使用效益。</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（四）是建立鹿泉区民政局资金监管制度及内部审计制度。</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（五）是做好民政统计工作，提高统计数据质量。会同各相关科室，按月完成石家庄市民政局布置的各项统计工作任务，并确保数据真实，及时上传台账和报表。</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（六）是建章立制促规范。从制度上、程序上规范各项民政资金的管理、使用和发放。进一步健全完善机关财务管理制度，加大对各项制度的执行力度。</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（七）因机构改革调整调入出人员工资、经费、专项资金、固定资产及解决涉军遗留问题等。</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（八）是认真做好单位人员劳资工作。完成人员调入、调出工资审批及工作人员住房、医疗等个人缴费工作。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九）是做好固定资产管理工作。为加强固定资产管理，确保固定资产账账相符、账实相符，按照区财政局固定资产清查的有关规定，对我局所有固定资产进行了全面的检查登记，避免了固定资产流失现象的发生。</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（十）</w:t>
      </w:r>
      <w:r>
        <w:rPr>
          <w:rFonts w:hint="eastAsia" w:ascii="仿宋" w:hAnsi="仿宋" w:eastAsia="仿宋" w:cs="Times New Roman"/>
          <w:color w:val="000000" w:themeColor="text1"/>
          <w:sz w:val="32"/>
          <w:szCs w:val="32"/>
          <w14:textFill>
            <w14:solidFill>
              <w14:schemeClr w14:val="tx1"/>
            </w14:solidFill>
          </w14:textFill>
        </w:rPr>
        <w:t>接受石家庄市财政局惠农“一卡通”检查、鹿泉区审计局养老服务体系专项审计、</w:t>
      </w:r>
      <w:r>
        <w:rPr>
          <w:rFonts w:hint="eastAsia" w:ascii="仿宋" w:hAnsi="仿宋" w:eastAsia="仿宋" w:cs="Times New Roman"/>
          <w:color w:val="000000" w:themeColor="text1"/>
          <w:sz w:val="32"/>
          <w:szCs w:val="32"/>
          <w:lang w:eastAsia="zh-CN"/>
          <w14:textFill>
            <w14:solidFill>
              <w14:schemeClr w14:val="tx1"/>
            </w14:solidFill>
          </w14:textFill>
        </w:rPr>
        <w:t>石家庄市审计局对</w:t>
      </w:r>
      <w:r>
        <w:rPr>
          <w:rFonts w:hint="eastAsia" w:ascii="仿宋" w:hAnsi="仿宋" w:eastAsia="仿宋" w:cs="Times New Roman"/>
          <w:color w:val="000000" w:themeColor="text1"/>
          <w:sz w:val="32"/>
          <w:szCs w:val="32"/>
          <w14:textFill>
            <w14:solidFill>
              <w14:schemeClr w14:val="tx1"/>
            </w14:solidFill>
          </w14:textFill>
        </w:rPr>
        <w:t>涉农</w:t>
      </w:r>
      <w:r>
        <w:rPr>
          <w:rFonts w:hint="eastAsia" w:ascii="仿宋" w:hAnsi="仿宋" w:eastAsia="仿宋" w:cs="Times New Roman"/>
          <w:color w:val="000000" w:themeColor="text1"/>
          <w:sz w:val="32"/>
          <w:szCs w:val="32"/>
          <w:lang w:eastAsia="zh-CN"/>
          <w14:textFill>
            <w14:solidFill>
              <w14:schemeClr w14:val="tx1"/>
            </w14:solidFill>
          </w14:textFill>
        </w:rPr>
        <w:t>扶贫</w:t>
      </w:r>
      <w:r>
        <w:rPr>
          <w:rFonts w:hint="eastAsia" w:ascii="仿宋" w:hAnsi="仿宋" w:eastAsia="仿宋" w:cs="Times New Roman"/>
          <w:color w:val="000000" w:themeColor="text1"/>
          <w:sz w:val="32"/>
          <w:szCs w:val="32"/>
          <w14:textFill>
            <w14:solidFill>
              <w14:schemeClr w14:val="tx1"/>
            </w14:solidFill>
          </w14:textFill>
        </w:rPr>
        <w:t>专项资金</w:t>
      </w:r>
      <w:r>
        <w:rPr>
          <w:rFonts w:hint="eastAsia" w:ascii="仿宋" w:hAnsi="仿宋" w:eastAsia="仿宋" w:cs="Times New Roman"/>
          <w:color w:val="000000" w:themeColor="text1"/>
          <w:sz w:val="32"/>
          <w:szCs w:val="32"/>
          <w:lang w:eastAsia="zh-CN"/>
          <w14:textFill>
            <w14:solidFill>
              <w14:schemeClr w14:val="tx1"/>
            </w14:solidFill>
          </w14:textFill>
        </w:rPr>
        <w:t>审计</w:t>
      </w:r>
      <w:r>
        <w:rPr>
          <w:rFonts w:hint="eastAsia" w:ascii="仿宋" w:hAnsi="仿宋" w:eastAsia="仿宋" w:cs="Times New Roman"/>
          <w:color w:val="000000" w:themeColor="text1"/>
          <w:sz w:val="32"/>
          <w:szCs w:val="32"/>
          <w14:textFill>
            <w14:solidFill>
              <w14:schemeClr w14:val="tx1"/>
            </w14:solidFill>
          </w14:textFill>
        </w:rPr>
        <w:t>。</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5</w:t>
      </w:r>
      <w:r>
        <w:rPr>
          <w:rFonts w:hint="eastAsia" w:ascii="仿宋_GB2312" w:hAnsi="Calibri" w:eastAsia="仿宋_GB2312" w:cs="Arial Black"/>
          <w:kern w:val="0"/>
          <w:sz w:val="32"/>
          <w:szCs w:val="32"/>
        </w:rPr>
        <w:t>个，具体情况如下：</w:t>
      </w:r>
    </w:p>
    <w:tbl>
      <w:tblPr>
        <w:tblStyle w:val="7"/>
        <w:tblpPr w:leftFromText="180" w:rightFromText="180" w:vertAnchor="text" w:horzAnchor="page" w:tblpX="1540" w:tblpY="226"/>
        <w:tblOverlap w:val="never"/>
        <w:tblW w:w="94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5"/>
        <w:gridCol w:w="21"/>
        <w:gridCol w:w="3455"/>
        <w:gridCol w:w="19"/>
        <w:gridCol w:w="5"/>
        <w:gridCol w:w="2523"/>
        <w:gridCol w:w="5"/>
        <w:gridCol w:w="10"/>
        <w:gridCol w:w="25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rPr>
        <w:tc>
          <w:tcPr>
            <w:tcW w:w="976" w:type="dxa"/>
            <w:gridSpan w:val="2"/>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5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62" w:type="dxa"/>
            <w:gridSpan w:val="5"/>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0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76" w:type="dxa"/>
            <w:gridSpan w:val="2"/>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5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鹿泉区民政局(本级)</w:t>
            </w:r>
          </w:p>
        </w:tc>
        <w:tc>
          <w:tcPr>
            <w:tcW w:w="2562" w:type="dxa"/>
            <w:gridSpan w:val="5"/>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50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76" w:type="dxa"/>
            <w:gridSpan w:val="2"/>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5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鹿泉区殡仪馆</w:t>
            </w:r>
          </w:p>
        </w:tc>
        <w:tc>
          <w:tcPr>
            <w:tcW w:w="2562" w:type="dxa"/>
            <w:gridSpan w:val="5"/>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0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76" w:type="dxa"/>
            <w:gridSpan w:val="2"/>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5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鹿泉区民政事业服务中心</w:t>
            </w:r>
          </w:p>
        </w:tc>
        <w:tc>
          <w:tcPr>
            <w:tcW w:w="2562" w:type="dxa"/>
            <w:gridSpan w:val="5"/>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504"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955" w:type="dxa"/>
          </w:tcPr>
          <w:p>
            <w:pPr>
              <w:spacing w:line="560" w:lineRule="exact"/>
              <w:jc w:val="center"/>
              <w:rPr>
                <w:rFonts w:hint="default" w:ascii="仿宋_GB2312" w:hAnsi="Calibri" w:eastAsia="仿宋_GB2312" w:cs="ArialUnicodeMS"/>
                <w:kern w:val="0"/>
                <w:sz w:val="28"/>
                <w:szCs w:val="28"/>
                <w:highlight w:val="none"/>
                <w:lang w:val="en-US" w:eastAsia="zh-CN"/>
              </w:rPr>
            </w:pPr>
            <w:r>
              <w:rPr>
                <w:rFonts w:hint="eastAsia" w:ascii="仿宋_GB2312" w:hAnsi="Calibri" w:eastAsia="仿宋_GB2312" w:cs="ArialUnicodeMS"/>
                <w:kern w:val="0"/>
                <w:sz w:val="28"/>
                <w:szCs w:val="28"/>
                <w:highlight w:val="none"/>
                <w:lang w:val="en-US" w:eastAsia="zh-CN"/>
              </w:rPr>
              <w:t>4</w:t>
            </w:r>
          </w:p>
        </w:tc>
        <w:tc>
          <w:tcPr>
            <w:tcW w:w="3495" w:type="dxa"/>
            <w:gridSpan w:val="3"/>
          </w:tcPr>
          <w:p>
            <w:pPr>
              <w:spacing w:line="560" w:lineRule="exact"/>
              <w:jc w:val="left"/>
              <w:rPr>
                <w:rFonts w:hint="eastAsia" w:ascii="仿宋_GB2312" w:hAnsi="Calibri" w:eastAsia="仿宋_GB2312" w:cs="ArialUnicodeMS"/>
                <w:kern w:val="0"/>
                <w:sz w:val="28"/>
                <w:szCs w:val="28"/>
                <w:highlight w:val="none"/>
                <w:lang w:eastAsia="zh-CN"/>
              </w:rPr>
            </w:pPr>
            <w:r>
              <w:rPr>
                <w:rFonts w:hint="eastAsia" w:ascii="仿宋_GB2312" w:hAnsi="Calibri" w:eastAsia="仿宋_GB2312" w:cs="ArialUnicodeMS"/>
                <w:kern w:val="0"/>
                <w:sz w:val="28"/>
                <w:szCs w:val="28"/>
                <w:highlight w:val="none"/>
                <w:lang w:eastAsia="zh-CN"/>
              </w:rPr>
              <w:t>鹿泉区儿童福利院</w:t>
            </w:r>
          </w:p>
        </w:tc>
        <w:tc>
          <w:tcPr>
            <w:tcW w:w="2528" w:type="dxa"/>
            <w:gridSpan w:val="2"/>
          </w:tcPr>
          <w:p>
            <w:pPr>
              <w:spacing w:line="560" w:lineRule="exact"/>
              <w:jc w:val="center"/>
              <w:rPr>
                <w:rFonts w:ascii="仿宋_GB2312" w:hAnsi="Calibri" w:eastAsia="仿宋_GB2312" w:cs="ArialUnicodeMS"/>
                <w:kern w:val="0"/>
                <w:sz w:val="28"/>
                <w:szCs w:val="28"/>
                <w:highlight w:val="none"/>
              </w:rPr>
            </w:pPr>
            <w:r>
              <w:rPr>
                <w:rFonts w:hint="eastAsia" w:ascii="仿宋_GB2312" w:hAnsi="Calibri" w:eastAsia="仿宋_GB2312" w:cs="ArialUnicodeMS"/>
                <w:kern w:val="0"/>
                <w:sz w:val="28"/>
                <w:szCs w:val="28"/>
                <w:highlight w:val="none"/>
              </w:rPr>
              <w:t>财政补助事业单位</w:t>
            </w:r>
          </w:p>
        </w:tc>
        <w:tc>
          <w:tcPr>
            <w:tcW w:w="2519" w:type="dxa"/>
            <w:gridSpan w:val="3"/>
          </w:tcPr>
          <w:p>
            <w:pPr>
              <w:spacing w:line="560" w:lineRule="exact"/>
              <w:jc w:val="center"/>
              <w:rPr>
                <w:rFonts w:ascii="仿宋_GB2312" w:hAnsi="Calibri" w:eastAsia="仿宋_GB2312" w:cs="ArialUnicodeMS"/>
                <w:kern w:val="0"/>
                <w:sz w:val="28"/>
                <w:szCs w:val="28"/>
                <w:highlight w:val="none"/>
              </w:rPr>
            </w:pPr>
            <w:r>
              <w:rPr>
                <w:rFonts w:hint="eastAsia" w:ascii="仿宋_GB2312" w:hAnsi="Calibri" w:eastAsia="仿宋_GB2312" w:cs="ArialUnicodeMS"/>
                <w:kern w:val="0"/>
                <w:sz w:val="28"/>
                <w:szCs w:val="28"/>
                <w:highlight w:val="none"/>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trPr>
        <w:tc>
          <w:tcPr>
            <w:tcW w:w="955" w:type="dxa"/>
          </w:tcPr>
          <w:p>
            <w:pPr>
              <w:spacing w:line="560" w:lineRule="exact"/>
              <w:jc w:val="center"/>
              <w:rPr>
                <w:rFonts w:hint="eastAsia" w:ascii="仿宋_GB2312" w:hAnsi="Calibri" w:eastAsia="仿宋_GB2312" w:cs="ArialUnicodeMS"/>
                <w:kern w:val="0"/>
                <w:sz w:val="28"/>
                <w:szCs w:val="28"/>
                <w:highlight w:val="none"/>
                <w:lang w:val="en-US" w:eastAsia="zh-CN"/>
              </w:rPr>
            </w:pPr>
            <w:r>
              <w:rPr>
                <w:rFonts w:hint="eastAsia" w:ascii="仿宋_GB2312" w:hAnsi="Calibri" w:eastAsia="仿宋_GB2312" w:cs="ArialUnicodeMS"/>
                <w:kern w:val="0"/>
                <w:sz w:val="28"/>
                <w:szCs w:val="28"/>
                <w:highlight w:val="none"/>
                <w:lang w:val="en-US" w:eastAsia="zh-CN"/>
              </w:rPr>
              <w:t>5</w:t>
            </w:r>
          </w:p>
        </w:tc>
        <w:tc>
          <w:tcPr>
            <w:tcW w:w="3500" w:type="dxa"/>
            <w:gridSpan w:val="4"/>
          </w:tcPr>
          <w:p>
            <w:pPr>
              <w:spacing w:line="560" w:lineRule="exact"/>
              <w:jc w:val="left"/>
              <w:rPr>
                <w:rFonts w:hint="eastAsia" w:ascii="仿宋_GB2312" w:hAnsi="Calibri" w:eastAsia="仿宋_GB2312" w:cs="ArialUnicodeMS"/>
                <w:kern w:val="0"/>
                <w:sz w:val="28"/>
                <w:szCs w:val="28"/>
                <w:highlight w:val="none"/>
                <w:lang w:eastAsia="zh-CN"/>
              </w:rPr>
            </w:pPr>
            <w:r>
              <w:rPr>
                <w:rFonts w:hint="eastAsia" w:ascii="仿宋_GB2312" w:hAnsi="Calibri" w:eastAsia="仿宋_GB2312" w:cs="ArialUnicodeMS"/>
                <w:kern w:val="0"/>
                <w:sz w:val="28"/>
                <w:szCs w:val="28"/>
                <w:highlight w:val="none"/>
                <w:lang w:eastAsia="zh-CN"/>
              </w:rPr>
              <w:t>鹿泉区福利彩票销售管理中心</w:t>
            </w:r>
          </w:p>
        </w:tc>
        <w:tc>
          <w:tcPr>
            <w:tcW w:w="2528" w:type="dxa"/>
            <w:gridSpan w:val="2"/>
          </w:tcPr>
          <w:p>
            <w:pPr>
              <w:spacing w:line="560" w:lineRule="exact"/>
              <w:jc w:val="center"/>
              <w:rPr>
                <w:rFonts w:hint="eastAsia" w:ascii="仿宋_GB2312" w:hAnsi="Calibri" w:eastAsia="仿宋_GB2312" w:cs="ArialUnicodeMS"/>
                <w:kern w:val="0"/>
                <w:sz w:val="28"/>
                <w:szCs w:val="28"/>
                <w:highlight w:val="none"/>
                <w:lang w:eastAsia="zh-CN"/>
              </w:rPr>
            </w:pPr>
            <w:r>
              <w:rPr>
                <w:rFonts w:hint="eastAsia" w:ascii="仿宋_GB2312" w:hAnsi="Calibri" w:eastAsia="仿宋_GB2312" w:cs="ArialUnicodeMS"/>
                <w:kern w:val="0"/>
                <w:sz w:val="28"/>
                <w:szCs w:val="28"/>
                <w:highlight w:val="none"/>
                <w:lang w:eastAsia="zh-CN"/>
              </w:rPr>
              <w:t>自收自支事业单位</w:t>
            </w:r>
          </w:p>
        </w:tc>
        <w:tc>
          <w:tcPr>
            <w:tcW w:w="2514" w:type="dxa"/>
            <w:gridSpan w:val="2"/>
          </w:tcPr>
          <w:p>
            <w:pPr>
              <w:spacing w:line="560" w:lineRule="exact"/>
              <w:jc w:val="center"/>
              <w:rPr>
                <w:rFonts w:hint="eastAsia" w:ascii="仿宋_GB2312" w:hAnsi="Calibri" w:eastAsia="仿宋_GB2312" w:cs="ArialUnicodeMS"/>
                <w:kern w:val="0"/>
                <w:sz w:val="28"/>
                <w:szCs w:val="28"/>
                <w:highlight w:val="none"/>
                <w:lang w:eastAsia="zh-CN"/>
              </w:rPr>
            </w:pPr>
            <w:r>
              <w:rPr>
                <w:rFonts w:hint="eastAsia" w:ascii="仿宋_GB2312" w:hAnsi="Calibri" w:eastAsia="仿宋_GB2312" w:cs="ArialUnicodeMS"/>
                <w:kern w:val="0"/>
                <w:sz w:val="28"/>
                <w:szCs w:val="28"/>
                <w:highlight w:val="none"/>
                <w:lang w:eastAsia="zh-CN"/>
              </w:rPr>
              <w:t>自筹</w:t>
            </w:r>
          </w:p>
        </w:tc>
      </w:tr>
    </w:tbl>
    <w:p>
      <w:pPr>
        <w:widowControl/>
        <w:spacing w:after="160" w:line="580" w:lineRule="exact"/>
        <w:ind w:firstLine="1440" w:firstLineChars="200"/>
        <w:rPr>
          <w:sz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firstLine="1440" w:firstLineChars="200"/>
        <w:rPr>
          <w:sz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7"/>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8036.14</w:t>
      </w:r>
      <w:r>
        <w:rPr>
          <w:rFonts w:hint="eastAsia" w:ascii="仿宋_GB2312" w:hAnsi="Times New Roman" w:eastAsia="仿宋_GB2312" w:cs="Wingdings"/>
          <w:sz w:val="32"/>
          <w:szCs w:val="32"/>
        </w:rPr>
        <w:t>万元。与2019年度决算相比，收支</w:t>
      </w:r>
      <w:r>
        <w:rPr>
          <w:rFonts w:hint="eastAsia" w:ascii="仿宋_GB2312" w:hAnsi="Times New Roman" w:eastAsia="仿宋_GB2312" w:cs="Wingdings"/>
          <w:sz w:val="32"/>
          <w:szCs w:val="32"/>
          <w:lang w:val="en-US" w:eastAsia="zh-CN"/>
        </w:rPr>
        <w:t>各增加475.64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增长17.94</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项目投资</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4384" behindDoc="1" locked="0" layoutInCell="1" allowOverlap="1">
            <wp:simplePos x="0" y="0"/>
            <wp:positionH relativeFrom="column">
              <wp:posOffset>515620</wp:posOffset>
            </wp:positionH>
            <wp:positionV relativeFrom="paragraph">
              <wp:posOffset>71755</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6872.06</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6798.9</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98.93</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73.15</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1.07</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 xml:space="preserve"> </w:t>
      </w:r>
    </w:p>
    <w:p>
      <w:pPr>
        <w:adjustRightInd w:val="0"/>
        <w:snapToGrid w:val="0"/>
        <w:spacing w:line="600" w:lineRule="exact"/>
        <w:rPr>
          <w:rFonts w:hint="eastAsia" w:ascii="仿宋_GB2312" w:hAnsi="Times New Roman" w:eastAsia="仿宋_GB2312" w:cs="Wingdings"/>
          <w:sz w:val="32"/>
          <w:szCs w:val="32"/>
          <w:highlight w:val="yellow"/>
          <w:lang w:eastAsia="zh-CN"/>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按功能分类看：社会保障和就业支出5420.25万元，占总支出的78.87%；卫生健康支出36.89万元，占总支出的0.54%；农林水支出413万元，占总支出的6.01%；住房保障支出47.47万元，占总支出的0.69%；其他支出954.44万元，占总支出的13.89%。</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pPr>
        <w:adjustRightInd w:val="0"/>
        <w:snapToGrid w:val="0"/>
        <w:spacing w:line="600" w:lineRule="exact"/>
        <w:rPr>
          <w:rFonts w:ascii="仿宋_GB2312" w:hAnsi="Times New Roman" w:eastAsia="仿宋_GB2312" w:cs="Wingdings"/>
          <w:sz w:val="32"/>
          <w:szCs w:val="32"/>
        </w:rPr>
      </w:pPr>
      <w:r>
        <w:rPr>
          <w:rFonts w:ascii="Times New Roman" w:hAnsi="Times New Roman" w:eastAsia="宋体" w:cs="Times New Roman"/>
        </w:rPr>
        <w:drawing>
          <wp:anchor distT="0" distB="0" distL="114300" distR="114300" simplePos="0" relativeHeight="251667456" behindDoc="0" locked="0" layoutInCell="1" allowOverlap="1">
            <wp:simplePos x="0" y="0"/>
            <wp:positionH relativeFrom="column">
              <wp:posOffset>890270</wp:posOffset>
            </wp:positionH>
            <wp:positionV relativeFrom="paragraph">
              <wp:posOffset>43180</wp:posOffset>
            </wp:positionV>
            <wp:extent cx="4251325" cy="1941830"/>
            <wp:effectExtent l="4445" t="4445" r="11430" b="158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68480" behindDoc="0" locked="0" layoutInCell="1" allowOverlap="1">
            <wp:simplePos x="0" y="0"/>
            <wp:positionH relativeFrom="column">
              <wp:posOffset>680720</wp:posOffset>
            </wp:positionH>
            <wp:positionV relativeFrom="paragraph">
              <wp:posOffset>1510030</wp:posOffset>
            </wp:positionV>
            <wp:extent cx="4033520" cy="2286635"/>
            <wp:effectExtent l="4445" t="5080" r="19685" b="1333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7600.61</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1202.43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15.82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其中，人员经费支出</w:t>
      </w:r>
      <w:r>
        <w:rPr>
          <w:rFonts w:hint="eastAsia" w:ascii="仿宋_GB2312" w:hAnsi="Times New Roman" w:eastAsia="仿宋_GB2312" w:cs="Wingdings"/>
          <w:sz w:val="32"/>
          <w:szCs w:val="32"/>
          <w:lang w:val="en-US" w:eastAsia="zh-CN"/>
        </w:rPr>
        <w:t>821.64万元，占10.81%，公用经费380.79万元，占5.01%；</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6398.18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84.18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，全部为民生保障类支出</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hint="eastAsia" w:ascii="仿宋_GB2312" w:hAnsi="Times New Roman" w:eastAsia="仿宋_GB2312" w:cs="Wingdings"/>
          <w:sz w:val="32"/>
          <w:szCs w:val="32"/>
          <w:lang w:eastAsia="zh-CN"/>
        </w:rPr>
      </w:pPr>
      <w:r>
        <w:rPr>
          <w:sz w:val="32"/>
        </w:rPr>
        <mc:AlternateContent>
          <mc:Choice Requires="wps">
            <w:drawing>
              <wp:anchor distT="0" distB="0" distL="114300" distR="114300" simplePos="0" relativeHeight="251669504" behindDoc="0" locked="0" layoutInCell="1" allowOverlap="1">
                <wp:simplePos x="0" y="0"/>
                <wp:positionH relativeFrom="column">
                  <wp:posOffset>3641725</wp:posOffset>
                </wp:positionH>
                <wp:positionV relativeFrom="paragraph">
                  <wp:posOffset>38735</wp:posOffset>
                </wp:positionV>
                <wp:extent cx="771525" cy="275590"/>
                <wp:effectExtent l="0" t="0" r="9525" b="10160"/>
                <wp:wrapNone/>
                <wp:docPr id="9" name="文本框 9"/>
                <wp:cNvGraphicFramePr/>
                <a:graphic xmlns:a="http://schemas.openxmlformats.org/drawingml/2006/main">
                  <a:graphicData uri="http://schemas.microsoft.com/office/word/2010/wordprocessingShape">
                    <wps:wsp>
                      <wps:cNvSpPr txBox="1"/>
                      <wps:spPr>
                        <a:xfrm>
                          <a:off x="4785360" y="3352165"/>
                          <a:ext cx="771525" cy="27559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Theme="minorEastAsia"/>
                                <w:lang w:eastAsia="zh-CN"/>
                              </w:rPr>
                            </w:pPr>
                            <w:r>
                              <w:rPr>
                                <w:rFonts w:hint="eastAsia"/>
                                <w:sz w:val="15"/>
                                <w:szCs w:val="15"/>
                                <w:lang w:eastAsia="zh-CN"/>
                              </w:rPr>
                              <w:t>单位：</w:t>
                            </w:r>
                            <w:r>
                              <w:rPr>
                                <w:rFonts w:hint="eastAsia" w:eastAsiaTheme="minorEastAsia"/>
                                <w:sz w:val="15"/>
                                <w:lang w:eastAsia="zh-CN"/>
                              </w:rPr>
                              <w:t>万</w:t>
                            </w:r>
                            <w:r>
                              <w:rPr>
                                <w:rFonts w:hint="eastAsia"/>
                                <w:sz w:val="15"/>
                                <w:lang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6.75pt;margin-top:3.05pt;height:21.7pt;width:60.75pt;z-index:251669504;mso-width-relative:page;mso-height-relative:page;" fillcolor="#FFFFFF [3201]" filled="t" stroked="f" coordsize="21600,21600" o:gfxdata="UEsDBAoAAAAAAIdO4kAAAAAAAAAAAAAAAAAEAAAAZHJzL1BLAwQUAAAACACHTuJAFDbkg9QAAAAI&#10;AQAADwAAAGRycy9kb3ducmV2LnhtbE2PO0/EMBCEeyT+g7VIdJwTuAQuZHMFEi0S96p9sYkj7HVk&#10;+56/nqWCcjSjmW/a5dk7cTQxjYEQylkBwlAf9EgDwmb9/vACImVFWrlABuFiEiy725tWNTqc6NMc&#10;V3kQXEKpUQg256mRMvXWeJVmYTLE3leIXmWWcZA6qhOXeycfi6KWXo3EC1ZN5s2a/nt18Ai7wV93&#10;23KKVns3p4/rZb0JI+L9XVm8gsjmnP/C8IvP6NAx0z4cSCfhEKrnp4qjCHUJgv16UfG3PcJ8UYHs&#10;Wvn/QPcDUEsDBBQAAAAIAIdO4kDR0jnTQgIAAEwEAAAOAAAAZHJzL2Uyb0RvYy54bWytVM2O2jAQ&#10;vlfqO1i+l5BAYEGEFWVFVQl1V6JVz8ZxSCTH49qGhD5A+wZ76qX3PhfP0bEDu/TnVDUHZ8bzZX6+&#10;mcnstq0lOQhjK1AZjXt9SoTikFdql9EP71evbiixjqmcSVAio0dh6e385YtZo6cigRJkLgxBJ8pO&#10;G53R0jk9jSLLS1Ez2wMtFBoLMDVzqJpdlBvWoPdaRkm/P4oaMLk2wIW1eHvXGek8+C8Kwd19UVjh&#10;iMwo5ubCacK59Wc0n7HpzjBdVvycBvuHLGpWKQz65OqOOUb2pvrDVV1xAxYK1+NQR1AUFRehBqwm&#10;7v9WzaZkWoRakByrn2iy/88tf3d4MKTKMzqhRLEaW3R6/Hr69uP0/QuZeHoabaeI2mjEufY1tNjm&#10;y73FS191W5jav7Eegvbh+CYdjJDuY0YHgzSJR2lHtGgd4QgYj+M0SSnhCEjGaToJjYieHWlj3RsB&#10;NfFCRg32MdDLDmvrMCmEXiA+rgVZ5atKyqCY3XYpDTkw7PkqPD46fvILTCrSZHQ0SPvBswL/fYeT&#10;CuG+7q4+L7l2257J2EJ+RC4MdMNkNV9VmOWaWffADE4PFo4b4e7xKCRgEDhLlJRgPv/t3uOxqWil&#10;pMFpzKj9tGdGUCLfKmz3JB4O/fgGZZiOE1TMtWV7bVH7eglYfIy7p3kQPd7Ji1gYqD/i4ix8VDQx&#10;xTF2Rt1FXLpuR3DxuFgsAggHVjO3VhvNvWtPtYLF3kFRhZZ4mjpuzuzhyAbaz+vld+JaD6jnn8D8&#10;J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BQ25IPUAAAACAEAAA8AAAAAAAAAAQAgAAAAIgAAAGRy&#10;cy9kb3ducmV2LnhtbFBLAQIUABQAAAAIAIdO4kDR0jnTQgIAAEwEAAAOAAAAAAAAAAEAIAAAACMB&#10;AABkcnMvZTJvRG9jLnhtbFBLBQYAAAAABgAGAFkBAADXBQAAAAA=&#10;">
                <v:fill on="t" focussize="0,0"/>
                <v:stroke on="f" weight="0.5pt"/>
                <v:imagedata o:title=""/>
                <o:lock v:ext="edit" aspectratio="f"/>
                <v:textbox>
                  <w:txbxContent>
                    <w:p>
                      <w:pPr>
                        <w:rPr>
                          <w:rFonts w:hint="eastAsia" w:eastAsiaTheme="minorEastAsia"/>
                          <w:lang w:eastAsia="zh-CN"/>
                        </w:rPr>
                      </w:pPr>
                      <w:r>
                        <w:rPr>
                          <w:rFonts w:hint="eastAsia"/>
                          <w:sz w:val="15"/>
                          <w:szCs w:val="15"/>
                          <w:lang w:eastAsia="zh-CN"/>
                        </w:rPr>
                        <w:t>单位：</w:t>
                      </w:r>
                      <w:r>
                        <w:rPr>
                          <w:rFonts w:hint="eastAsia" w:eastAsiaTheme="minorEastAsia"/>
                          <w:sz w:val="15"/>
                          <w:lang w:eastAsia="zh-CN"/>
                        </w:rPr>
                        <w:t>万</w:t>
                      </w:r>
                      <w:r>
                        <w:rPr>
                          <w:rFonts w:hint="eastAsia"/>
                          <w:sz w:val="15"/>
                          <w:lang w:eastAsia="zh-CN"/>
                        </w:rPr>
                        <w:t>元</w:t>
                      </w:r>
                    </w:p>
                  </w:txbxContent>
                </v:textbox>
              </v:shape>
            </w:pict>
          </mc:Fallback>
        </mc:AlternateConten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60288" behindDoc="1" locked="0" layoutInCell="1" allowOverlap="1">
                <wp:simplePos x="0" y="0"/>
                <wp:positionH relativeFrom="column">
                  <wp:posOffset>1003935</wp:posOffset>
                </wp:positionH>
                <wp:positionV relativeFrom="paragraph">
                  <wp:posOffset>372110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2242820" y="5314315"/>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9.05pt;margin-top:29.3pt;height:38.05pt;width:260.95pt;z-index:-251656192;mso-width-relative:page;mso-height-relative:page;" fillcolor="#FFFFFF" filled="t" stroked="f" coordsize="21600,21600" o:gfxdata="UEsDBAoAAAAAAIdO4kAAAAAAAAAAAAAAAAAEAAAAZHJzL1BLAwQUAAAACACHTuJAAe7yRdUAAAAK&#10;AQAADwAAAGRycy9kb3ducmV2LnhtbE2PzU7DMBCE70i8g7WVuFEn0IYoxOkBiSsSbenZjZc4qr2O&#10;bPf36VlOcBzNaOabdnXxTpwwpjGQgnJegEDqgxlpULDdvD/WIFLWZLQLhAqumGDV3d+1ujHhTJ94&#10;WudBcAmlRiuwOU+NlKm36HWahwmJve8Qvc4s4yBN1Gcu904+FUUlvR6JF6ye8M1if1gfvYLd4G+7&#10;r3KK1ni3oI/bdbMNo1IPs7J4BZHxkv/C8IvP6NAx0z4cySThWC/rkqMKlnUFggNVXfC5PTvPixeQ&#10;XSv/X+h+AFBLAwQUAAAACACHTuJAwKPfwkcCAABdBAAADgAAAGRycy9lMm9Eb2MueG1srVRLjhox&#10;EN1Hyh0s70P/gBBEMyKMiCKhzEgkytq43XRLbpdjG7rJAZIbzCqb7HMuzpGyG2bIZxWFhSlXPV65&#10;XlUxu+kaSQ7C2BpUTpNBTIlQHIpa7XL64f3qxYQS65gqmAQlcnoUlt7Mnz+btXoqUqhAFsIQJFF2&#10;2uqcVs7paRRZXomG2QFooTBYgmmYw6vZRYVhLbI3MkrjeBy1YAptgAtr0XvbB+k88Jel4O6uLK1w&#10;ROYU3+bCacK59Wc0n7HpzjBd1fz8DPYPr2hYrTDpI9Utc4zsTf0HVVNzAxZKN+DQRFCWNRehBqwm&#10;iX+rZlMxLUItKI7VjzLZ/0fL3x3uDamLnGYoj2IN9uj08PX07cfp+xeCPhSo1XaKuI1GpOteQ4eN&#10;vvgtOn3dXWka/40VEYyn6TCdpMh4zOkoS4ZZMuqlFp0jHAEZOuPxiBKOiOEkS7MAiJ6YtLHujYCG&#10;eCOnBlsZFGaHtXX4KoReID6xBVkXq1rKcDG77VIacmDY9lX4+PT4k19gUpE2p+NsFAdmBf73PU4q&#10;zyPCBJ3zeRn6cr3lum131mYLxRGlMdBPl9V8VeOb18y6e2ZwnFAHXBF3h0cpAVPC2aKkAvP5b36P&#10;xy5jlJIWxzOn9tOeGUGJfKuw/6+S4dDPc7gMRy+91uY6sr2OqH2zBJQiwWXUPJge7+TFLA00H3GT&#10;Fj4rhpjimDun7mIuXb80uIlcLBYBhBOsmVurjeae2gumYLF3UNahQV6mXhuU3l9whkMTzvvml+T6&#10;HlBP/wrzn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AHu8kXVAAAACgEAAA8AAAAAAAAAAQAgAAAA&#10;IgAAAGRycy9kb3ducmV2LnhtbFBLAQIUABQAAAAIAIdO4kDAo9/CRwIAAF0EAAAOAAAAAAAAAAEA&#10;IAAAACQBAABkcnMvZTJvRG9jLnhtbFBLBQYAAAAABgAGAFkBAADd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highlight w:val="none"/>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6798.91</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383.68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增长</w:t>
      </w:r>
      <w:r>
        <w:rPr>
          <w:rFonts w:hint="eastAsia" w:ascii="仿宋_GB2312" w:hAnsi="Times New Roman" w:eastAsia="仿宋_GB2312" w:cs="Wingdings"/>
          <w:sz w:val="32"/>
          <w:szCs w:val="32"/>
          <w:lang w:val="en-US" w:eastAsia="zh-CN"/>
        </w:rPr>
        <w:t>5.98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highlight w:val="none"/>
        </w:rPr>
        <w:t>主要是</w:t>
      </w:r>
      <w:r>
        <w:rPr>
          <w:rFonts w:hint="eastAsia" w:ascii="仿宋_GB2312" w:hAnsi="Times New Roman" w:eastAsia="仿宋_GB2312" w:cs="Wingdings"/>
          <w:sz w:val="32"/>
          <w:szCs w:val="32"/>
          <w:highlight w:val="none"/>
          <w:lang w:val="en-US" w:eastAsia="zh-CN"/>
        </w:rPr>
        <w:t>本年项目资金投入较上年增加</w:t>
      </w:r>
      <w:r>
        <w:rPr>
          <w:rFonts w:hint="eastAsia" w:ascii="仿宋_GB2312" w:hAnsi="Times New Roman" w:eastAsia="仿宋_GB2312" w:cs="Wingdings"/>
          <w:sz w:val="32"/>
          <w:szCs w:val="32"/>
          <w:highlight w:val="none"/>
        </w:rPr>
        <w:t>；本年支出</w:t>
      </w:r>
      <w:r>
        <w:rPr>
          <w:rFonts w:hint="eastAsia" w:ascii="仿宋_GB2312" w:hAnsi="Times New Roman" w:eastAsia="仿宋_GB2312" w:cs="Wingdings"/>
          <w:sz w:val="32"/>
          <w:szCs w:val="32"/>
          <w:highlight w:val="none"/>
          <w:lang w:val="en-US" w:eastAsia="zh-CN"/>
        </w:rPr>
        <w:t>7527.46</w:t>
      </w:r>
      <w:r>
        <w:rPr>
          <w:rFonts w:hint="eastAsia" w:ascii="仿宋_GB2312" w:hAnsi="Times New Roman" w:eastAsia="仿宋_GB2312" w:cs="Wingdings"/>
          <w:sz w:val="32"/>
          <w:szCs w:val="32"/>
          <w:highlight w:val="none"/>
        </w:rPr>
        <w:t>万元，增加</w:t>
      </w:r>
      <w:r>
        <w:rPr>
          <w:rFonts w:hint="eastAsia" w:ascii="仿宋_GB2312" w:hAnsi="Times New Roman" w:eastAsia="仿宋_GB2312" w:cs="Wingdings"/>
          <w:sz w:val="32"/>
          <w:szCs w:val="32"/>
          <w:highlight w:val="none"/>
          <w:lang w:val="en-US" w:eastAsia="zh-CN"/>
        </w:rPr>
        <w:t>1240.92</w:t>
      </w:r>
      <w:r>
        <w:rPr>
          <w:rFonts w:hint="eastAsia" w:ascii="仿宋_GB2312" w:hAnsi="Times New Roman" w:eastAsia="仿宋_GB2312" w:cs="Wingdings"/>
          <w:sz w:val="32"/>
          <w:szCs w:val="32"/>
          <w:highlight w:val="none"/>
        </w:rPr>
        <w:t>万元，增长</w:t>
      </w:r>
      <w:r>
        <w:rPr>
          <w:rFonts w:hint="eastAsia" w:ascii="仿宋_GB2312" w:hAnsi="Times New Roman" w:eastAsia="仿宋_GB2312" w:cs="Wingdings"/>
          <w:sz w:val="32"/>
          <w:szCs w:val="32"/>
          <w:highlight w:val="none"/>
          <w:lang w:val="en-US" w:eastAsia="zh-CN"/>
        </w:rPr>
        <w:t>19.74</w:t>
      </w:r>
      <w:r>
        <w:rPr>
          <w:rFonts w:hint="eastAsia" w:ascii="仿宋_GB2312" w:hAnsi="Times New Roman" w:eastAsia="仿宋_GB2312" w:cs="Wingdings"/>
          <w:sz w:val="32"/>
          <w:szCs w:val="32"/>
          <w:highlight w:val="none"/>
        </w:rPr>
        <w:t>%，主要是</w:t>
      </w:r>
      <w:r>
        <w:rPr>
          <w:rFonts w:hint="eastAsia" w:ascii="仿宋_GB2312" w:hAnsi="Times New Roman" w:eastAsia="仿宋_GB2312" w:cs="Wingdings"/>
          <w:sz w:val="32"/>
          <w:szCs w:val="32"/>
          <w:highlight w:val="none"/>
          <w:lang w:eastAsia="zh-CN"/>
        </w:rPr>
        <w:t>使用上年结余资金和骨灰堂改扩建项目资金投入等</w:t>
      </w:r>
      <w:r>
        <w:rPr>
          <w:rFonts w:hint="eastAsia" w:ascii="仿宋_GB2312" w:hAnsi="Times New Roman" w:eastAsia="仿宋_GB2312" w:cs="Wingdings"/>
          <w:sz w:val="32"/>
          <w:szCs w:val="32"/>
          <w:highlight w:val="none"/>
        </w:rPr>
        <w:t>。具体情况如下：</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highlight w:val="none"/>
        </w:rPr>
      </w:pPr>
      <w:r>
        <w:rPr>
          <w:rFonts w:hint="eastAsia" w:ascii="仿宋_GB2312" w:hAnsi="Times New Roman" w:eastAsia="仿宋_GB2312" w:cs="Wingdings"/>
          <w:sz w:val="32"/>
          <w:szCs w:val="32"/>
          <w:highlight w:val="none"/>
        </w:rPr>
        <w:t>一般公共预算财政拨款本年收入</w:t>
      </w:r>
      <w:r>
        <w:rPr>
          <w:rFonts w:hint="eastAsia" w:ascii="仿宋_GB2312" w:hAnsi="Times New Roman" w:eastAsia="仿宋_GB2312" w:cs="Wingdings"/>
          <w:sz w:val="32"/>
          <w:szCs w:val="32"/>
          <w:highlight w:val="none"/>
          <w:lang w:val="en-US" w:eastAsia="zh-CN"/>
        </w:rPr>
        <w:t>5844.46</w:t>
      </w:r>
      <w:r>
        <w:rPr>
          <w:rFonts w:hint="eastAsia" w:ascii="仿宋_GB2312" w:hAnsi="Times New Roman" w:eastAsia="仿宋_GB2312" w:cs="Wingdings"/>
          <w:sz w:val="32"/>
          <w:szCs w:val="32"/>
          <w:highlight w:val="none"/>
        </w:rPr>
        <w:t>万元，比上年减少</w:t>
      </w:r>
      <w:r>
        <w:rPr>
          <w:rFonts w:hint="eastAsia" w:ascii="仿宋_GB2312" w:hAnsi="Times New Roman" w:eastAsia="仿宋_GB2312" w:cs="Wingdings"/>
          <w:sz w:val="32"/>
          <w:szCs w:val="32"/>
          <w:highlight w:val="none"/>
          <w:lang w:val="en-US" w:eastAsia="zh-CN"/>
        </w:rPr>
        <w:t>85.6</w:t>
      </w:r>
      <w:r>
        <w:rPr>
          <w:rFonts w:hint="eastAsia" w:ascii="仿宋_GB2312" w:hAnsi="Times New Roman" w:eastAsia="仿宋_GB2312" w:cs="Wingdings"/>
          <w:sz w:val="32"/>
          <w:szCs w:val="32"/>
          <w:highlight w:val="none"/>
        </w:rPr>
        <w:t>万元；主要是</w:t>
      </w:r>
      <w:r>
        <w:rPr>
          <w:rFonts w:hint="eastAsia" w:ascii="仿宋_GB2312" w:hAnsi="Times New Roman" w:eastAsia="仿宋_GB2312" w:cs="Wingdings"/>
          <w:sz w:val="32"/>
          <w:szCs w:val="32"/>
          <w:highlight w:val="none"/>
          <w:lang w:val="en-US" w:eastAsia="zh-CN"/>
        </w:rPr>
        <w:t>本年项目资金投入较上年减少</w:t>
      </w:r>
      <w:r>
        <w:rPr>
          <w:rFonts w:hint="eastAsia" w:ascii="仿宋_GB2312" w:hAnsi="Times New Roman" w:eastAsia="仿宋_GB2312" w:cs="Wingdings"/>
          <w:sz w:val="32"/>
          <w:szCs w:val="32"/>
          <w:highlight w:val="none"/>
        </w:rPr>
        <w:t>；本年支出</w:t>
      </w:r>
      <w:r>
        <w:rPr>
          <w:rFonts w:hint="eastAsia" w:ascii="仿宋_GB2312" w:hAnsi="Times New Roman" w:eastAsia="仿宋_GB2312" w:cs="Wingdings"/>
          <w:sz w:val="32"/>
          <w:szCs w:val="32"/>
          <w:highlight w:val="none"/>
          <w:lang w:val="en-US" w:eastAsia="zh-CN"/>
        </w:rPr>
        <w:t>6510.27</w:t>
      </w:r>
      <w:r>
        <w:rPr>
          <w:rFonts w:hint="eastAsia" w:ascii="仿宋_GB2312" w:hAnsi="Times New Roman" w:eastAsia="仿宋_GB2312" w:cs="Wingdings"/>
          <w:sz w:val="32"/>
          <w:szCs w:val="32"/>
          <w:highlight w:val="none"/>
        </w:rPr>
        <w:t>万元，比上年增加</w:t>
      </w:r>
      <w:r>
        <w:rPr>
          <w:rFonts w:hint="eastAsia" w:ascii="仿宋_GB2312" w:hAnsi="Times New Roman" w:eastAsia="仿宋_GB2312" w:cs="Wingdings"/>
          <w:sz w:val="32"/>
          <w:szCs w:val="32"/>
          <w:highlight w:val="none"/>
          <w:lang w:val="en-US" w:eastAsia="zh-CN"/>
        </w:rPr>
        <w:t>1047.39</w:t>
      </w:r>
      <w:r>
        <w:rPr>
          <w:rFonts w:hint="eastAsia" w:ascii="仿宋_GB2312" w:hAnsi="Times New Roman" w:eastAsia="仿宋_GB2312" w:cs="Wingdings"/>
          <w:sz w:val="32"/>
          <w:szCs w:val="32"/>
          <w:highlight w:val="none"/>
        </w:rPr>
        <w:t>万元，增长</w:t>
      </w:r>
      <w:r>
        <w:rPr>
          <w:rFonts w:hint="eastAsia" w:ascii="仿宋_GB2312" w:hAnsi="Times New Roman" w:eastAsia="仿宋_GB2312" w:cs="Wingdings"/>
          <w:sz w:val="32"/>
          <w:szCs w:val="32"/>
          <w:highlight w:val="none"/>
          <w:lang w:val="en-US" w:eastAsia="zh-CN"/>
        </w:rPr>
        <w:t>19.17</w:t>
      </w:r>
      <w:r>
        <w:rPr>
          <w:rFonts w:hint="eastAsia" w:ascii="仿宋_GB2312" w:hAnsi="Times New Roman" w:eastAsia="仿宋_GB2312" w:cs="Wingdings"/>
          <w:sz w:val="32"/>
          <w:szCs w:val="32"/>
          <w:highlight w:val="none"/>
        </w:rPr>
        <w:t>%，主要是</w:t>
      </w:r>
      <w:r>
        <w:rPr>
          <w:rFonts w:hint="eastAsia" w:ascii="仿宋_GB2312" w:hAnsi="Times New Roman" w:eastAsia="仿宋_GB2312" w:cs="Wingdings"/>
          <w:sz w:val="32"/>
          <w:szCs w:val="32"/>
          <w:highlight w:val="none"/>
          <w:lang w:eastAsia="zh-CN"/>
        </w:rPr>
        <w:t>使用上年结余资金</w:t>
      </w:r>
      <w:r>
        <w:rPr>
          <w:rFonts w:hint="eastAsia" w:ascii="仿宋_GB2312" w:hAnsi="Times New Roman" w:eastAsia="仿宋_GB2312" w:cs="Wingdings"/>
          <w:sz w:val="32"/>
          <w:szCs w:val="32"/>
          <w:highlight w:val="none"/>
        </w:rPr>
        <w:t>。</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highlight w:val="none"/>
        </w:rPr>
      </w:pPr>
      <w:r>
        <w:rPr>
          <w:rFonts w:hint="eastAsia" w:ascii="仿宋_GB2312" w:hAnsi="Times New Roman" w:eastAsia="仿宋_GB2312" w:cs="Wingdings"/>
          <w:sz w:val="32"/>
          <w:szCs w:val="32"/>
          <w:highlight w:val="none"/>
        </w:rPr>
        <w:t>政府性基金预算财政拨款本年收入</w:t>
      </w:r>
      <w:r>
        <w:rPr>
          <w:rFonts w:hint="eastAsia" w:ascii="仿宋_GB2312" w:hAnsi="Times New Roman" w:eastAsia="仿宋_GB2312" w:cs="Wingdings"/>
          <w:sz w:val="32"/>
          <w:szCs w:val="32"/>
          <w:highlight w:val="none"/>
          <w:lang w:val="en-US" w:eastAsia="zh-CN"/>
        </w:rPr>
        <w:t>954.44</w:t>
      </w:r>
      <w:r>
        <w:rPr>
          <w:rFonts w:hint="eastAsia" w:ascii="仿宋_GB2312" w:hAnsi="Times New Roman" w:eastAsia="仿宋_GB2312" w:cs="Wingdings"/>
          <w:sz w:val="32"/>
          <w:szCs w:val="32"/>
          <w:highlight w:val="none"/>
        </w:rPr>
        <w:t>万元，比上年</w:t>
      </w:r>
      <w:r>
        <w:rPr>
          <w:rFonts w:hint="eastAsia" w:ascii="仿宋_GB2312" w:hAnsi="Times New Roman" w:eastAsia="仿宋_GB2312" w:cs="Wingdings"/>
          <w:sz w:val="32"/>
          <w:szCs w:val="32"/>
          <w:highlight w:val="none"/>
          <w:lang w:eastAsia="zh-CN"/>
        </w:rPr>
        <w:t>增加</w:t>
      </w:r>
      <w:r>
        <w:rPr>
          <w:rFonts w:hint="eastAsia" w:ascii="仿宋_GB2312" w:hAnsi="Times New Roman" w:eastAsia="仿宋_GB2312" w:cs="Wingdings"/>
          <w:sz w:val="32"/>
          <w:szCs w:val="32"/>
          <w:highlight w:val="none"/>
          <w:lang w:val="en-US" w:eastAsia="zh-CN"/>
        </w:rPr>
        <w:t>469.26</w:t>
      </w:r>
      <w:r>
        <w:rPr>
          <w:rFonts w:hint="eastAsia" w:ascii="仿宋_GB2312" w:hAnsi="Times New Roman" w:eastAsia="仿宋_GB2312" w:cs="Wingdings"/>
          <w:sz w:val="32"/>
          <w:szCs w:val="32"/>
          <w:highlight w:val="none"/>
        </w:rPr>
        <w:t>万元，</w:t>
      </w:r>
      <w:r>
        <w:rPr>
          <w:rFonts w:hint="eastAsia" w:ascii="仿宋_GB2312" w:hAnsi="Times New Roman" w:eastAsia="仿宋_GB2312" w:cs="Wingdings"/>
          <w:sz w:val="32"/>
          <w:szCs w:val="32"/>
          <w:highlight w:val="none"/>
          <w:lang w:eastAsia="zh-CN"/>
        </w:rPr>
        <w:t>增长</w:t>
      </w:r>
      <w:r>
        <w:rPr>
          <w:rFonts w:hint="eastAsia" w:ascii="仿宋_GB2312" w:hAnsi="Times New Roman" w:eastAsia="仿宋_GB2312" w:cs="Wingdings"/>
          <w:sz w:val="32"/>
          <w:szCs w:val="32"/>
          <w:highlight w:val="none"/>
          <w:lang w:val="en-US" w:eastAsia="zh-CN"/>
        </w:rPr>
        <w:t>96.72</w:t>
      </w:r>
      <w:r>
        <w:rPr>
          <w:rFonts w:hint="eastAsia" w:ascii="仿宋_GB2312" w:hAnsi="Times New Roman" w:eastAsia="仿宋_GB2312" w:cs="Wingdings"/>
          <w:sz w:val="32"/>
          <w:szCs w:val="32"/>
          <w:highlight w:val="none"/>
        </w:rPr>
        <w:t>%，主要原因是</w:t>
      </w:r>
      <w:r>
        <w:rPr>
          <w:rFonts w:hint="eastAsia" w:ascii="仿宋_GB2312" w:hAnsi="Times New Roman" w:eastAsia="仿宋_GB2312" w:cs="Wingdings"/>
          <w:sz w:val="32"/>
          <w:szCs w:val="32"/>
          <w:highlight w:val="none"/>
          <w:lang w:eastAsia="zh-CN"/>
        </w:rPr>
        <w:t>骨灰堂改扩建项目资金投入</w:t>
      </w:r>
      <w:r>
        <w:rPr>
          <w:rFonts w:hint="eastAsia" w:ascii="仿宋_GB2312" w:hAnsi="Times New Roman" w:eastAsia="仿宋_GB2312" w:cs="Wingdings"/>
          <w:sz w:val="32"/>
          <w:szCs w:val="32"/>
          <w:highlight w:val="none"/>
        </w:rPr>
        <w:t>；本年支出</w:t>
      </w:r>
      <w:r>
        <w:rPr>
          <w:rFonts w:hint="eastAsia" w:ascii="仿宋_GB2312" w:hAnsi="Times New Roman" w:eastAsia="仿宋_GB2312" w:cs="Wingdings"/>
          <w:sz w:val="32"/>
          <w:szCs w:val="32"/>
          <w:highlight w:val="none"/>
          <w:lang w:val="en-US" w:eastAsia="zh-CN"/>
        </w:rPr>
        <w:t>1017.19</w:t>
      </w:r>
      <w:r>
        <w:rPr>
          <w:rFonts w:hint="eastAsia" w:ascii="仿宋_GB2312" w:hAnsi="Times New Roman" w:eastAsia="仿宋_GB2312" w:cs="Wingdings"/>
          <w:sz w:val="32"/>
          <w:szCs w:val="32"/>
          <w:highlight w:val="none"/>
        </w:rPr>
        <w:t>万元，比上年</w:t>
      </w:r>
      <w:r>
        <w:rPr>
          <w:rFonts w:hint="eastAsia" w:ascii="仿宋_GB2312" w:hAnsi="Times New Roman" w:eastAsia="仿宋_GB2312" w:cs="Wingdings"/>
          <w:sz w:val="32"/>
          <w:szCs w:val="32"/>
          <w:highlight w:val="none"/>
          <w:lang w:eastAsia="zh-CN"/>
        </w:rPr>
        <w:t>增加</w:t>
      </w:r>
      <w:r>
        <w:rPr>
          <w:rFonts w:hint="eastAsia" w:ascii="仿宋_GB2312" w:hAnsi="Times New Roman" w:eastAsia="仿宋_GB2312" w:cs="Wingdings"/>
          <w:sz w:val="32"/>
          <w:szCs w:val="32"/>
          <w:highlight w:val="none"/>
          <w:lang w:val="en-US" w:eastAsia="zh-CN"/>
        </w:rPr>
        <w:t>193.54</w:t>
      </w:r>
      <w:r>
        <w:rPr>
          <w:rFonts w:hint="eastAsia" w:ascii="仿宋_GB2312" w:hAnsi="Times New Roman" w:eastAsia="仿宋_GB2312" w:cs="Wingdings"/>
          <w:sz w:val="32"/>
          <w:szCs w:val="32"/>
          <w:highlight w:val="none"/>
        </w:rPr>
        <w:t>万元，</w:t>
      </w:r>
      <w:r>
        <w:rPr>
          <w:rFonts w:hint="eastAsia" w:ascii="仿宋_GB2312" w:hAnsi="Times New Roman" w:eastAsia="仿宋_GB2312" w:cs="Wingdings"/>
          <w:sz w:val="32"/>
          <w:szCs w:val="32"/>
          <w:highlight w:val="none"/>
          <w:lang w:eastAsia="zh-CN"/>
        </w:rPr>
        <w:t>增长</w:t>
      </w:r>
      <w:r>
        <w:rPr>
          <w:rFonts w:hint="eastAsia" w:ascii="仿宋_GB2312" w:hAnsi="Times New Roman" w:eastAsia="仿宋_GB2312" w:cs="Wingdings"/>
          <w:sz w:val="32"/>
          <w:szCs w:val="32"/>
          <w:highlight w:val="none"/>
          <w:lang w:val="en-US" w:eastAsia="zh-CN"/>
        </w:rPr>
        <w:t>23.5</w:t>
      </w:r>
      <w:r>
        <w:rPr>
          <w:rFonts w:hint="eastAsia" w:ascii="仿宋_GB2312" w:hAnsi="Times New Roman" w:eastAsia="仿宋_GB2312" w:cs="Wingdings"/>
          <w:sz w:val="32"/>
          <w:szCs w:val="32"/>
          <w:highlight w:val="none"/>
        </w:rPr>
        <w:t>%，主要是</w:t>
      </w:r>
      <w:r>
        <w:rPr>
          <w:rFonts w:hint="eastAsia" w:ascii="仿宋_GB2312" w:hAnsi="Times New Roman" w:eastAsia="仿宋_GB2312" w:cs="Wingdings"/>
          <w:sz w:val="32"/>
          <w:szCs w:val="32"/>
          <w:highlight w:val="none"/>
          <w:lang w:eastAsia="zh-CN"/>
        </w:rPr>
        <w:t>骨灰堂改扩建项目等支出增加</w:t>
      </w:r>
      <w:r>
        <w:rPr>
          <w:rFonts w:hint="eastAsia" w:ascii="仿宋_GB2312" w:hAnsi="Times New Roman" w:eastAsia="仿宋_GB2312" w:cs="Wingdings"/>
          <w:sz w:val="32"/>
          <w:szCs w:val="32"/>
          <w:highlight w:val="none"/>
        </w:rPr>
        <w:t>。</w: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本部门2020年度财政拨款本年收入</w:t>
      </w:r>
      <w:r>
        <w:rPr>
          <w:rFonts w:hint="eastAsia" w:ascii="仿宋_GB2312" w:hAnsi="仿宋_GB2312" w:eastAsia="仿宋_GB2312" w:cs="仿宋_GB2312"/>
          <w:sz w:val="32"/>
          <w:szCs w:val="32"/>
          <w:lang w:val="en-US" w:eastAsia="zh-CN"/>
        </w:rPr>
        <w:t>6798.91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113.91</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830.29</w:t>
      </w:r>
      <w:r>
        <w:rPr>
          <w:rFonts w:hint="eastAsia" w:ascii="仿宋_GB2312" w:hAnsi="仿宋_GB2312" w:eastAsia="仿宋_GB2312" w:cs="仿宋_GB2312"/>
          <w:sz w:val="32"/>
          <w:szCs w:val="32"/>
        </w:rPr>
        <w:t>万元，决算数大于预算数主要原因是</w:t>
      </w:r>
      <w:r>
        <w:rPr>
          <w:rFonts w:hint="eastAsia" w:ascii="仿宋_GB2312" w:hAnsi="仿宋_GB2312" w:eastAsia="仿宋_GB2312" w:cs="仿宋_GB2312"/>
          <w:sz w:val="32"/>
          <w:szCs w:val="32"/>
          <w:lang w:eastAsia="zh-CN"/>
        </w:rPr>
        <w:t>中心型公益性骨灰堂建设项目和</w:t>
      </w:r>
      <w:bookmarkStart w:id="0" w:name="_Hlk55217238"/>
      <w:r>
        <w:rPr>
          <w:rFonts w:hint="eastAsia" w:ascii="仿宋_GB2312" w:hAnsi="仿宋_GB2312" w:eastAsia="仿宋_GB2312" w:cs="仿宋_GB2312"/>
          <w:sz w:val="32"/>
          <w:szCs w:val="32"/>
        </w:rPr>
        <w:t>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养老、高龄、低保等补助资金到位</w:t>
      </w:r>
      <w:bookmarkEnd w:id="0"/>
      <w:r>
        <w:rPr>
          <w:rFonts w:hint="eastAsia" w:ascii="仿宋_GB2312" w:hAnsi="仿宋_GB2312" w:eastAsia="仿宋_GB2312" w:cs="仿宋_GB2312"/>
          <w:sz w:val="32"/>
          <w:szCs w:val="32"/>
        </w:rPr>
        <w:t>；本年支出</w:t>
      </w:r>
      <w:r>
        <w:rPr>
          <w:rFonts w:hint="eastAsia" w:ascii="仿宋_GB2312" w:hAnsi="仿宋_GB2312" w:eastAsia="仿宋_GB2312" w:cs="仿宋_GB2312"/>
          <w:sz w:val="32"/>
          <w:szCs w:val="32"/>
          <w:lang w:val="en-US" w:eastAsia="zh-CN"/>
        </w:rPr>
        <w:t>7527.46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126.12</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1558.84</w:t>
      </w:r>
      <w:r>
        <w:rPr>
          <w:rFonts w:hint="eastAsia" w:ascii="仿宋_GB2312" w:hAnsi="仿宋_GB2312" w:eastAsia="仿宋_GB2312" w:cs="仿宋_GB2312"/>
          <w:sz w:val="32"/>
          <w:szCs w:val="32"/>
        </w:rPr>
        <w:t>万元，决算数大于预算数主要原因是</w:t>
      </w:r>
      <w:r>
        <w:rPr>
          <w:rFonts w:hint="eastAsia" w:ascii="仿宋_GB2312" w:hAnsi="仿宋_GB2312" w:eastAsia="仿宋_GB2312" w:cs="仿宋_GB2312"/>
          <w:sz w:val="32"/>
          <w:szCs w:val="32"/>
          <w:lang w:eastAsia="zh-CN"/>
        </w:rPr>
        <w:t>中心型公益性骨灰堂建设项目和</w:t>
      </w:r>
      <w:r>
        <w:rPr>
          <w:rFonts w:hint="eastAsia" w:ascii="仿宋_GB2312" w:hAnsi="仿宋_GB2312" w:eastAsia="仿宋_GB2312" w:cs="仿宋_GB2312"/>
          <w:sz w:val="32"/>
          <w:szCs w:val="32"/>
        </w:rPr>
        <w:t>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w:t>
      </w:r>
      <w:r>
        <w:rPr>
          <w:rFonts w:hint="eastAsia" w:ascii="仿宋_GB2312" w:hAnsi="仿宋_GB2312" w:eastAsia="仿宋_GB2312" w:cs="仿宋_GB2312"/>
          <w:sz w:val="32"/>
          <w:szCs w:val="32"/>
          <w:lang w:eastAsia="zh-CN"/>
        </w:rPr>
        <w:t>支出比去年增加</w:t>
      </w:r>
      <w:r>
        <w:rPr>
          <w:rFonts w:hint="eastAsia" w:ascii="仿宋_GB2312" w:hAnsi="仿宋_GB2312" w:eastAsia="仿宋_GB2312" w:cs="仿宋_GB2312"/>
          <w:sz w:val="32"/>
          <w:szCs w:val="32"/>
        </w:rPr>
        <w:t>。具体情况如下：</w:t>
      </w:r>
    </w:p>
    <w:p>
      <w:pPr>
        <w:numPr>
          <w:ilvl w:val="0"/>
          <w:numId w:val="2"/>
        </w:num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一般公共预算财政拨款本年收入完成预算</w:t>
      </w:r>
      <w:r>
        <w:rPr>
          <w:rFonts w:hint="eastAsia" w:ascii="仿宋_GB2312" w:hAnsi="仿宋_GB2312" w:eastAsia="仿宋_GB2312" w:cs="仿宋_GB2312"/>
          <w:sz w:val="32"/>
          <w:szCs w:val="32"/>
          <w:lang w:val="en-US" w:eastAsia="zh-CN"/>
        </w:rPr>
        <w:t>97.92</w:t>
      </w:r>
      <w:r>
        <w:rPr>
          <w:rFonts w:hint="eastAsia" w:ascii="仿宋_GB2312" w:hAnsi="仿宋_GB2312" w:eastAsia="仿宋_GB2312" w:cs="仿宋_GB2312"/>
          <w:sz w:val="32"/>
          <w:szCs w:val="32"/>
        </w:rPr>
        <w:t>%，比预算减少</w:t>
      </w:r>
      <w:r>
        <w:rPr>
          <w:rFonts w:hint="eastAsia" w:ascii="仿宋_GB2312" w:hAnsi="仿宋_GB2312" w:eastAsia="仿宋_GB2312" w:cs="仿宋_GB2312"/>
          <w:sz w:val="32"/>
          <w:szCs w:val="32"/>
          <w:lang w:val="en-US" w:eastAsia="zh-CN"/>
        </w:rPr>
        <w:t>124.1</w:t>
      </w:r>
      <w:r>
        <w:rPr>
          <w:rFonts w:hint="eastAsia" w:ascii="仿宋_GB2312" w:hAnsi="仿宋_GB2312" w:eastAsia="仿宋_GB2312" w:cs="仿宋_GB2312"/>
          <w:sz w:val="32"/>
          <w:szCs w:val="32"/>
        </w:rPr>
        <w:t>万元；支出完成预算</w:t>
      </w:r>
      <w:r>
        <w:rPr>
          <w:rFonts w:hint="eastAsia" w:ascii="仿宋_GB2312" w:hAnsi="仿宋_GB2312" w:eastAsia="仿宋_GB2312" w:cs="仿宋_GB2312"/>
          <w:sz w:val="32"/>
          <w:szCs w:val="32"/>
          <w:lang w:val="en-US" w:eastAsia="zh-CN"/>
        </w:rPr>
        <w:t>109.07</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541.65</w:t>
      </w:r>
      <w:r>
        <w:rPr>
          <w:rFonts w:hint="eastAsia" w:ascii="仿宋_GB2312" w:hAnsi="仿宋_GB2312" w:eastAsia="仿宋_GB2312" w:cs="仿宋_GB2312"/>
          <w:sz w:val="32"/>
          <w:szCs w:val="32"/>
        </w:rPr>
        <w:t>万元，主要是上级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w:t>
      </w:r>
      <w:r>
        <w:rPr>
          <w:rFonts w:hint="eastAsia" w:ascii="仿宋_GB2312" w:hAnsi="仿宋_GB2312" w:eastAsia="仿宋_GB2312" w:cs="仿宋_GB2312"/>
          <w:sz w:val="32"/>
          <w:szCs w:val="32"/>
          <w:lang w:eastAsia="zh-CN"/>
        </w:rPr>
        <w:t>支出增加</w:t>
      </w:r>
      <w:r>
        <w:rPr>
          <w:rFonts w:hint="eastAsia" w:ascii="仿宋_GB2312" w:hAnsi="仿宋_GB2312" w:eastAsia="仿宋_GB2312" w:cs="仿宋_GB2312"/>
          <w:sz w:val="32"/>
          <w:szCs w:val="32"/>
        </w:rPr>
        <w:t>。</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highlight w:val="none"/>
        </w:rPr>
      </w:pPr>
      <w:r>
        <w:rPr>
          <w:rFonts w:hint="eastAsia" w:ascii="仿宋_GB2312" w:hAnsi="Times New Roman" w:eastAsia="仿宋_GB2312" w:cs="Wingdings"/>
          <w:sz w:val="32"/>
          <w:szCs w:val="32"/>
          <w:highlight w:val="none"/>
        </w:rPr>
        <w:t>政府性基金预算财政拨款本年收入完成预算</w:t>
      </w:r>
      <w:r>
        <w:rPr>
          <w:rFonts w:hint="eastAsia" w:ascii="仿宋_GB2312" w:hAnsi="Times New Roman" w:eastAsia="仿宋_GB2312" w:cs="Wingdings"/>
          <w:sz w:val="32"/>
          <w:szCs w:val="32"/>
          <w:highlight w:val="none"/>
          <w:lang w:val="en-US" w:eastAsia="zh-CN"/>
        </w:rPr>
        <w:t>15.99</w:t>
      </w:r>
      <w:r>
        <w:rPr>
          <w:rFonts w:hint="eastAsia" w:ascii="仿宋_GB2312" w:hAnsi="Times New Roman" w:eastAsia="仿宋_GB2312" w:cs="Wingdings"/>
          <w:sz w:val="32"/>
          <w:szCs w:val="32"/>
          <w:highlight w:val="none"/>
        </w:rPr>
        <w:t>%，比预算增加</w:t>
      </w:r>
      <w:r>
        <w:rPr>
          <w:rFonts w:hint="eastAsia" w:ascii="仿宋_GB2312" w:hAnsi="Times New Roman" w:eastAsia="仿宋_GB2312" w:cs="Wingdings"/>
          <w:sz w:val="32"/>
          <w:szCs w:val="32"/>
          <w:highlight w:val="none"/>
          <w:lang w:val="en-US" w:eastAsia="zh-CN"/>
        </w:rPr>
        <w:t>276.44</w:t>
      </w:r>
      <w:r>
        <w:rPr>
          <w:rFonts w:hint="eastAsia" w:ascii="仿宋_GB2312" w:hAnsi="Times New Roman" w:eastAsia="仿宋_GB2312" w:cs="Wingdings"/>
          <w:sz w:val="32"/>
          <w:szCs w:val="32"/>
          <w:highlight w:val="none"/>
        </w:rPr>
        <w:t>万元，主要是</w:t>
      </w:r>
      <w:r>
        <w:rPr>
          <w:rFonts w:hint="eastAsia" w:ascii="仿宋_GB2312" w:hAnsi="仿宋_GB2312" w:eastAsia="仿宋_GB2312" w:cs="仿宋_GB2312"/>
          <w:sz w:val="32"/>
          <w:szCs w:val="32"/>
          <w:lang w:eastAsia="zh-CN"/>
        </w:rPr>
        <w:t>中心型公益性骨灰堂建设</w:t>
      </w:r>
      <w:r>
        <w:rPr>
          <w:rFonts w:hint="eastAsia" w:ascii="仿宋_GB2312" w:hAnsi="Times New Roman" w:eastAsia="仿宋_GB2312" w:cs="Wingdings"/>
          <w:sz w:val="32"/>
          <w:szCs w:val="32"/>
          <w:highlight w:val="none"/>
          <w:lang w:eastAsia="zh-CN"/>
        </w:rPr>
        <w:t>项目资金安排到位等</w:t>
      </w:r>
      <w:r>
        <w:rPr>
          <w:rFonts w:hint="eastAsia" w:ascii="仿宋_GB2312" w:hAnsi="Times New Roman" w:eastAsia="仿宋_GB2312" w:cs="Wingdings"/>
          <w:sz w:val="32"/>
          <w:szCs w:val="32"/>
          <w:highlight w:val="none"/>
        </w:rPr>
        <w:t>；支出完成预算</w:t>
      </w:r>
      <w:r>
        <w:rPr>
          <w:rFonts w:hint="eastAsia" w:ascii="仿宋_GB2312" w:hAnsi="Times New Roman" w:eastAsia="仿宋_GB2312" w:cs="Wingdings"/>
          <w:sz w:val="32"/>
          <w:szCs w:val="32"/>
          <w:highlight w:val="none"/>
          <w:lang w:val="en-US" w:eastAsia="zh-CN"/>
        </w:rPr>
        <w:t>17.04</w:t>
      </w:r>
      <w:r>
        <w:rPr>
          <w:rFonts w:hint="eastAsia" w:ascii="仿宋_GB2312" w:hAnsi="Times New Roman" w:eastAsia="仿宋_GB2312" w:cs="Wingdings"/>
          <w:sz w:val="32"/>
          <w:szCs w:val="32"/>
          <w:highlight w:val="none"/>
        </w:rPr>
        <w:t>%，比预算增加</w:t>
      </w:r>
      <w:r>
        <w:rPr>
          <w:rFonts w:hint="eastAsia" w:ascii="仿宋_GB2312" w:hAnsi="Times New Roman" w:eastAsia="仿宋_GB2312" w:cs="Wingdings"/>
          <w:sz w:val="32"/>
          <w:szCs w:val="32"/>
          <w:highlight w:val="none"/>
          <w:lang w:val="en-US" w:eastAsia="zh-CN"/>
        </w:rPr>
        <w:t>339.19</w:t>
      </w:r>
      <w:r>
        <w:rPr>
          <w:rFonts w:hint="eastAsia" w:ascii="仿宋_GB2312" w:hAnsi="Times New Roman" w:eastAsia="仿宋_GB2312" w:cs="Wingdings"/>
          <w:sz w:val="32"/>
          <w:szCs w:val="32"/>
          <w:highlight w:val="none"/>
        </w:rPr>
        <w:t>万元，主要是</w:t>
      </w:r>
      <w:r>
        <w:rPr>
          <w:rFonts w:hint="eastAsia" w:ascii="仿宋_GB2312" w:hAnsi="仿宋_GB2312" w:eastAsia="仿宋_GB2312" w:cs="仿宋_GB2312"/>
          <w:sz w:val="32"/>
          <w:szCs w:val="32"/>
          <w:lang w:eastAsia="zh-CN"/>
        </w:rPr>
        <w:t>中心型公益性骨灰堂建设</w:t>
      </w:r>
      <w:r>
        <w:rPr>
          <w:rFonts w:hint="eastAsia" w:ascii="仿宋_GB2312" w:hAnsi="Times New Roman" w:eastAsia="仿宋_GB2312" w:cs="Wingdings"/>
          <w:sz w:val="32"/>
          <w:szCs w:val="32"/>
          <w:highlight w:val="none"/>
          <w:lang w:eastAsia="zh-CN"/>
        </w:rPr>
        <w:t>项目资金支出等。</w:t>
      </w: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7527.46万</w:t>
      </w:r>
      <w:r>
        <w:rPr>
          <w:rFonts w:hint="eastAsia" w:ascii="仿宋_GB2312" w:hAnsi="Times New Roman" w:eastAsia="仿宋_GB2312" w:cs="Wingdings"/>
          <w:sz w:val="32"/>
          <w:szCs w:val="32"/>
        </w:rPr>
        <w:t>元，主要用于以下方面</w:t>
      </w:r>
      <w:r>
        <w:rPr>
          <w:rFonts w:hint="eastAsia" w:ascii="仿宋_GB2312" w:hAnsi="Times New Roman" w:eastAsia="仿宋_GB2312" w:cs="Wingdings"/>
          <w:sz w:val="32"/>
          <w:szCs w:val="32"/>
          <w:lang w:eastAsia="zh-CN"/>
        </w:rPr>
        <w:t>其中社会保障和就业</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6009.31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79.83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39.78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0.53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农林水</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413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5.49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住房保障</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48.18</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0.64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其他</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1017.19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13.51</w:t>
      </w:r>
      <w:r>
        <w:rPr>
          <w:rFonts w:hint="eastAsia" w:ascii="仿宋_GB2312" w:hAnsi="Times New Roman" w:eastAsia="仿宋_GB2312" w:cs="Wingdings"/>
          <w:sz w:val="32"/>
          <w:szCs w:val="32"/>
        </w:rPr>
        <w:t>%。</w:t>
      </w:r>
    </w:p>
    <w:p>
      <w:pPr>
        <w:adjustRightInd w:val="0"/>
        <w:snapToGrid w:val="0"/>
        <w:spacing w:line="600" w:lineRule="exact"/>
        <w:rPr>
          <w:rFonts w:hint="eastAsia" w:ascii="楷体_GB2312" w:hAnsi="Times New Roman" w:eastAsia="楷体_GB2312" w:cs="Mongolian Baiti"/>
          <w:b/>
          <w:bCs/>
          <w:sz w:val="32"/>
          <w:szCs w:val="32"/>
          <w:lang w:eastAsia="zh-CN"/>
        </w:rPr>
      </w:pPr>
      <w:r>
        <w:rPr>
          <w:rFonts w:hint="eastAsia" w:ascii="楷体_GB2312" w:hAnsi="Times New Roman" w:eastAsia="楷体_GB2312" w:cs="Mongolian Baiti"/>
          <w:b/>
          <w:bCs/>
          <w:sz w:val="32"/>
          <w:szCs w:val="32"/>
          <w:lang w:eastAsia="zh-CN"/>
        </w:rPr>
        <w:drawing>
          <wp:anchor distT="0" distB="0" distL="114300" distR="114300" simplePos="0" relativeHeight="251670528" behindDoc="0" locked="0" layoutInCell="1" allowOverlap="1">
            <wp:simplePos x="0" y="0"/>
            <wp:positionH relativeFrom="column">
              <wp:posOffset>1014095</wp:posOffset>
            </wp:positionH>
            <wp:positionV relativeFrom="paragraph">
              <wp:posOffset>13970</wp:posOffset>
            </wp:positionV>
            <wp:extent cx="3669665" cy="2600325"/>
            <wp:effectExtent l="4445" t="4445" r="21590" b="5080"/>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1032.5</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734.22</w:t>
      </w:r>
      <w:r>
        <w:rPr>
          <w:rFonts w:hint="eastAsia" w:ascii="仿宋_GB2312" w:hAnsi="Times New Roman" w:eastAsia="仿宋_GB2312" w:cs="Wingdings"/>
          <w:sz w:val="32"/>
          <w:szCs w:val="32"/>
        </w:rPr>
        <w:t>万元，主要包括基本工资、津贴补贴、奖金、绩效工资、机关事业单位基本养老保险缴费、职业年金缴费、职工基本医疗保险缴费、住房公积金、其他社会保障缴费、其他工资福利支出、离休费、退休费、生活补助、医疗费补助、其他对个人和家庭的补助支出；公用经费</w:t>
      </w:r>
      <w:r>
        <w:rPr>
          <w:rFonts w:hint="eastAsia" w:ascii="仿宋_GB2312" w:hAnsi="Times New Roman" w:eastAsia="仿宋_GB2312" w:cs="Wingdings"/>
          <w:sz w:val="32"/>
          <w:szCs w:val="32"/>
          <w:lang w:val="en-US" w:eastAsia="zh-CN"/>
        </w:rPr>
        <w:t>298.28</w:t>
      </w:r>
      <w:r>
        <w:rPr>
          <w:rFonts w:hint="eastAsia" w:ascii="仿宋_GB2312" w:hAnsi="Times New Roman" w:eastAsia="仿宋_GB2312" w:cs="Wingdings"/>
          <w:sz w:val="32"/>
          <w:szCs w:val="32"/>
        </w:rPr>
        <w:t>万元，主要包括办公费、印刷费、手续费、水费、电费、邮电费、取暖费、差旅费、因公出国（境）费用、维修（护）费、会议费、劳务费、委托业务费、工会经费、福利费、其他交通费用</w:t>
      </w:r>
      <w:r>
        <w:rPr>
          <w:rFonts w:hint="eastAsia" w:ascii="仿宋_GB2312" w:hAnsi="Times New Roman" w:eastAsia="仿宋_GB2312" w:cs="Wingdings"/>
          <w:sz w:val="32"/>
          <w:szCs w:val="32"/>
          <w:lang w:eastAsia="zh-CN"/>
        </w:rPr>
        <w:t>。</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万元，决算</w:t>
      </w:r>
      <w:r>
        <w:rPr>
          <w:rFonts w:hint="eastAsia" w:ascii="仿宋_GB2312" w:hAnsi="Times New Roman" w:eastAsia="仿宋_GB2312" w:cs="Wingdings"/>
          <w:sz w:val="32"/>
          <w:szCs w:val="32"/>
          <w:lang w:eastAsia="zh-CN"/>
        </w:rPr>
        <w:t>未支出</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；较2019年度减少</w:t>
      </w:r>
      <w:r>
        <w:rPr>
          <w:rFonts w:hint="eastAsia" w:ascii="仿宋_GB2312" w:hAnsi="Times New Roman" w:eastAsia="仿宋_GB2312" w:cs="Wingdings"/>
          <w:sz w:val="32"/>
          <w:szCs w:val="32"/>
          <w:lang w:val="en-US" w:eastAsia="zh-CN"/>
        </w:rPr>
        <w:t>2.66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 w:hAnsi="仿宋" w:eastAsia="仿宋" w:cs="DengXian-Regular"/>
          <w:sz w:val="32"/>
          <w:szCs w:val="32"/>
        </w:rPr>
        <w:t>未发生此类支出，</w:t>
      </w:r>
      <w:r>
        <w:rPr>
          <w:rFonts w:hint="eastAsia" w:ascii="仿宋" w:hAnsi="仿宋" w:eastAsia="仿宋" w:cs="DengXian-Regular"/>
          <w:sz w:val="32"/>
          <w:szCs w:val="32"/>
          <w:lang w:val="en-US" w:eastAsia="zh-CN"/>
        </w:rPr>
        <w:t>较</w:t>
      </w:r>
      <w:r>
        <w:rPr>
          <w:rFonts w:hint="eastAsia" w:ascii="仿宋" w:hAnsi="仿宋" w:eastAsia="仿宋" w:cs="DengXian-Regular"/>
          <w:sz w:val="32"/>
          <w:szCs w:val="32"/>
        </w:rPr>
        <w:t>预算无增减变化。</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未发生此类支出，与预算持平，</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2.66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580" w:lineRule="exact"/>
        <w:ind w:firstLine="643" w:firstLineChars="200"/>
        <w:rPr>
          <w:rFonts w:hint="eastAsia" w:ascii="仿宋_GB2312" w:hAnsi="仿宋_GB2312" w:eastAsia="仿宋_GB2312" w:cs="仿宋_GB2312"/>
          <w:sz w:val="32"/>
          <w:szCs w:val="32"/>
        </w:rPr>
      </w:pPr>
      <w:r>
        <w:rPr>
          <w:rFonts w:hint="eastAsia" w:ascii="仿宋_GB2312" w:hAnsi="Times New Roman" w:eastAsia="仿宋_GB2312" w:cs="Wingdings"/>
          <w:b/>
          <w:sz w:val="32"/>
          <w:szCs w:val="32"/>
        </w:rPr>
        <w:t>公务用车购置费支出：</w:t>
      </w:r>
      <w:r>
        <w:rPr>
          <w:rFonts w:hint="eastAsia" w:ascii="仿宋_GB2312" w:hAnsi="仿宋_GB2312" w:eastAsia="仿宋_GB2312" w:cs="仿宋_GB2312"/>
          <w:sz w:val="32"/>
          <w:szCs w:val="32"/>
        </w:rPr>
        <w:t>本部门20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年度公务用车购置量0辆，发生“公务用车购置”经费支出0万元。公务用车购置费支出较预算无增减变化；较上年</w:t>
      </w:r>
      <w:r>
        <w:rPr>
          <w:rFonts w:hint="eastAsia" w:ascii="仿宋_GB2312" w:hAnsi="仿宋_GB2312" w:eastAsia="仿宋_GB2312" w:cs="仿宋_GB2312"/>
          <w:sz w:val="32"/>
          <w:szCs w:val="32"/>
          <w:lang w:val="en-US" w:eastAsia="zh-CN"/>
        </w:rPr>
        <w:t>无</w:t>
      </w:r>
      <w:r>
        <w:rPr>
          <w:rFonts w:hint="eastAsia" w:ascii="仿宋_GB2312" w:hAnsi="仿宋_GB2312" w:eastAsia="仿宋_GB2312" w:cs="仿宋_GB2312"/>
          <w:sz w:val="32"/>
          <w:szCs w:val="32"/>
        </w:rPr>
        <w:t>增减变化。</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未</w:t>
      </w:r>
      <w:r>
        <w:rPr>
          <w:rFonts w:hint="eastAsia" w:ascii="仿宋_GB2312" w:hAnsi="Times New Roman" w:eastAsia="仿宋_GB2312" w:cs="Wingdings"/>
          <w:sz w:val="32"/>
          <w:szCs w:val="32"/>
        </w:rPr>
        <w:t>发生运行维护费支出。公车运行维护费支出较预算</w:t>
      </w:r>
      <w:r>
        <w:rPr>
          <w:rFonts w:hint="eastAsia" w:ascii="仿宋_GB2312" w:hAnsi="Times New Roman" w:eastAsia="仿宋_GB2312" w:cs="Wingdings"/>
          <w:sz w:val="32"/>
          <w:szCs w:val="32"/>
          <w:lang w:eastAsia="zh-CN"/>
        </w:rPr>
        <w:t>无增减变化</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2.66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w:t>
      </w:r>
    </w:p>
    <w:p>
      <w:pPr>
        <w:numPr>
          <w:ilvl w:val="0"/>
          <w:numId w:val="2"/>
        </w:numPr>
        <w:adjustRightInd w:val="0"/>
        <w:snapToGrid w:val="0"/>
        <w:spacing w:line="600" w:lineRule="exact"/>
        <w:ind w:left="0" w:leftChars="0" w:firstLine="643" w:firstLineChars="200"/>
        <w:rPr>
          <w:rFonts w:hint="eastAsia" w:ascii="仿宋_GB2312" w:hAnsi="仿宋_GB2312" w:eastAsia="仿宋_GB2312" w:cs="仿宋_GB2312"/>
          <w:sz w:val="32"/>
          <w:szCs w:val="32"/>
        </w:rPr>
      </w:pPr>
      <w:r>
        <w:rPr>
          <w:rFonts w:hint="eastAsia" w:ascii="楷体_GB2312" w:hAnsi="Times New Roman" w:eastAsia="楷体_GB2312" w:cs="Mongolian Baiti"/>
          <w:b/>
          <w:bCs/>
          <w:sz w:val="32"/>
          <w:szCs w:val="32"/>
        </w:rPr>
        <w:t>公务接待费。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未发生此类支出，较预算无增减变化</w:t>
      </w:r>
      <w:r>
        <w:rPr>
          <w:rFonts w:hint="eastAsia" w:ascii="仿宋_GB2312" w:hAnsi="仿宋_GB2312" w:eastAsia="仿宋_GB2312" w:cs="仿宋_GB2312"/>
          <w:sz w:val="32"/>
          <w:szCs w:val="32"/>
          <w:lang w:eastAsia="zh-CN"/>
        </w:rPr>
        <w:t>，较上年决算无增减变化</w:t>
      </w:r>
      <w:r>
        <w:rPr>
          <w:rFonts w:hint="eastAsia" w:ascii="仿宋_GB2312" w:hAnsi="仿宋_GB2312" w:eastAsia="仿宋_GB2312" w:cs="仿宋_GB2312"/>
          <w:sz w:val="32"/>
          <w:szCs w:val="32"/>
        </w:rPr>
        <w:t>。</w:t>
      </w:r>
    </w:p>
    <w:p>
      <w:pPr>
        <w:numPr>
          <w:ilvl w:val="0"/>
          <w:numId w:val="2"/>
        </w:numPr>
        <w:adjustRightInd w:val="0"/>
        <w:snapToGrid w:val="0"/>
        <w:spacing w:line="600" w:lineRule="exact"/>
        <w:ind w:left="0" w:leftChars="0"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6.59</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56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扶贫产业项目入股分红</w:t>
      </w:r>
      <w:r>
        <w:rPr>
          <w:rFonts w:hint="eastAsia" w:ascii="仿宋_GB2312" w:hAnsi="仿宋_GB2312" w:eastAsia="仿宋_GB2312" w:cs="仿宋_GB2312"/>
          <w:sz w:val="32"/>
          <w:szCs w:val="32"/>
        </w:rPr>
        <w:t>”项目开展了部门重点评价，涉及一般公共预算支出</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万元。本部门在今年部门决算公开中反映产业扶贫项目</w:t>
      </w:r>
      <w:r>
        <w:rPr>
          <w:rFonts w:hint="eastAsia" w:ascii="仿宋_GB2312" w:hAnsi="仿宋_GB2312" w:eastAsia="仿宋_GB2312" w:cs="仿宋_GB2312"/>
          <w:sz w:val="32"/>
          <w:szCs w:val="32"/>
          <w:lang w:eastAsia="zh-CN"/>
        </w:rPr>
        <w:t>入股分红</w:t>
      </w:r>
      <w:r>
        <w:rPr>
          <w:rFonts w:hint="eastAsia" w:ascii="仿宋_GB2312" w:hAnsi="仿宋_GB2312" w:eastAsia="仿宋_GB2312" w:cs="仿宋_GB2312"/>
          <w:sz w:val="32"/>
          <w:szCs w:val="32"/>
        </w:rPr>
        <w:t>绩效自评结果</w:t>
      </w:r>
      <w:r>
        <w:rPr>
          <w:rFonts w:hint="eastAsia" w:ascii="仿宋_GB2312" w:hAnsi="仿宋_GB2312" w:eastAsia="仿宋_GB2312" w:cs="仿宋_GB2312"/>
          <w:sz w:val="32"/>
          <w:szCs w:val="32"/>
          <w:lang w:val="en-US" w:eastAsia="zh-CN"/>
        </w:rPr>
        <w:t>(无绩效自评表)</w:t>
      </w:r>
      <w:r>
        <w:rPr>
          <w:rFonts w:hint="eastAsia" w:ascii="仿宋_GB2312" w:hAnsi="仿宋_GB2312" w:eastAsia="仿宋_GB2312" w:cs="仿宋_GB2312"/>
          <w:sz w:val="32"/>
          <w:szCs w:val="32"/>
        </w:rPr>
        <w:t>。根据省、市关于做好</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rPr>
        <w:t>年度财政专项扶贫资金绩效评价工作的通知，我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高度重视，按照“科学性、规范性、客观性和公正性”的原则，认真开展了</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rPr>
        <w:t>年扶贫项目绩效评价工作，并形成本评价报告。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扶贫产业项目入股分红</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扶贫产业项目入股分红</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绩效自评表）。全年预算数为</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楷体" w:hAnsi="楷体" w:eastAsia="楷体" w:cs="楷体"/>
          <w:b/>
          <w:bCs/>
          <w:sz w:val="32"/>
          <w:szCs w:val="32"/>
          <w:lang w:val="en-US" w:eastAsia="zh-CN"/>
        </w:rPr>
        <w:t>一是</w:t>
      </w:r>
      <w:r>
        <w:rPr>
          <w:rFonts w:hint="eastAsia" w:ascii="仿宋_GB2312" w:hAnsi="仿宋_GB2312" w:eastAsia="仿宋_GB2312" w:cs="仿宋_GB2312"/>
          <w:sz w:val="32"/>
          <w:szCs w:val="32"/>
          <w:lang w:val="en-US" w:eastAsia="zh-CN"/>
        </w:rPr>
        <w:t>根据2020年省、市下拨扶贫专项资金通知要求，我区2020年产业项目经区领导小组会议研究同意后，实施了入股分红扶贫项目，省、市、区共计434.5万元，其中：省级资金290万元，市级资金50万元，本级资金70万元（按照年利率6.5%收取分红利息），</w:t>
      </w:r>
      <w:r>
        <w:rPr>
          <w:rFonts w:hint="eastAsia" w:ascii="宋体" w:hAnsi="宋体" w:eastAsia="仿宋_GB2312" w:cs="仿宋_GB2312"/>
          <w:sz w:val="32"/>
          <w:szCs w:val="32"/>
          <w:lang w:val="en-US" w:eastAsia="zh-CN"/>
        </w:rPr>
        <w:t>后期追加本级资金24.5万元（属于2019年入股分红到期后返回的本金），鹿泉区民政局根据区领导小组决议，及时将入股分红资金拨付至相关企业，资金到位率100%；</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2020年为贫困户发放入股分红收益15.22万元；光伏收益资金26.23万元。目前，我区动态调整后，我区贫困户为118户，318人。</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rPr>
        <w:t>项目前期可行性研究论证不够充分，后续工作部署缺失总体规划</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项目立项前期委托第三方开展项目可行性研究论证，但项目前期可行性研究论证的充分性有待提升，主要表现在：</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贫困户并未实际参与生产经营，而是坐享分红，并未起到“造血”的作用，难以增强贫困户自我发展能力</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lang w:eastAsia="zh-CN"/>
        </w:rPr>
        <w:t>项目没有仅仅依托自身的优势，对市场研判和风险评估分析不够，存在一定的市场风险</w:t>
      </w:r>
      <w:r>
        <w:rPr>
          <w:rFonts w:hint="eastAsia" w:ascii="仿宋_GB2312" w:hAnsi="仿宋_GB2312" w:eastAsia="仿宋_GB2312" w:cs="仿宋_GB2312"/>
          <w:sz w:val="32"/>
          <w:szCs w:val="32"/>
        </w:rPr>
        <w:t>。</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（二）针对问题提出具体的改进措施或建议</w:t>
      </w:r>
    </w:p>
    <w:p>
      <w:pPr>
        <w:adjustRightInd w:val="0"/>
        <w:snapToGrid w:val="0"/>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加强项目立项前期论证的深度和广度，全面做好项目实施总体规划</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建议项目单位在以后年度类似项目工作中，在项目立项前期加大项目可行性研究论证深度和广度，结合项目需求、市场价格等做好项目成本预算分析，形成科学、合理的预算测算，为后续工作开展形成强有力的成本控制约束。建议项目单位</w:t>
      </w:r>
      <w:r>
        <w:rPr>
          <w:rFonts w:hint="eastAsia" w:ascii="仿宋_GB2312" w:hAnsi="仿宋_GB2312" w:eastAsia="仿宋_GB2312" w:cs="仿宋_GB2312"/>
          <w:sz w:val="32"/>
          <w:szCs w:val="32"/>
          <w:lang w:eastAsia="zh-CN"/>
        </w:rPr>
        <w:t>加大农村产业项目扶持，切实带动贫困户的自身“造血”功能，完善产业扶持体系，与乡村振兴战略衔接，</w:t>
      </w:r>
      <w:r>
        <w:rPr>
          <w:rFonts w:hint="eastAsia" w:ascii="仿宋_GB2312" w:hAnsi="仿宋_GB2312" w:eastAsia="仿宋_GB2312" w:cs="仿宋_GB2312"/>
          <w:sz w:val="32"/>
          <w:szCs w:val="32"/>
        </w:rPr>
        <w:t>按照年度预算管理要求和规范的项目申报程序，申请年度项目资金，区财政局按照批复程序于当年度内下达全部预算</w:t>
      </w:r>
      <w:r>
        <w:rPr>
          <w:rFonts w:hint="eastAsia" w:ascii="仿宋_GB2312" w:hAnsi="仿宋_GB2312" w:eastAsia="仿宋_GB2312" w:cs="仿宋_GB2312"/>
          <w:b/>
          <w:bCs/>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273.83</w:t>
      </w:r>
      <w:r>
        <w:rPr>
          <w:rFonts w:hint="eastAsia" w:ascii="仿宋_GB2312" w:hAnsi="仿宋_GB2312" w:eastAsia="仿宋_GB2312" w:cs="仿宋_GB2312"/>
          <w:sz w:val="32"/>
          <w:szCs w:val="32"/>
        </w:rPr>
        <w:t>万元，比2019年度增加</w:t>
      </w:r>
      <w:r>
        <w:rPr>
          <w:rFonts w:hint="eastAsia" w:ascii="仿宋_GB2312" w:hAnsi="仿宋_GB2312" w:eastAsia="仿宋_GB2312" w:cs="仿宋_GB2312"/>
          <w:sz w:val="32"/>
          <w:szCs w:val="32"/>
          <w:lang w:val="en-US" w:eastAsia="zh-CN"/>
        </w:rPr>
        <w:t>96.2</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54.16</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按照工作需要增加了劳务派遣人员</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highlight w:val="none"/>
          <w:lang w:val="en-US" w:eastAsia="zh-CN"/>
        </w:rPr>
        <w:t>171</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政府采购工程支出</w:t>
      </w:r>
      <w:r>
        <w:rPr>
          <w:rFonts w:hint="eastAsia" w:ascii="仿宋_GB2312" w:hAnsi="仿宋_GB2312" w:eastAsia="仿宋_GB2312" w:cs="仿宋_GB2312"/>
          <w:color w:val="000000"/>
          <w:kern w:val="0"/>
          <w:sz w:val="32"/>
          <w:szCs w:val="32"/>
          <w:lang w:val="en-US" w:eastAsia="zh-CN" w:bidi="ar"/>
        </w:rPr>
        <w:t>171</w:t>
      </w:r>
      <w:r>
        <w:rPr>
          <w:rFonts w:hint="eastAsia"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eastAsia="zh-CN" w:bidi="ar"/>
        </w:rPr>
        <w:t>，</w:t>
      </w:r>
      <w:r>
        <w:rPr>
          <w:rFonts w:hint="eastAsia" w:ascii="仿宋_GB2312" w:hAnsi="仿宋_GB2312" w:eastAsia="仿宋_GB2312" w:cs="仿宋_GB2312"/>
          <w:color w:val="000000"/>
          <w:kern w:val="0"/>
          <w:sz w:val="32"/>
          <w:szCs w:val="32"/>
          <w:lang w:bidi="ar"/>
        </w:rPr>
        <w:t>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171</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无增减变化。</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rPr>
        <w:t>收支及结转结余情况，故国有资产经营预算财政收入支出表以空表列示。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1312;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Jdu0e2AAAAAsBAAAPAAAAAAAAAAEAIAAAACIAAABkcnMvZG93bnJldi54&#10;bWxQSwECFAAUAAAACACHTuJA+DKZGGwCAAD+BAAADgAAAAAAAAABACAAAAAnAQAAZHJzL2Uyb0Rv&#10;Yy54bWxQSwUGAAAAAAYABgBZAQAABQYAAAAA&#10;">
                <v:fill type="pattern" on="t" color2="#FFFFFF [3212]" focussize="0,0" r:id="rId17"/>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4"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7"/>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tbl>
      <w:tblPr>
        <w:tblStyle w:val="6"/>
        <w:tblW w:w="896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502"/>
        <w:gridCol w:w="612"/>
        <w:gridCol w:w="1256"/>
        <w:gridCol w:w="2569"/>
        <w:gridCol w:w="563"/>
        <w:gridCol w:w="14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2502"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5000" w:type="dxa"/>
            <w:gridSpan w:val="4"/>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收入支出决算总表</w:t>
            </w:r>
          </w:p>
        </w:tc>
        <w:tc>
          <w:tcPr>
            <w:tcW w:w="146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250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1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5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56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5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465"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4370" w:type="dxa"/>
            <w:gridSpan w:val="3"/>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256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028"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370"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4597" w:type="dxa"/>
            <w:gridSpan w:val="3"/>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25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46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612"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25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63"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6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5,844.46</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954.44</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73.15</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6,082.46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center"/>
              <w:rPr>
                <w:rFonts w:hint="eastAsia" w:ascii="宋体" w:hAnsi="宋体" w:eastAsia="宋体" w:cs="宋体"/>
                <w:b/>
                <w:bCs/>
                <w:i w:val="0"/>
                <w:iCs w:val="0"/>
                <w:color w:val="000000"/>
                <w:sz w:val="20"/>
                <w:szCs w:val="20"/>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0"/>
                <w:szCs w:val="20"/>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6,872.06</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7,600.61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1,164.08</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61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25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569"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465"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2"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612" w:type="dxa"/>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25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8,036.14</w:t>
            </w:r>
          </w:p>
        </w:tc>
        <w:tc>
          <w:tcPr>
            <w:tcW w:w="2569"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46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8,036.14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967" w:type="dxa"/>
            <w:gridSpan w:val="6"/>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注：本表反映部门本年度的总收支和年末结转结余情况。本套报表金额单位转换时可能存在尾数误差。</w:t>
            </w:r>
          </w:p>
        </w:tc>
      </w:tr>
    </w:tbl>
    <w:p>
      <w:pPr>
        <w:spacing w:line="400" w:lineRule="exact"/>
        <w:jc w:val="both"/>
        <w:rPr>
          <w:rFonts w:ascii="黑体" w:hAnsi="宋体" w:eastAsia="黑体" w:cs="黑体"/>
          <w:color w:val="000000"/>
          <w:kern w:val="0"/>
          <w:sz w:val="28"/>
          <w:szCs w:val="28"/>
          <w:lang w:bidi="ar"/>
        </w:rPr>
      </w:pPr>
    </w:p>
    <w:p>
      <w:pP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r>
        <w:rPr>
          <w:rFonts w:ascii="黑体" w:hAnsi="宋体" w:eastAsia="黑体" w:cs="黑体"/>
          <w:color w:val="000000"/>
          <w:kern w:val="0"/>
          <w:sz w:val="28"/>
          <w:szCs w:val="28"/>
          <w:lang w:bidi="ar"/>
        </w:rPr>
        <w:br w:type="page"/>
      </w:r>
    </w:p>
    <w:tbl>
      <w:tblPr>
        <w:tblStyle w:val="6"/>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11"/>
        <w:gridCol w:w="254"/>
        <w:gridCol w:w="240"/>
        <w:gridCol w:w="2197"/>
        <w:gridCol w:w="1463"/>
        <w:gridCol w:w="1312"/>
        <w:gridCol w:w="1369"/>
        <w:gridCol w:w="1144"/>
        <w:gridCol w:w="881"/>
        <w:gridCol w:w="1360"/>
        <w:gridCol w:w="13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311"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25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19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169" w:type="dxa"/>
            <w:gridSpan w:val="5"/>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收入决算表</w:t>
            </w:r>
          </w:p>
        </w:tc>
        <w:tc>
          <w:tcPr>
            <w:tcW w:w="136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48"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31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5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19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4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1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6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4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8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6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48"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5465" w:type="dxa"/>
            <w:gridSpan w:val="5"/>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131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6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4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589" w:type="dxa"/>
            <w:gridSpan w:val="3"/>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02"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463"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1312"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1369"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1144"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881"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136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1348"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2197"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6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1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6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6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4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197"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6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1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6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6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4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197"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46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1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6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8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6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48"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02"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463"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12"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69"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44"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81"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36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348"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02"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6,872.06</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6,798.91</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73.15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5,420.25</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5,347.10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民政管理事务</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1,081.71</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1,045.57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906.91</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870.77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71.60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71.60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2080207</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行政区划和地名管理</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2080208</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75.32</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75.32</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2080299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其他民政管理事务支出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42.14</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42.14</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42.14</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42.14</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抚恤</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伤残抚恤</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社会福利</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1,463.26</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1,463.26</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儿童福利</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110.59</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110.59</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老年福利</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904.69</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904.69</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2081004</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殡葬</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258.30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258.30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2081005</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社会福利事业单位</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36.27</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36.27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2081006</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养老服务</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153.42</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153.42</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残疾人事业</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425.26</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425.26</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2081107</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残疾人生活和护理补贴</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425.26</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425.26</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最低生活保障</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1,254.00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1,234.42</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城市最低生活保障金支出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农村最低生活保障金支出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1,240.00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1,220.42</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临时救助</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101.85</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101.85</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临时救助支出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32.25</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32.25</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流浪乞讨人员救助支出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69.60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69.60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特困人员救助供养</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978.77</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978.77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农村特困人员救助供养支出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978.77</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978.77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20899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其他社会保障和就业支出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2089901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其他社会保障和就业支出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36.89</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36.89</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36.89</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36.89</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13.99</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13.99</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扶贫</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2130506</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社会发展</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2130599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其他扶贫支出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410.00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410.00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47.47</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47.47</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47.47</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47.47</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954.44</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954.44</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22908</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彩票发行销售机构业务费安排的支出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2290804</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福利彩票销售机构的业务费支出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彩票公益金安排的支出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910.94</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910.94</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2296001</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用于补充全国社会保障基金的彩票公益金支出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2296002</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用于社会福利的彩票公益金支出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838.90</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838.90</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805"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2296099</w:t>
            </w:r>
          </w:p>
        </w:tc>
        <w:tc>
          <w:tcPr>
            <w:tcW w:w="219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用于其他社会公益事业的彩票公益金支出</w:t>
            </w:r>
          </w:p>
        </w:tc>
        <w:tc>
          <w:tcPr>
            <w:tcW w:w="14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131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136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6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4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879" w:type="dxa"/>
            <w:gridSpan w:val="11"/>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注：本表反映部门本年度取得的各项收入情况。</w:t>
            </w:r>
          </w:p>
        </w:tc>
      </w:tr>
    </w:tbl>
    <w:p>
      <w:pPr>
        <w:spacing w:line="400" w:lineRule="exact"/>
        <w:jc w:val="both"/>
        <w:rPr>
          <w:rFonts w:ascii="黑体" w:hAnsi="宋体" w:eastAsia="黑体" w:cs="黑体"/>
          <w:color w:val="000000"/>
          <w:kern w:val="0"/>
          <w:sz w:val="28"/>
          <w:szCs w:val="28"/>
          <w:lang w:bidi="ar"/>
        </w:rPr>
        <w:sectPr>
          <w:pgSz w:w="16838" w:h="11906" w:orient="landscape"/>
          <w:pgMar w:top="1531" w:right="2098" w:bottom="1531" w:left="1984" w:header="851" w:footer="992" w:gutter="0"/>
          <w:cols w:space="425" w:num="1"/>
          <w:docGrid w:type="lines" w:linePitch="312" w:charSpace="0"/>
        </w:sectPr>
      </w:pPr>
    </w:p>
    <w:p>
      <w:pPr>
        <w:rPr>
          <w:rFonts w:hint="eastAsia" w:ascii="Arial" w:hAnsi="Arial" w:cs="Arial"/>
          <w:i w:val="0"/>
          <w:iCs w:val="0"/>
          <w:color w:val="000000"/>
          <w:sz w:val="20"/>
          <w:szCs w:val="20"/>
          <w:u w:val="none"/>
        </w:rPr>
      </w:pPr>
    </w:p>
    <w:tbl>
      <w:tblPr>
        <w:tblStyle w:val="6"/>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07"/>
        <w:gridCol w:w="240"/>
        <w:gridCol w:w="240"/>
        <w:gridCol w:w="2764"/>
        <w:gridCol w:w="1631"/>
        <w:gridCol w:w="1519"/>
        <w:gridCol w:w="1613"/>
        <w:gridCol w:w="1200"/>
        <w:gridCol w:w="1194"/>
        <w:gridCol w:w="13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107"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9921" w:type="dxa"/>
            <w:gridSpan w:val="6"/>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支出决算表</w:t>
            </w:r>
          </w:p>
        </w:tc>
        <w:tc>
          <w:tcPr>
            <w:tcW w:w="137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0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76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63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51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61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9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71"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4351"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163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51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5378" w:type="dxa"/>
            <w:gridSpan w:val="4"/>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351"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631"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1519"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613"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200"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1194"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1371"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2764"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63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1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1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0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9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7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764"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63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1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1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0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9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7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764"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63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19"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1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00"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94"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71"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351"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631"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19"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613"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00"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94"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371" w:type="dxa"/>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4351"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7,600.61</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1,202.43</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6,398.18</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6,082.46</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980.68</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5,101.78</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民政管理事务</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1,110.46</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935.65</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174.80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935.65</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935.65</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71.60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71.60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2080207</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行政区划和地名管理</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2080208</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75.32</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75.32</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2080299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其他民政管理事务支出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抚恤</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伤残抚恤</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社会福利</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1,595.70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1,595.70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儿童福利</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124.30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124.30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老年福利</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1,013.42</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1,013.42</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2081004</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殡葬</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258.30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258.30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2081005</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社会福利事业单位</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46.27</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46.27</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2081006</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养老服务</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153.42</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153.42</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残疾人事业</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470.92</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470.92</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2081107</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残疾人生活和护理补贴</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312.97</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312.97</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2081199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其他残疾人事业支出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157.95</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157.95</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最低生活保障</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1,504.00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1,504.00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城市最低生活保障金支出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农村最低生活保障金支出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1,490.00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1,490.00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临时救助</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115.84</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115.84</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临时救助支出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52.45</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52.45</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流浪乞讨人员救助支出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63.39</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63.39</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特困人员救助供养</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1,167.28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1,167.28</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城市特困人员救助供养支出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农村特困人员救助供养支出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1,019.28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1,019.28</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20899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其他社会保障和就业支出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2089901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其他社会保障和就业支出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25.52</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25.52</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14.26</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14.26</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扶贫</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2130506</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社会发展</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2130599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其他扶贫支出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410.00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410.00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1,017.19</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883.40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22908</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彩票发行销售机构业务费安排的支出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2290804</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福利彩票销售机构的业务费支出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彩票公益金安排的支出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883.40</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883.40</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2296001</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用于补充全国社会保障基金的彩票公益金支出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2296002</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用于社会福利的彩票公益金支出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811.36</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811.36</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87"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2296099</w:t>
            </w:r>
          </w:p>
        </w:tc>
        <w:tc>
          <w:tcPr>
            <w:tcW w:w="276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用于其他社会公益事业的彩票公益金支出</w:t>
            </w:r>
          </w:p>
        </w:tc>
        <w:tc>
          <w:tcPr>
            <w:tcW w:w="163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1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12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9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1"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879" w:type="dxa"/>
            <w:gridSpan w:val="10"/>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注：本表反映部门本年度各项支出情况。</w:t>
            </w:r>
          </w:p>
        </w:tc>
      </w:tr>
    </w:tbl>
    <w:p>
      <w:pPr>
        <w:rPr>
          <w:rFonts w:hint="eastAsia" w:ascii="Arial" w:hAnsi="Arial" w:cs="Arial"/>
          <w:i w:val="0"/>
          <w:color w:val="000000"/>
          <w:sz w:val="20"/>
          <w:szCs w:val="20"/>
          <w:u w:val="none"/>
        </w:rPr>
      </w:pPr>
      <w:r>
        <w:rPr>
          <w:rFonts w:hint="eastAsia" w:ascii="Arial" w:hAnsi="Arial" w:cs="Arial"/>
          <w:i w:val="0"/>
          <w:color w:val="000000"/>
          <w:sz w:val="20"/>
          <w:szCs w:val="20"/>
          <w:u w:val="none"/>
        </w:rPr>
        <w:br w:type="page"/>
      </w:r>
    </w:p>
    <w:p>
      <w:pPr>
        <w:rPr>
          <w:rFonts w:hint="eastAsia" w:ascii="Arial" w:hAnsi="Arial" w:cs="Arial"/>
          <w:i w:val="0"/>
          <w:color w:val="000000"/>
          <w:sz w:val="20"/>
          <w:szCs w:val="20"/>
          <w:u w:val="none"/>
        </w:rPr>
        <w:sectPr>
          <w:pgSz w:w="16838" w:h="11906" w:orient="landscape"/>
          <w:pgMar w:top="1531" w:right="2098" w:bottom="1531" w:left="1984" w:header="851" w:footer="992" w:gutter="0"/>
          <w:cols w:space="425" w:num="1"/>
          <w:docGrid w:type="lines" w:linePitch="312" w:charSpace="0"/>
        </w:sectPr>
      </w:pPr>
    </w:p>
    <w:p>
      <w:pPr>
        <w:rPr>
          <w:rFonts w:hint="eastAsia" w:ascii="Arial" w:hAnsi="Arial" w:cs="Arial"/>
          <w:i w:val="0"/>
          <w:color w:val="000000"/>
          <w:sz w:val="20"/>
          <w:szCs w:val="20"/>
          <w:u w:val="none"/>
        </w:rPr>
      </w:pPr>
    </w:p>
    <w:tbl>
      <w:tblPr>
        <w:tblStyle w:val="6"/>
        <w:tblW w:w="955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67"/>
        <w:gridCol w:w="413"/>
        <w:gridCol w:w="1143"/>
        <w:gridCol w:w="1541"/>
        <w:gridCol w:w="563"/>
        <w:gridCol w:w="1218"/>
        <w:gridCol w:w="1163"/>
        <w:gridCol w:w="1106"/>
        <w:gridCol w:w="8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6" w:hRule="atLeast"/>
        </w:trPr>
        <w:tc>
          <w:tcPr>
            <w:tcW w:w="1567" w:type="dxa"/>
            <w:tcBorders>
              <w:top w:val="nil"/>
              <w:left w:val="nil"/>
              <w:bottom w:val="nil"/>
              <w:right w:val="nil"/>
            </w:tcBorders>
            <w:shd w:val="clear" w:color="auto" w:fill="auto"/>
            <w:noWrap/>
            <w:vAlign w:val="bottom"/>
          </w:tcPr>
          <w:p>
            <w:pPr>
              <w:rPr>
                <w:rFonts w:hint="eastAsia" w:ascii="Arial" w:hAnsi="Arial" w:cs="Arial"/>
                <w:i w:val="0"/>
                <w:iCs w:val="0"/>
                <w:color w:val="000000"/>
                <w:sz w:val="20"/>
                <w:szCs w:val="20"/>
                <w:u w:val="none"/>
              </w:rPr>
            </w:pPr>
          </w:p>
        </w:tc>
        <w:tc>
          <w:tcPr>
            <w:tcW w:w="6041" w:type="dxa"/>
            <w:gridSpan w:val="6"/>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财政拨款收入支出决算总表</w:t>
            </w:r>
          </w:p>
        </w:tc>
        <w:tc>
          <w:tcPr>
            <w:tcW w:w="110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4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 w:hRule="atLeast"/>
        </w:trPr>
        <w:tc>
          <w:tcPr>
            <w:tcW w:w="156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1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4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54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5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18"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950"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4664"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5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18"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113" w:type="dxa"/>
            <w:gridSpan w:val="3"/>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123"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6435" w:type="dxa"/>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trPr>
        <w:tc>
          <w:tcPr>
            <w:tcW w:w="1567"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1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14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54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6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1218"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6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1106"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84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1567"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1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4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4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56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8"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6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06"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4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13"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4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63" w:type="dxa"/>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218"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0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44"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5,844.46</w:t>
            </w: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954.44</w:t>
            </w: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6,009.31</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6,009.31</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1,017.19</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1,017.19</w:t>
            </w: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center"/>
              <w:rPr>
                <w:rFonts w:hint="eastAsia" w:ascii="宋体" w:hAnsi="宋体" w:eastAsia="宋体" w:cs="宋体"/>
                <w:b/>
                <w:bCs/>
                <w:i w:val="0"/>
                <w:iCs w:val="0"/>
                <w:color w:val="000000"/>
                <w:sz w:val="20"/>
                <w:szCs w:val="20"/>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0"/>
                <w:szCs w:val="20"/>
                <w:u w:val="none"/>
              </w:rPr>
            </w:pP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14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6,798.91</w:t>
            </w: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7,527.46</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6,510.27</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1,017.19</w:t>
            </w: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1,164.08</w:t>
            </w: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435.53</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230.30</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205.23</w:t>
            </w: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896.10</w:t>
            </w:r>
          </w:p>
        </w:tc>
        <w:tc>
          <w:tcPr>
            <w:tcW w:w="1541"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21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267.97</w:t>
            </w:r>
          </w:p>
        </w:tc>
        <w:tc>
          <w:tcPr>
            <w:tcW w:w="1541"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21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4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41"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218"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6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06"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84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567"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413" w:type="dxa"/>
            <w:tcBorders>
              <w:top w:val="nil"/>
              <w:left w:val="nil"/>
              <w:bottom w:val="single" w:color="000000" w:sz="8"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14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7,962.99</w:t>
            </w:r>
          </w:p>
        </w:tc>
        <w:tc>
          <w:tcPr>
            <w:tcW w:w="154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218"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7,962.99</w:t>
            </w:r>
          </w:p>
        </w:tc>
        <w:tc>
          <w:tcPr>
            <w:tcW w:w="116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6,740.57</w:t>
            </w:r>
          </w:p>
        </w:tc>
        <w:tc>
          <w:tcPr>
            <w:tcW w:w="11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1,222.42</w:t>
            </w:r>
          </w:p>
        </w:tc>
        <w:tc>
          <w:tcPr>
            <w:tcW w:w="84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714" w:type="dxa"/>
            <w:gridSpan w:val="8"/>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844"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20"/>
                <w:szCs w:val="20"/>
                <w:u w:val="none"/>
              </w:rPr>
            </w:pPr>
          </w:p>
        </w:tc>
      </w:tr>
    </w:tbl>
    <w:p>
      <w:pPr>
        <w:rPr>
          <w:rFonts w:ascii="黑体" w:hAnsi="宋体" w:eastAsia="黑体" w:cs="黑体"/>
          <w:color w:val="000000"/>
          <w:kern w:val="0"/>
          <w:sz w:val="28"/>
          <w:szCs w:val="28"/>
          <w:lang w:bidi="ar"/>
        </w:rPr>
        <w:sectPr>
          <w:pgSz w:w="11906" w:h="16838"/>
          <w:pgMar w:top="1417" w:right="1134" w:bottom="1417" w:left="1134" w:header="851" w:footer="992" w:gutter="0"/>
          <w:cols w:space="0" w:num="1"/>
          <w:rtlGutter w:val="0"/>
          <w:docGrid w:type="lines" w:linePitch="312" w:charSpace="0"/>
        </w:sectPr>
      </w:pPr>
    </w:p>
    <w:tbl>
      <w:tblPr>
        <w:tblStyle w:val="6"/>
        <w:tblW w:w="936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60"/>
        <w:gridCol w:w="262"/>
        <w:gridCol w:w="737"/>
        <w:gridCol w:w="4290"/>
        <w:gridCol w:w="1103"/>
        <w:gridCol w:w="1103"/>
        <w:gridCol w:w="16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364" w:type="dxa"/>
            <w:gridSpan w:val="7"/>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26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6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2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28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606"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5545"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11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0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606"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58"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819"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4284"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0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10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61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1261"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284"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0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0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1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284"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10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0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61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58"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00"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00"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606"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58"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6,510.27</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1,032.50</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5,477.77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6,009.31</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944.54</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5,064.77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民政管理事务</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1,074.31</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899.51</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899.51</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899.51</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71.60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2080207</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行政区划和地名管理</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2080208</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75.32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2080299</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其他民政管理事务支出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45.03</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抚恤</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2080802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伤残抚恤</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社会福利</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1,595.70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儿童福利</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124.30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老年福利</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1,013.42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2081004</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殡葬</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258.30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2081005</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社会福利事业单位</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46.27</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2081006</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养老服务</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残疾人事业</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470.92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470.92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2081107</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残疾人生活和护理补贴</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312.97</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2081199</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其他残疾人事业支出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157.95</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最低生活保障</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1,484.42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1,484.42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城市最低生活保障金支出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2081902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农村最低生活保障金支出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1,470.42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临时救助</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115.84</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临时救助支出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52.45</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2082002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流浪乞讨人员救助支出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63.39</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特困人员救助供养</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1,167.28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1,167.28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城市特困人员救助供养支出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148.00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2082102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农村特困人员救助供养支出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1,019.28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39.78</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25.52</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25.52</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14.26</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14.26</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扶贫</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2130506</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社会发展</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2130599</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其他扶贫支出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410.00</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261"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42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100"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48.18</w:t>
            </w:r>
          </w:p>
        </w:tc>
        <w:tc>
          <w:tcPr>
            <w:tcW w:w="1606"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bl>
    <w:p>
      <w:pPr>
        <w:rPr>
          <w:rFonts w:hint="eastAsia" w:ascii="Arial" w:hAnsi="Arial" w:cs="Arial"/>
          <w:i w:val="0"/>
          <w:color w:val="000000"/>
          <w:sz w:val="20"/>
          <w:szCs w:val="20"/>
          <w:u w:val="none"/>
        </w:rPr>
        <w:sectPr>
          <w:pgSz w:w="11906" w:h="16838"/>
          <w:pgMar w:top="1417" w:right="1531" w:bottom="1417" w:left="1134" w:header="851" w:footer="992" w:gutter="0"/>
          <w:cols w:space="425" w:num="1"/>
          <w:docGrid w:type="lines" w:linePitch="312" w:charSpace="0"/>
        </w:sect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p>
      <w:pPr>
        <w:rPr>
          <w:rFonts w:hint="eastAsia" w:ascii="Arial" w:hAnsi="Arial" w:cs="Arial"/>
          <w:i w:val="0"/>
          <w:color w:val="000000"/>
          <w:sz w:val="20"/>
          <w:szCs w:val="20"/>
          <w:u w:val="none"/>
        </w:rPr>
      </w:pPr>
    </w:p>
    <w:tbl>
      <w:tblPr>
        <w:tblStyle w:val="6"/>
        <w:tblW w:w="1412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63"/>
        <w:gridCol w:w="1725"/>
        <w:gridCol w:w="1275"/>
        <w:gridCol w:w="863"/>
        <w:gridCol w:w="1781"/>
        <w:gridCol w:w="1219"/>
        <w:gridCol w:w="1305"/>
        <w:gridCol w:w="4071"/>
        <w:gridCol w:w="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4127" w:type="dxa"/>
            <w:gridSpan w:val="9"/>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0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72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7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8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78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1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0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896"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4063" w:type="dxa"/>
            <w:gridSpan w:val="3"/>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86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78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1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0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896"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63" w:type="dxa"/>
            <w:gridSpan w:val="3"/>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10064" w:type="dxa"/>
            <w:gridSpan w:val="6"/>
            <w:tcBorders>
              <w:top w:val="single" w:color="000000" w:sz="4" w:space="0"/>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72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7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86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78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19"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130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071"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2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72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6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78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19"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0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071"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82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601.17</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298.28</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132.93</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31.73</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63.43</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79.88</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66.89</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63.32</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0.01</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10.54</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18.73</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43.97</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3.29</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73.19</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12.81</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65.36</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133.05</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13.63</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112.76</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95.69</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6.66</w:t>
            </w: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108.10</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3.09</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7.05</w:t>
            </w: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407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8.70</w:t>
            </w:r>
          </w:p>
        </w:tc>
        <w:tc>
          <w:tcPr>
            <w:tcW w:w="1305"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071"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8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071"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8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3" w:type="dxa"/>
            <w:tcBorders>
              <w:top w:val="nil"/>
              <w:left w:val="single" w:color="000000" w:sz="4" w:space="0"/>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127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86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1781"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12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05"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4071" w:type="dxa"/>
            <w:tcBorders>
              <w:top w:val="nil"/>
              <w:left w:val="nil"/>
              <w:bottom w:val="single" w:color="000000" w:sz="4" w:space="0"/>
              <w:right w:val="single" w:color="000000" w:sz="4" w:space="0"/>
            </w:tcBorders>
            <w:shd w:val="clear" w:color="FFFFFF" w:fill="C0C0C0"/>
            <w:noWrap/>
            <w:vAlign w:val="center"/>
          </w:tcPr>
          <w:p>
            <w:pPr>
              <w:jc w:val="left"/>
              <w:rPr>
                <w:rFonts w:hint="eastAsia" w:ascii="宋体" w:hAnsi="宋体" w:eastAsia="宋体" w:cs="宋体"/>
                <w:i w:val="0"/>
                <w:iCs w:val="0"/>
                <w:color w:val="000000"/>
                <w:sz w:val="22"/>
                <w:szCs w:val="22"/>
                <w:u w:val="none"/>
              </w:rPr>
            </w:pPr>
          </w:p>
        </w:tc>
        <w:tc>
          <w:tcPr>
            <w:tcW w:w="8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88" w:type="dxa"/>
            <w:gridSpan w:val="2"/>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127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734.22</w:t>
            </w:r>
          </w:p>
        </w:tc>
        <w:tc>
          <w:tcPr>
            <w:tcW w:w="9239" w:type="dxa"/>
            <w:gridSpan w:val="5"/>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825"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298.28</w:t>
            </w:r>
          </w:p>
        </w:tc>
      </w:tr>
    </w:tbl>
    <w:p>
      <w:pPr>
        <w:widowControl/>
        <w:jc w:val="center"/>
        <w:textAlignment w:val="center"/>
        <w:sectPr>
          <w:pgSz w:w="16838" w:h="11906" w:orient="landscape"/>
          <w:pgMar w:top="1134" w:right="1417" w:bottom="1134" w:left="1417" w:header="851" w:footer="992" w:gutter="0"/>
          <w:cols w:space="425" w:num="1"/>
          <w:docGrid w:type="lines" w:linePitch="312" w:charSpace="0"/>
        </w:sectPr>
      </w:pPr>
    </w:p>
    <w:tbl>
      <w:tblPr>
        <w:tblStyle w:val="6"/>
        <w:tblW w:w="127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95"/>
        <w:gridCol w:w="1335"/>
        <w:gridCol w:w="1005"/>
        <w:gridCol w:w="1875"/>
        <w:gridCol w:w="1380"/>
        <w:gridCol w:w="1035"/>
        <w:gridCol w:w="780"/>
        <w:gridCol w:w="900"/>
        <w:gridCol w:w="690"/>
        <w:gridCol w:w="975"/>
        <w:gridCol w:w="870"/>
        <w:gridCol w:w="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0845" w:type="dxa"/>
            <w:gridSpan w:val="10"/>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c>
          <w:tcPr>
            <w:tcW w:w="8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9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5310"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部门：石家庄市鹿泉区民政局（汇总）</w:t>
            </w:r>
          </w:p>
        </w:tc>
        <w:tc>
          <w:tcPr>
            <w:tcW w:w="13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70"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772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5040"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9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3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426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7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53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8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09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8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3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8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8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0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8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3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6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abs>
                <w:tab w:val="left" w:pos="413"/>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r>
              <w:rPr>
                <w:rFonts w:hint="eastAsia" w:ascii="宋体" w:hAnsi="宋体" w:eastAsia="宋体" w:cs="宋体"/>
                <w:i w:val="0"/>
                <w:color w:val="000000"/>
                <w:sz w:val="22"/>
                <w:szCs w:val="22"/>
                <w:u w:val="none"/>
                <w:lang w:val="en-US" w:eastAsia="zh-CN"/>
              </w:rPr>
              <w:t>5.4</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660" w:firstLineChars="300"/>
              <w:jc w:val="both"/>
              <w:rPr>
                <w:rFonts w:hint="eastAsia" w:ascii="宋体" w:hAnsi="宋体" w:eastAsia="宋体" w:cs="宋体"/>
                <w:i w:val="0"/>
                <w:color w:val="000000"/>
                <w:sz w:val="22"/>
                <w:szCs w:val="22"/>
                <w:u w:val="none"/>
                <w:lang w:val="en-US" w:eastAsia="zh-CN"/>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548"/>
              </w:tabs>
              <w:ind w:firstLine="220" w:firstLineChars="100"/>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5.4</w:t>
            </w:r>
          </w:p>
        </w:tc>
        <w:tc>
          <w:tcPr>
            <w:tcW w:w="18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lang w:val="en-US" w:eastAsia="zh-CN"/>
              </w:rPr>
            </w:pP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08"/>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r>
              <w:rPr>
                <w:rFonts w:hint="eastAsia" w:ascii="宋体" w:hAnsi="宋体" w:eastAsia="宋体" w:cs="宋体"/>
                <w:i w:val="0"/>
                <w:color w:val="000000"/>
                <w:sz w:val="22"/>
                <w:szCs w:val="22"/>
                <w:u w:val="none"/>
                <w:lang w:val="en-US" w:eastAsia="zh-CN"/>
              </w:rPr>
              <w:t>5.4</w:t>
            </w: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93"/>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53"/>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lang w:val="en-US" w:eastAsia="zh-CN"/>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53"/>
              </w:tabs>
              <w:jc w:val="left"/>
              <w:rPr>
                <w:rFonts w:hint="default" w:ascii="宋体" w:hAnsi="宋体" w:eastAsia="宋体" w:cs="宋体"/>
                <w:i w:val="0"/>
                <w:color w:val="000000"/>
                <w:sz w:val="22"/>
                <w:szCs w:val="22"/>
                <w:u w:val="none"/>
                <w:lang w:val="en-US" w:eastAsia="zh-CN"/>
              </w:rPr>
            </w:pPr>
          </w:p>
        </w:tc>
        <w:tc>
          <w:tcPr>
            <w:tcW w:w="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13"/>
              </w:tabs>
              <w:jc w:val="left"/>
              <w:rPr>
                <w:rFonts w:hint="default" w:ascii="宋体" w:hAnsi="宋体" w:eastAsia="宋体" w:cs="宋体"/>
                <w:i w:val="0"/>
                <w:color w:val="000000"/>
                <w:sz w:val="22"/>
                <w:szCs w:val="22"/>
                <w:u w:val="none"/>
                <w:lang w:val="en-US" w:eastAsia="zh-CN"/>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58"/>
              </w:tabs>
              <w:jc w:val="left"/>
              <w:rPr>
                <w:rFonts w:hint="default" w:ascii="宋体" w:hAnsi="宋体" w:eastAsia="宋体" w:cs="宋体"/>
                <w:i w:val="0"/>
                <w:color w:val="000000"/>
                <w:sz w:val="22"/>
                <w:szCs w:val="22"/>
                <w:u w:val="none"/>
                <w:lang w:val="en-US" w:eastAsia="zh-CN"/>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93"/>
              </w:tabs>
              <w:jc w:val="left"/>
              <w:rPr>
                <w:rFonts w:hint="default" w:ascii="宋体" w:hAnsi="宋体" w:eastAsia="宋体" w:cs="宋体"/>
                <w:i w:val="0"/>
                <w:color w:val="000000"/>
                <w:sz w:val="22"/>
                <w:szCs w:val="22"/>
                <w:u w:val="none"/>
                <w:lang w:val="en-US" w:eastAsia="zh-CN"/>
              </w:rPr>
            </w:pPr>
          </w:p>
        </w:tc>
      </w:tr>
    </w:tbl>
    <w:p>
      <w:pPr>
        <w:rPr>
          <w:rFonts w:hint="eastAsia" w:ascii="宋体" w:hAnsi="宋体" w:eastAsia="宋体" w:cs="宋体"/>
          <w:sz w:val="20"/>
          <w:szCs w:val="22"/>
        </w:rPr>
      </w:pPr>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p>
      <w:pPr>
        <w:rPr>
          <w:rFonts w:hint="eastAsia" w:ascii="宋体" w:hAnsi="宋体" w:eastAsia="宋体" w:cs="宋体"/>
          <w:sz w:val="20"/>
          <w:szCs w:val="22"/>
        </w:rPr>
      </w:pPr>
    </w:p>
    <w:tbl>
      <w:tblPr>
        <w:tblStyle w:val="6"/>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61"/>
        <w:gridCol w:w="262"/>
        <w:gridCol w:w="676"/>
        <w:gridCol w:w="4519"/>
        <w:gridCol w:w="1257"/>
        <w:gridCol w:w="1162"/>
        <w:gridCol w:w="1313"/>
        <w:gridCol w:w="972"/>
        <w:gridCol w:w="1184"/>
        <w:gridCol w:w="12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2879" w:type="dxa"/>
            <w:gridSpan w:val="10"/>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261"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6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67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519"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5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6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1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97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84"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273"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5718" w:type="dxa"/>
            <w:gridSpan w:val="4"/>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1257"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16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31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972"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457" w:type="dxa"/>
            <w:gridSpan w:val="2"/>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18"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257"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162"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3469"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273" w:type="dxa"/>
            <w:vMerge w:val="restart"/>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199"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4519"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57"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6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1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72"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18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27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519"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257"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6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1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2"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8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4519"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257"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62"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31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972"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18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273" w:type="dxa"/>
            <w:vMerge w:val="continue"/>
            <w:tcBorders>
              <w:top w:val="single" w:color="000000" w:sz="4" w:space="0"/>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5718"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257"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6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1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72"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84"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7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18"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267.97</w:t>
            </w: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954.44</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1,017.19</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133.79</w:t>
            </w: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883.40</w:t>
            </w: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205.23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267.97</w:t>
            </w: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954.44</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1,017.19</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883.40</w:t>
            </w: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22908</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彩票发行销售机构业务费安排的支出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125.64</w:t>
            </w: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43.50</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2290804</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福利彩票销售机构的业务费支出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125.64</w:t>
            </w: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43.50</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133.79</w:t>
            </w: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彩票公益金安排的支出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142.33</w:t>
            </w: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910.94</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883.40</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883.40</w:t>
            </w: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2296001</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用于补充全国社会保障基金的彩票公益金支出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0.74</w:t>
            </w: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2296002</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用于社会福利的彩票公益金支出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142.33</w:t>
            </w: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838.90</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811.36</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811.36</w:t>
            </w: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2296099</w:t>
            </w:r>
          </w:p>
        </w:tc>
        <w:tc>
          <w:tcPr>
            <w:tcW w:w="4519"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用于其他社会公益事业的彩票公益金支出</w:t>
            </w:r>
          </w:p>
        </w:tc>
        <w:tc>
          <w:tcPr>
            <w:tcW w:w="1257"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6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131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972"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84"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71.31</w:t>
            </w:r>
          </w:p>
        </w:tc>
        <w:tc>
          <w:tcPr>
            <w:tcW w:w="12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4519"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57"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6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31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97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8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27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99"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4519"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257"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6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31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972"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18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27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bl>
    <w:p>
      <w:pPr>
        <w:jc w:val="left"/>
        <w:rPr>
          <w:b/>
          <w:sz w:val="20"/>
          <w:szCs w:val="22"/>
          <w:highlight w:val="yellow"/>
        </w:rPr>
      </w:pPr>
      <w:r>
        <w:rPr>
          <w:rFonts w:hint="eastAsia" w:ascii="宋体" w:hAnsi="宋体" w:eastAsia="宋体" w:cs="宋体"/>
          <w:sz w:val="20"/>
          <w:szCs w:val="22"/>
        </w:rPr>
        <w:t>注：本表反映部门本年度政府性基金预算财政拨款收入、支出及结转结余情况。</w:t>
      </w:r>
      <w:r>
        <w:rPr>
          <w:b/>
          <w:sz w:val="20"/>
          <w:szCs w:val="22"/>
          <w:highlight w:val="yellow"/>
        </w:rPr>
        <w:br w:type="page"/>
      </w:r>
    </w:p>
    <w:tbl>
      <w:tblPr>
        <w:tblStyle w:val="6"/>
        <w:tblW w:w="128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76"/>
        <w:gridCol w:w="385"/>
        <w:gridCol w:w="430"/>
        <w:gridCol w:w="1556"/>
        <w:gridCol w:w="1725"/>
        <w:gridCol w:w="1833"/>
        <w:gridCol w:w="22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2879" w:type="dxa"/>
            <w:gridSpan w:val="7"/>
            <w:tcBorders>
              <w:top w:val="nil"/>
              <w:left w:val="nil"/>
              <w:bottom w:val="nil"/>
              <w:right w:val="nil"/>
            </w:tcBorders>
            <w:shd w:val="clear" w:color="auto" w:fill="auto"/>
            <w:noWrap/>
            <w:vAlign w:val="bottom"/>
          </w:tcPr>
          <w:p>
            <w:pPr>
              <w:jc w:val="cente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30"/>
                <w:szCs w:val="30"/>
                <w:u w:val="none"/>
                <w:lang w:val="en-US" w:eastAsia="zh-CN" w:bidi="ar"/>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467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38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3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55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72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83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274"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4676" w:type="dxa"/>
            <w:tcBorders>
              <w:top w:val="nil"/>
              <w:left w:val="nil"/>
              <w:bottom w:val="nil"/>
              <w:right w:val="nil"/>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部门：石家庄市鹿泉区民政局（汇总）</w:t>
            </w:r>
          </w:p>
        </w:tc>
        <w:tc>
          <w:tcPr>
            <w:tcW w:w="38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430"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556"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725"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1833" w:type="dxa"/>
            <w:tcBorders>
              <w:top w:val="nil"/>
              <w:left w:val="nil"/>
              <w:bottom w:val="nil"/>
              <w:right w:val="nil"/>
            </w:tcBorders>
            <w:shd w:val="clear" w:color="auto" w:fill="auto"/>
            <w:noWrap/>
            <w:vAlign w:val="bottom"/>
          </w:tcPr>
          <w:p>
            <w:pPr>
              <w:rPr>
                <w:rFonts w:hint="default" w:ascii="Arial" w:hAnsi="Arial" w:cs="Arial"/>
                <w:i w:val="0"/>
                <w:iCs w:val="0"/>
                <w:color w:val="000000"/>
                <w:sz w:val="20"/>
                <w:szCs w:val="20"/>
                <w:u w:val="none"/>
              </w:rPr>
            </w:pPr>
          </w:p>
        </w:tc>
        <w:tc>
          <w:tcPr>
            <w:tcW w:w="2274" w:type="dxa"/>
            <w:tcBorders>
              <w:top w:val="nil"/>
              <w:left w:val="nil"/>
              <w:bottom w:val="nil"/>
              <w:right w:val="nil"/>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047" w:type="dxa"/>
            <w:gridSpan w:val="4"/>
            <w:tcBorders>
              <w:top w:val="single" w:color="000000" w:sz="4" w:space="0"/>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832" w:type="dxa"/>
            <w:gridSpan w:val="3"/>
            <w:tcBorders>
              <w:top w:val="single" w:color="000000" w:sz="4" w:space="0"/>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556" w:type="dxa"/>
            <w:vMerge w:val="restart"/>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725"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833"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2274" w:type="dxa"/>
            <w:vMerge w:val="restart"/>
            <w:tcBorders>
              <w:top w:val="nil"/>
              <w:left w:val="nil"/>
              <w:bottom w:val="single" w:color="000000" w:sz="4" w:space="0"/>
              <w:right w:val="single" w:color="000000" w:sz="4" w:space="0"/>
            </w:tcBorders>
            <w:shd w:val="clear" w:color="FFFFFF" w:fill="C0C0C0"/>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56"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72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83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7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vMerge w:val="continue"/>
            <w:tcBorders>
              <w:top w:val="nil"/>
              <w:left w:val="single" w:color="000000" w:sz="4" w:space="0"/>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556" w:type="dxa"/>
            <w:vMerge w:val="continue"/>
            <w:tcBorders>
              <w:top w:val="nil"/>
              <w:left w:val="nil"/>
              <w:bottom w:val="single" w:color="000000" w:sz="4" w:space="0"/>
              <w:right w:val="single" w:color="000000" w:sz="4" w:space="0"/>
            </w:tcBorders>
            <w:shd w:val="clear" w:color="FFFFFF" w:fill="C0C0C0"/>
            <w:noWrap/>
            <w:vAlign w:val="center"/>
          </w:tcPr>
          <w:p>
            <w:pPr>
              <w:jc w:val="center"/>
              <w:rPr>
                <w:rFonts w:hint="eastAsia" w:ascii="宋体" w:hAnsi="宋体" w:eastAsia="宋体" w:cs="宋体"/>
                <w:i w:val="0"/>
                <w:iCs w:val="0"/>
                <w:color w:val="000000"/>
                <w:sz w:val="22"/>
                <w:szCs w:val="22"/>
                <w:u w:val="none"/>
              </w:rPr>
            </w:pPr>
          </w:p>
        </w:tc>
        <w:tc>
          <w:tcPr>
            <w:tcW w:w="1725"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1833"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c>
          <w:tcPr>
            <w:tcW w:w="2274" w:type="dxa"/>
            <w:vMerge w:val="continue"/>
            <w:tcBorders>
              <w:top w:val="nil"/>
              <w:left w:val="nil"/>
              <w:bottom w:val="single" w:color="000000" w:sz="4" w:space="0"/>
              <w:right w:val="single" w:color="000000" w:sz="4" w:space="0"/>
            </w:tcBorders>
            <w:shd w:val="clear" w:color="FFFFFF" w:fill="C0C0C0"/>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047"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725"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833"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274" w:type="dxa"/>
            <w:tcBorders>
              <w:top w:val="nil"/>
              <w:left w:val="nil"/>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047" w:type="dxa"/>
            <w:gridSpan w:val="4"/>
            <w:tcBorders>
              <w:top w:val="nil"/>
              <w:left w:val="single" w:color="000000" w:sz="4" w:space="0"/>
              <w:bottom w:val="single" w:color="000000" w:sz="4" w:space="0"/>
              <w:right w:val="single" w:color="000000" w:sz="4" w:space="0"/>
            </w:tcBorders>
            <w:shd w:val="clear" w:color="FFFFFF" w:fill="C0C0C0"/>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56"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56"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56"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56"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56"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91" w:type="dxa"/>
            <w:gridSpan w:val="3"/>
            <w:tcBorders>
              <w:top w:val="nil"/>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556" w:type="dxa"/>
            <w:tcBorders>
              <w:top w:val="nil"/>
              <w:left w:val="nil"/>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sz w:val="22"/>
                <w:szCs w:val="22"/>
                <w:u w:val="none"/>
              </w:rPr>
            </w:pPr>
          </w:p>
        </w:tc>
        <w:tc>
          <w:tcPr>
            <w:tcW w:w="1725"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1833"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c>
          <w:tcPr>
            <w:tcW w:w="2274" w:type="dxa"/>
            <w:tcBorders>
              <w:top w:val="nil"/>
              <w:left w:val="nil"/>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2"/>
                <w:szCs w:val="22"/>
                <w:u w:val="none"/>
              </w:rPr>
            </w:pPr>
          </w:p>
        </w:tc>
      </w:tr>
    </w:tbl>
    <w:p>
      <w:pPr>
        <w:rPr>
          <w:rFonts w:hint="eastAsia" w:asciiTheme="minorEastAsia" w:hAnsiTheme="minorEastAsia" w:eastAsiaTheme="minorEastAsia" w:cstheme="minorEastAsia"/>
          <w:sz w:val="20"/>
          <w:szCs w:val="20"/>
          <w:lang w:eastAsia="zh-CN"/>
        </w:rPr>
      </w:pPr>
      <w:r>
        <w:rPr>
          <w:rFonts w:hint="eastAsia" w:ascii="宋体" w:hAnsi="宋体" w:eastAsia="宋体" w:cs="宋体"/>
          <w:sz w:val="20"/>
          <w:szCs w:val="22"/>
          <w:lang w:eastAsia="zh-CN"/>
        </w:rPr>
        <w:t>注：本部门本年度无相关收入（或支出、收支及结转结余等）情况，按要求空表列式。</w:t>
      </w: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jc w:val="left"/>
        <w:rPr>
          <w:rFonts w:ascii="仿宋_GB2312" w:hAnsi="Cambria" w:eastAsia="仿宋_GB2312" w:cs="Arial Black"/>
          <w:kern w:val="0"/>
          <w:sz w:val="32"/>
          <w:szCs w:val="32"/>
        </w:rPr>
      </w:pPr>
    </w:p>
    <w:sectPr>
      <w:pgSz w:w="16838" w:h="11906" w:orient="landscape"/>
      <w:pgMar w:top="1531" w:right="2098" w:bottom="1531"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NlNzEwZjRjNDcyMjMwMDMyNjZhMDQ4ZTQyM2QyNGQ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13004"/>
    <w:rsid w:val="00F217C2"/>
    <w:rsid w:val="00FD5E00"/>
    <w:rsid w:val="01054E14"/>
    <w:rsid w:val="01B30988"/>
    <w:rsid w:val="01D31CDD"/>
    <w:rsid w:val="03A52520"/>
    <w:rsid w:val="03BB77F9"/>
    <w:rsid w:val="03DC703A"/>
    <w:rsid w:val="04932026"/>
    <w:rsid w:val="04C90C6B"/>
    <w:rsid w:val="050A0EDF"/>
    <w:rsid w:val="056B100F"/>
    <w:rsid w:val="05D67EDA"/>
    <w:rsid w:val="05E70CCA"/>
    <w:rsid w:val="0629554B"/>
    <w:rsid w:val="06AB4C81"/>
    <w:rsid w:val="073A738B"/>
    <w:rsid w:val="078B6003"/>
    <w:rsid w:val="079B2ED5"/>
    <w:rsid w:val="082C595B"/>
    <w:rsid w:val="088676F9"/>
    <w:rsid w:val="08E42EAC"/>
    <w:rsid w:val="08E62245"/>
    <w:rsid w:val="08F10EBB"/>
    <w:rsid w:val="0A871348"/>
    <w:rsid w:val="0A8B5822"/>
    <w:rsid w:val="0AB27D84"/>
    <w:rsid w:val="0B1A7E8A"/>
    <w:rsid w:val="0B3F623B"/>
    <w:rsid w:val="0B9054A5"/>
    <w:rsid w:val="0BC63DB7"/>
    <w:rsid w:val="0D2D6943"/>
    <w:rsid w:val="0D853A9C"/>
    <w:rsid w:val="0E6E2159"/>
    <w:rsid w:val="0EA325C9"/>
    <w:rsid w:val="0EE17C1A"/>
    <w:rsid w:val="0FE526EB"/>
    <w:rsid w:val="0FEB4836"/>
    <w:rsid w:val="10196967"/>
    <w:rsid w:val="11C04E78"/>
    <w:rsid w:val="130B41D2"/>
    <w:rsid w:val="13171DD1"/>
    <w:rsid w:val="13214EE8"/>
    <w:rsid w:val="137E6456"/>
    <w:rsid w:val="142069B6"/>
    <w:rsid w:val="14F55DDC"/>
    <w:rsid w:val="157E60BA"/>
    <w:rsid w:val="16D13C4B"/>
    <w:rsid w:val="173502EB"/>
    <w:rsid w:val="17DB57D5"/>
    <w:rsid w:val="181800A9"/>
    <w:rsid w:val="18B76062"/>
    <w:rsid w:val="190D306A"/>
    <w:rsid w:val="19126AD8"/>
    <w:rsid w:val="195519A4"/>
    <w:rsid w:val="19844D59"/>
    <w:rsid w:val="19FA7443"/>
    <w:rsid w:val="1ADE7173"/>
    <w:rsid w:val="1B122DD7"/>
    <w:rsid w:val="1B1C359B"/>
    <w:rsid w:val="1C8325B5"/>
    <w:rsid w:val="1CF90E26"/>
    <w:rsid w:val="1E3E6B63"/>
    <w:rsid w:val="1E7C4445"/>
    <w:rsid w:val="1EE071D4"/>
    <w:rsid w:val="1F6D0E21"/>
    <w:rsid w:val="21B8285C"/>
    <w:rsid w:val="222E2C14"/>
    <w:rsid w:val="22704476"/>
    <w:rsid w:val="22A52E1C"/>
    <w:rsid w:val="22B0796F"/>
    <w:rsid w:val="22E46C89"/>
    <w:rsid w:val="22E73E48"/>
    <w:rsid w:val="236E02B7"/>
    <w:rsid w:val="25AC5E53"/>
    <w:rsid w:val="25CC2527"/>
    <w:rsid w:val="26A92497"/>
    <w:rsid w:val="28CA4396"/>
    <w:rsid w:val="2998775D"/>
    <w:rsid w:val="2A7E36DC"/>
    <w:rsid w:val="2A882D5B"/>
    <w:rsid w:val="2BA22CD3"/>
    <w:rsid w:val="2CA71390"/>
    <w:rsid w:val="2D1267F2"/>
    <w:rsid w:val="2E630493"/>
    <w:rsid w:val="2E8C4F49"/>
    <w:rsid w:val="2EBE1E95"/>
    <w:rsid w:val="2F557E87"/>
    <w:rsid w:val="2F760EEE"/>
    <w:rsid w:val="2F780E16"/>
    <w:rsid w:val="2FC753FB"/>
    <w:rsid w:val="308C09EE"/>
    <w:rsid w:val="31330934"/>
    <w:rsid w:val="3145703E"/>
    <w:rsid w:val="31B40107"/>
    <w:rsid w:val="32201A89"/>
    <w:rsid w:val="33563267"/>
    <w:rsid w:val="34402463"/>
    <w:rsid w:val="34694558"/>
    <w:rsid w:val="34C45458"/>
    <w:rsid w:val="34C55FFE"/>
    <w:rsid w:val="34CF7763"/>
    <w:rsid w:val="3519213F"/>
    <w:rsid w:val="35664BB3"/>
    <w:rsid w:val="358042CB"/>
    <w:rsid w:val="35C35313"/>
    <w:rsid w:val="35C83C42"/>
    <w:rsid w:val="36456970"/>
    <w:rsid w:val="369D21A4"/>
    <w:rsid w:val="371F4C1A"/>
    <w:rsid w:val="373E7426"/>
    <w:rsid w:val="37445DC3"/>
    <w:rsid w:val="38C671C0"/>
    <w:rsid w:val="38C96DCB"/>
    <w:rsid w:val="395328AC"/>
    <w:rsid w:val="39663A9E"/>
    <w:rsid w:val="39D849B9"/>
    <w:rsid w:val="39DF1472"/>
    <w:rsid w:val="3A631E02"/>
    <w:rsid w:val="3BE477E6"/>
    <w:rsid w:val="3C04033A"/>
    <w:rsid w:val="3C9A2303"/>
    <w:rsid w:val="3D1B207D"/>
    <w:rsid w:val="3D341568"/>
    <w:rsid w:val="3DFE5A90"/>
    <w:rsid w:val="3E002718"/>
    <w:rsid w:val="3E5E4A4B"/>
    <w:rsid w:val="3FC53595"/>
    <w:rsid w:val="40067093"/>
    <w:rsid w:val="40C13699"/>
    <w:rsid w:val="41537136"/>
    <w:rsid w:val="415A2AFD"/>
    <w:rsid w:val="418420DF"/>
    <w:rsid w:val="41AA5949"/>
    <w:rsid w:val="41C236CA"/>
    <w:rsid w:val="41D55707"/>
    <w:rsid w:val="429F2F54"/>
    <w:rsid w:val="438D4F79"/>
    <w:rsid w:val="45D3196E"/>
    <w:rsid w:val="45D80093"/>
    <w:rsid w:val="45F25170"/>
    <w:rsid w:val="46AC2AF3"/>
    <w:rsid w:val="47555B9C"/>
    <w:rsid w:val="48151D07"/>
    <w:rsid w:val="481F5526"/>
    <w:rsid w:val="484765E0"/>
    <w:rsid w:val="48E76F3B"/>
    <w:rsid w:val="4977401D"/>
    <w:rsid w:val="4B05131E"/>
    <w:rsid w:val="4E325B18"/>
    <w:rsid w:val="4F44189B"/>
    <w:rsid w:val="4F5C413A"/>
    <w:rsid w:val="50675F7A"/>
    <w:rsid w:val="50A51686"/>
    <w:rsid w:val="51FD2F75"/>
    <w:rsid w:val="520F537D"/>
    <w:rsid w:val="523A4A27"/>
    <w:rsid w:val="532C5C5F"/>
    <w:rsid w:val="538B4A6D"/>
    <w:rsid w:val="540C3FF2"/>
    <w:rsid w:val="54C805DC"/>
    <w:rsid w:val="559D4816"/>
    <w:rsid w:val="561F60E3"/>
    <w:rsid w:val="5654210F"/>
    <w:rsid w:val="577546E3"/>
    <w:rsid w:val="57E00923"/>
    <w:rsid w:val="57F2714F"/>
    <w:rsid w:val="57F36277"/>
    <w:rsid w:val="58447857"/>
    <w:rsid w:val="58C508A7"/>
    <w:rsid w:val="58CA253E"/>
    <w:rsid w:val="5A9F1A52"/>
    <w:rsid w:val="5AF45574"/>
    <w:rsid w:val="5B0962C2"/>
    <w:rsid w:val="5B4D770B"/>
    <w:rsid w:val="5C43512D"/>
    <w:rsid w:val="5C622C08"/>
    <w:rsid w:val="5D4A47BF"/>
    <w:rsid w:val="5D8261C9"/>
    <w:rsid w:val="5E0F2B13"/>
    <w:rsid w:val="5E6D308B"/>
    <w:rsid w:val="5F210CB7"/>
    <w:rsid w:val="5FC77578"/>
    <w:rsid w:val="60154311"/>
    <w:rsid w:val="60F654DD"/>
    <w:rsid w:val="61515170"/>
    <w:rsid w:val="622E4969"/>
    <w:rsid w:val="628B5916"/>
    <w:rsid w:val="62C7074E"/>
    <w:rsid w:val="62D77A8F"/>
    <w:rsid w:val="630E1953"/>
    <w:rsid w:val="63C67A86"/>
    <w:rsid w:val="645C689C"/>
    <w:rsid w:val="64B30422"/>
    <w:rsid w:val="64E07EEA"/>
    <w:rsid w:val="651473A3"/>
    <w:rsid w:val="659928BD"/>
    <w:rsid w:val="66A444BE"/>
    <w:rsid w:val="672808D6"/>
    <w:rsid w:val="681F50E0"/>
    <w:rsid w:val="695B26FD"/>
    <w:rsid w:val="69F307EF"/>
    <w:rsid w:val="69F7011B"/>
    <w:rsid w:val="6A5B1C28"/>
    <w:rsid w:val="6ACC3EB4"/>
    <w:rsid w:val="6AD11F26"/>
    <w:rsid w:val="6AF77BA8"/>
    <w:rsid w:val="6B166190"/>
    <w:rsid w:val="6B8A29A8"/>
    <w:rsid w:val="6C4C64A4"/>
    <w:rsid w:val="6D4A05EB"/>
    <w:rsid w:val="6E2D234A"/>
    <w:rsid w:val="6FAE7991"/>
    <w:rsid w:val="701617AC"/>
    <w:rsid w:val="704C657C"/>
    <w:rsid w:val="70764FB5"/>
    <w:rsid w:val="710455CD"/>
    <w:rsid w:val="71F13120"/>
    <w:rsid w:val="73BF68B1"/>
    <w:rsid w:val="73D824BD"/>
    <w:rsid w:val="74077EBA"/>
    <w:rsid w:val="743B2605"/>
    <w:rsid w:val="75A633C5"/>
    <w:rsid w:val="75D0560D"/>
    <w:rsid w:val="7645262E"/>
    <w:rsid w:val="764B3663"/>
    <w:rsid w:val="7693310F"/>
    <w:rsid w:val="77AD14AA"/>
    <w:rsid w:val="784C167C"/>
    <w:rsid w:val="787561A4"/>
    <w:rsid w:val="791217E9"/>
    <w:rsid w:val="79164041"/>
    <w:rsid w:val="79CF7C3D"/>
    <w:rsid w:val="79F80920"/>
    <w:rsid w:val="7A5316F8"/>
    <w:rsid w:val="7BBE6399"/>
    <w:rsid w:val="7D0801BB"/>
    <w:rsid w:val="7D8B7B0E"/>
    <w:rsid w:val="7DB92E33"/>
    <w:rsid w:val="7E4A0A8C"/>
    <w:rsid w:val="7E57270D"/>
    <w:rsid w:val="7F6537FE"/>
    <w:rsid w:val="7F787A5E"/>
    <w:rsid w:val="7F9060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chart" Target="charts/chart4.xml"/><Relationship Id="rId20" Type="http://schemas.openxmlformats.org/officeDocument/2006/relationships/chart" Target="charts/chart3.xml"/><Relationship Id="rId2" Type="http://schemas.openxmlformats.org/officeDocument/2006/relationships/settings" Target="settings.xml"/><Relationship Id="rId19" Type="http://schemas.openxmlformats.org/officeDocument/2006/relationships/chart" Target="charts/chart2.xml"/><Relationship Id="rId18" Type="http://schemas.openxmlformats.org/officeDocument/2006/relationships/chart" Target="charts/chart1.xml"/><Relationship Id="rId17" Type="http://schemas.openxmlformats.org/officeDocument/2006/relationships/image" Target="media/image2.bmp"/><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19211973121564"/>
          <c:y val="0.109776536312849"/>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7560.5</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46304215027489"/>
                      <c:h val="0.10195530726257"/>
                    </c:manualLayout>
                  </c15:layout>
                </c:ext>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8036.14</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27519853390348"/>
                      <c:h val="0.099441340782122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7560.5</c:v>
                </c:pt>
                <c:pt idx="1">
                  <c:v>8036.14</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400"/>
              <a:t>收入决算构成情况</a:t>
            </a:r>
            <a:endParaRPr sz="1400"/>
          </a:p>
        </c:rich>
      </c:tx>
      <c:layout>
        <c:manualLayout>
          <c:xMode val="edge"/>
          <c:yMode val="edge"/>
          <c:x val="0.371361635529619"/>
          <c:y val="0.0357264375637972"/>
        </c:manualLayout>
      </c:layout>
      <c:overlay val="0"/>
      <c:spPr>
        <a:noFill/>
        <a:ln>
          <a:noFill/>
        </a:ln>
        <a:effectLst/>
      </c:spPr>
    </c:title>
    <c:autoTitleDeleted val="0"/>
    <c:plotArea>
      <c:layout>
        <c:manualLayout>
          <c:layoutTarget val="inner"/>
          <c:xMode val="edge"/>
          <c:yMode val="edge"/>
          <c:x val="0.224625"/>
          <c:y val="0.174666666666667"/>
          <c:w val="0.61525"/>
          <c:h val="0.820333333333333"/>
        </c:manualLayout>
      </c:layout>
      <c:pieChart>
        <c:varyColors val="1"/>
        <c:ser>
          <c:idx val="0"/>
          <c:order val="0"/>
          <c:tx>
            <c:strRef>
              <c:f>Sheet1!$B$1</c:f>
              <c:strCache>
                <c:ptCount val="1"/>
                <c:pt idx="0">
                  <c:v>销售额</c:v>
                </c:pt>
              </c:strCache>
            </c:strRef>
          </c:tx>
          <c:spPr/>
          <c:explosion val="0"/>
          <c:dPt>
            <c:idx val="0"/>
            <c:bubble3D val="0"/>
            <c:explosion val="2"/>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Sheet1!$A$2:$A$6</c:f>
              <c:strCache>
                <c:ptCount val="5"/>
                <c:pt idx="0">
                  <c:v>社会保障和就业支出</c:v>
                </c:pt>
                <c:pt idx="1">
                  <c:v>卫生和健康支出</c:v>
                </c:pt>
                <c:pt idx="2">
                  <c:v>农林水支出</c:v>
                </c:pt>
                <c:pt idx="3">
                  <c:v>住房保障支出</c:v>
                </c:pt>
                <c:pt idx="4">
                  <c:v>其他支出</c:v>
                </c:pt>
              </c:strCache>
            </c:strRef>
          </c:cat>
          <c:val>
            <c:numRef>
              <c:f>Sheet1!$B$2:$B$6</c:f>
              <c:numCache>
                <c:formatCode>General</c:formatCode>
                <c:ptCount val="5"/>
                <c:pt idx="0">
                  <c:v>78.87</c:v>
                </c:pt>
                <c:pt idx="1">
                  <c:v>0.54</c:v>
                </c:pt>
                <c:pt idx="2">
                  <c:v>6.01</c:v>
                </c:pt>
                <c:pt idx="3">
                  <c:v>0.69</c:v>
                </c:pt>
                <c:pt idx="4">
                  <c:v>13.89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0173263629574309"/>
          <c:y val="0.12753433616743"/>
          <c:w val="0.320687079910381"/>
          <c:h val="0.75441465009810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28211586901763"/>
          <c:y val="0.186059427936684"/>
          <c:w val="0.86624685138539"/>
          <c:h val="0.528853096362122"/>
        </c:manualLayout>
      </c:layout>
      <c:barChart>
        <c:barDir val="col"/>
        <c:grouping val="clustered"/>
        <c:varyColors val="0"/>
        <c:ser>
          <c:idx val="0"/>
          <c:order val="0"/>
          <c:tx>
            <c:strRef>
              <c:f>Sheet1!$B$1</c:f>
              <c:strCache>
                <c:ptCount val="1"/>
                <c:pt idx="0">
                  <c:v>基本支出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人员经费</c:v>
                </c:pt>
                <c:pt idx="1">
                  <c:v>公用经费</c:v>
                </c:pt>
                <c:pt idx="2">
                  <c:v>民生保障类支出</c:v>
                </c:pt>
              </c:strCache>
            </c:strRef>
          </c:cat>
          <c:val>
            <c:numRef>
              <c:f>Sheet1!$B$2:$B$4</c:f>
              <c:numCache>
                <c:formatCode>General</c:formatCode>
                <c:ptCount val="3"/>
                <c:pt idx="0">
                  <c:v>821.64</c:v>
                </c:pt>
                <c:pt idx="1">
                  <c:v>380.78</c:v>
                </c:pt>
              </c:numCache>
            </c:numRef>
          </c:val>
        </c:ser>
        <c:ser>
          <c:idx val="1"/>
          <c:order val="1"/>
          <c:tx>
            <c:strRef>
              <c:f>Sheet1!$C$1</c:f>
              <c:strCache>
                <c:ptCount val="1"/>
                <c:pt idx="0">
                  <c:v>项目支出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人员经费</c:v>
                </c:pt>
                <c:pt idx="1">
                  <c:v>公用经费</c:v>
                </c:pt>
                <c:pt idx="2">
                  <c:v>民生保障类支出</c:v>
                </c:pt>
              </c:strCache>
            </c:strRef>
          </c:cat>
          <c:val>
            <c:numRef>
              <c:f>Sheet1!$C$2:$C$4</c:f>
              <c:numCache>
                <c:formatCode>General</c:formatCode>
                <c:ptCount val="3"/>
                <c:pt idx="2">
                  <c:v>6398.18</c:v>
                </c:pt>
              </c:numCache>
            </c:numRef>
          </c:val>
        </c:ser>
        <c:dLbls>
          <c:showLegendKey val="0"/>
          <c:showVal val="0"/>
          <c:showCatName val="0"/>
          <c:showSerName val="0"/>
          <c:showPercent val="0"/>
          <c:showBubbleSize val="0"/>
        </c:dLbls>
        <c:gapWidth val="219"/>
        <c:overlap val="-27"/>
        <c:axId val="334473987"/>
        <c:axId val="167127179"/>
      </c:barChart>
      <c:catAx>
        <c:axId val="33447398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7127179"/>
        <c:crosses val="autoZero"/>
        <c:auto val="1"/>
        <c:lblAlgn val="ctr"/>
        <c:lblOffset val="100"/>
        <c:noMultiLvlLbl val="0"/>
      </c:catAx>
      <c:valAx>
        <c:axId val="1671271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447398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2020年财政拨款支出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社会保障和就业支出</c:v>
                </c:pt>
                <c:pt idx="1">
                  <c:v>卫生健康支出</c:v>
                </c:pt>
                <c:pt idx="2">
                  <c:v>农林水支出</c:v>
                </c:pt>
                <c:pt idx="3">
                  <c:v>住房保障支出</c:v>
                </c:pt>
                <c:pt idx="4">
                  <c:v>其他支出</c:v>
                </c:pt>
              </c:strCache>
            </c:strRef>
          </c:cat>
          <c:val>
            <c:numRef>
              <c:f>Sheet1!$B$2:$B$6</c:f>
              <c:numCache>
                <c:formatCode>General</c:formatCode>
                <c:ptCount val="5"/>
                <c:pt idx="0">
                  <c:v>80.03</c:v>
                </c:pt>
                <c:pt idx="1">
                  <c:v>0.53</c:v>
                </c:pt>
                <c:pt idx="2">
                  <c:v>5.43</c:v>
                </c:pt>
                <c:pt idx="3">
                  <c:v>0.63</c:v>
                </c:pt>
                <c:pt idx="4">
                  <c:v>13.38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11463</Words>
  <Characters>17228</Characters>
  <Lines>83</Lines>
  <Paragraphs>23</Paragraphs>
  <TotalTime>38</TotalTime>
  <ScaleCrop>false</ScaleCrop>
  <LinksUpToDate>false</LinksUpToDate>
  <CharactersWithSpaces>17611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2023-06-27T04:40:35Z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65FA352BAB5146309CB066C800874C19</vt:lpwstr>
  </property>
</Properties>
</file>