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bookmarkStart w:id="1" w:name="_GoBack"/>
      <w:bookmarkEnd w:id="1"/>
      <w:r>
        <mc:AlternateContent>
          <mc:Choice Requires="wps">
            <w:drawing>
              <wp:anchor distT="0" distB="0" distL="114300" distR="114300" simplePos="0" relativeHeight="251666432" behindDoc="0" locked="0" layoutInCell="1" allowOverlap="1">
                <wp:simplePos x="0" y="0"/>
                <wp:positionH relativeFrom="column">
                  <wp:posOffset>1628775</wp:posOffset>
                </wp:positionH>
                <wp:positionV relativeFrom="paragraph">
                  <wp:posOffset>7872730</wp:posOffset>
                </wp:positionV>
                <wp:extent cx="2393950" cy="505460"/>
                <wp:effectExtent l="0" t="0" r="0" b="0"/>
                <wp:wrapNone/>
                <wp:docPr id="5" name="文本框 5"/>
                <wp:cNvGraphicFramePr/>
                <a:graphic xmlns:a="http://schemas.openxmlformats.org/drawingml/2006/main">
                  <a:graphicData uri="http://schemas.microsoft.com/office/word/2010/wordprocessingShape">
                    <wps:wsp>
                      <wps:cNvSpPr txBox="1"/>
                      <wps:spPr>
                        <a:xfrm>
                          <a:off x="2600960" y="9102725"/>
                          <a:ext cx="2393950" cy="50546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ascii="楷体_GB2312" w:hAnsi="楷体_GB2312" w:eastAsia="楷体_GB2312" w:cs="楷体_GB2312"/>
                                <w:sz w:val="44"/>
                                <w:szCs w:val="52"/>
                                <w:lang w:val="en-US" w:eastAsia="zh-CN"/>
                              </w:rPr>
                            </w:pPr>
                            <w:r>
                              <w:rPr>
                                <w:rFonts w:hint="eastAsia" w:ascii="楷体_GB2312" w:hAnsi="楷体_GB2312" w:eastAsia="楷体_GB2312" w:cs="楷体_GB2312"/>
                                <w:sz w:val="44"/>
                                <w:szCs w:val="52"/>
                              </w:rPr>
                              <w:t>2021年</w:t>
                            </w:r>
                            <w:r>
                              <w:rPr>
                                <w:rFonts w:hint="eastAsia" w:ascii="楷体_GB2312" w:hAnsi="楷体_GB2312" w:eastAsia="楷体_GB2312" w:cs="楷体_GB2312"/>
                                <w:sz w:val="44"/>
                                <w:szCs w:val="52"/>
                                <w:lang w:val="en-US" w:eastAsia="zh-CN"/>
                              </w:rPr>
                              <w:t>10</w:t>
                            </w:r>
                            <w:r>
                              <w:rPr>
                                <w:rFonts w:hint="eastAsia" w:ascii="楷体_GB2312" w:hAnsi="楷体_GB2312" w:eastAsia="楷体_GB2312" w:cs="楷体_GB2312"/>
                                <w:sz w:val="44"/>
                                <w:szCs w:val="52"/>
                              </w:rPr>
                              <w:t>月</w:t>
                            </w:r>
                            <w:r>
                              <w:rPr>
                                <w:rFonts w:hint="eastAsia" w:ascii="楷体_GB2312" w:hAnsi="楷体_GB2312" w:eastAsia="楷体_GB2312" w:cs="楷体_GB2312"/>
                                <w:sz w:val="44"/>
                                <w:szCs w:val="52"/>
                                <w:lang w:val="en-US" w:eastAsia="zh-CN"/>
                              </w:rPr>
                              <w:t>9日</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28.25pt;margin-top:619.9pt;height:39.8pt;width:188.5pt;z-index:251666432;mso-width-relative:page;mso-height-relative:page;" filled="f" stroked="f" coordsize="21600,21600" o:gfxdata="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DfZiQk3AAAAA0BAAAPAAAAAAAAAAEAIAAAACIAAABkcnMvZG93bnJldi54bWxQSwEC&#10;FAAUAAAACACHTuJAKkvisCkCAAAkBAAADgAAAAAAAAABACAAAAArAQAAZHJzL2Uyb0RvYy54bWxQ&#10;SwUGAAAAAAYABgBZAQAAxgUAAAAA&#10;">
                <v:fill on="f" focussize="0,0"/>
                <v:stroke on="f" weight="0.5pt"/>
                <v:imagedata o:title=""/>
                <o:lock v:ext="edit" aspectratio="f"/>
                <v:textbox>
                  <w:txbxContent>
                    <w:p>
                      <w:pPr>
                        <w:jc w:val="center"/>
                        <w:rPr>
                          <w:rFonts w:hint="eastAsia" w:ascii="楷体_GB2312" w:hAnsi="楷体_GB2312" w:eastAsia="楷体_GB2312" w:cs="楷体_GB2312"/>
                          <w:sz w:val="44"/>
                          <w:szCs w:val="52"/>
                          <w:lang w:val="en-US" w:eastAsia="zh-CN"/>
                        </w:rPr>
                      </w:pPr>
                      <w:r>
                        <w:rPr>
                          <w:rFonts w:hint="eastAsia" w:ascii="楷体_GB2312" w:hAnsi="楷体_GB2312" w:eastAsia="楷体_GB2312" w:cs="楷体_GB2312"/>
                          <w:sz w:val="44"/>
                          <w:szCs w:val="52"/>
                        </w:rPr>
                        <w:t>2021年</w:t>
                      </w:r>
                      <w:r>
                        <w:rPr>
                          <w:rFonts w:hint="eastAsia" w:ascii="楷体_GB2312" w:hAnsi="楷体_GB2312" w:eastAsia="楷体_GB2312" w:cs="楷体_GB2312"/>
                          <w:sz w:val="44"/>
                          <w:szCs w:val="52"/>
                          <w:lang w:val="en-US" w:eastAsia="zh-CN"/>
                        </w:rPr>
                        <w:t>10</w:t>
                      </w:r>
                      <w:r>
                        <w:rPr>
                          <w:rFonts w:hint="eastAsia" w:ascii="楷体_GB2312" w:hAnsi="楷体_GB2312" w:eastAsia="楷体_GB2312" w:cs="楷体_GB2312"/>
                          <w:sz w:val="44"/>
                          <w:szCs w:val="52"/>
                        </w:rPr>
                        <w:t>月</w:t>
                      </w:r>
                      <w:r>
                        <w:rPr>
                          <w:rFonts w:hint="eastAsia" w:ascii="楷体_GB2312" w:hAnsi="楷体_GB2312" w:eastAsia="楷体_GB2312" w:cs="楷体_GB2312"/>
                          <w:sz w:val="44"/>
                          <w:szCs w:val="52"/>
                          <w:lang w:val="en-US" w:eastAsia="zh-CN"/>
                        </w:rPr>
                        <w:t>9日</w:t>
                      </w:r>
                    </w:p>
                  </w:txbxContent>
                </v:textbox>
              </v:shape>
            </w:pict>
          </mc:Fallback>
        </mc:AlternateContent>
      </w:r>
      <w:r>
        <w:drawing>
          <wp:anchor distT="0" distB="0" distL="114300" distR="114300" simplePos="0" relativeHeight="251667456" behindDoc="1" locked="0" layoutInCell="1" allowOverlap="1">
            <wp:simplePos x="0" y="0"/>
            <wp:positionH relativeFrom="column">
              <wp:posOffset>-997585</wp:posOffset>
            </wp:positionH>
            <wp:positionV relativeFrom="paragraph">
              <wp:posOffset>-1360170</wp:posOffset>
            </wp:positionV>
            <wp:extent cx="7592060" cy="10739755"/>
            <wp:effectExtent l="0" t="0" r="12700" b="4445"/>
            <wp:wrapNone/>
            <wp:docPr id="4" name="图片 4" descr="决算封面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决算封面无"/>
                    <pic:cNvPicPr>
                      <a:picLocks noChangeAspect="1"/>
                    </pic:cNvPicPr>
                  </pic:nvPicPr>
                  <pic:blipFill>
                    <a:blip r:embed="rId14"/>
                    <a:stretch>
                      <a:fillRect/>
                    </a:stretch>
                  </pic:blipFill>
                  <pic:spPr>
                    <a:xfrm>
                      <a:off x="0" y="0"/>
                      <a:ext cx="7592060" cy="10739755"/>
                    </a:xfrm>
                    <a:prstGeom prst="rect">
                      <a:avLst/>
                    </a:prstGeom>
                  </pic:spPr>
                </pic:pic>
              </a:graphicData>
            </a:graphic>
          </wp:anchor>
        </w:drawing>
      </w:r>
      <w:r>
        <w:br w:type="page"/>
      </w:r>
    </w:p>
    <w:p>
      <w:pPr>
        <w:ind w:firstLine="1440" w:firstLineChars="200"/>
        <w:rPr>
          <w:rFonts w:hint="eastAsia" w:ascii="黑体" w:hAnsi="黑体" w:eastAsia="黑体" w:cs="黑体"/>
          <w:sz w:val="72"/>
          <w:szCs w:val="96"/>
          <w:lang w:eastAsia="zh-CN"/>
        </w:rPr>
      </w:pPr>
      <w:r>
        <w:rPr>
          <w:rFonts w:hint="eastAsia" w:ascii="黑体" w:hAnsi="黑体" w:eastAsia="黑体" w:cs="黑体"/>
          <w:sz w:val="72"/>
          <w:szCs w:val="96"/>
          <w:lang w:eastAsia="zh-CN"/>
        </w:rPr>
        <w:t>鹿泉区民政局（本级）</w:t>
      </w:r>
    </w:p>
    <w:p>
      <w:pPr>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2098" w:right="1531" w:bottom="1984"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w:t>
      </w:r>
      <w:r>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r>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九日</w:t>
      </w:r>
    </w:p>
    <w:p>
      <w:pPr>
        <w:jc w:val="center"/>
        <w:rPr>
          <w:rFonts w:ascii="黑体" w:hAnsi="黑体" w:eastAsia="黑体" w:cs="黑体"/>
          <w:sz w:val="56"/>
          <w:szCs w:val="72"/>
          <w:highlight w:val="yellow"/>
        </w:rPr>
        <w:sectPr>
          <w:headerReference r:id="rId4" w:type="first"/>
          <w:footerReference r:id="rId6" w:type="first"/>
          <w:headerReference r:id="rId3" w:type="default"/>
          <w:footerReference r:id="rId5" w:type="default"/>
          <w:type w:val="continuous"/>
          <w:pgSz w:w="11906" w:h="16838"/>
          <w:pgMar w:top="2098" w:right="1531" w:bottom="1984" w:left="1531" w:header="851" w:footer="992" w:gutter="0"/>
          <w:cols w:space="0" w:num="1"/>
          <w:titlePg/>
          <w:docGrid w:type="lines" w:linePitch="312" w:charSpace="0"/>
        </w:sect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line="64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line="64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line="64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pPr>
        <w:widowControl/>
        <w:spacing w:line="64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8" w:type="first"/>
          <w:footerReference r:id="rId10" w:type="first"/>
          <w:headerReference r:id="rId7" w:type="default"/>
          <w:footerReference r:id="rId9" w:type="default"/>
          <w:type w:val="continuous"/>
          <w:pgSz w:w="11906" w:h="16838"/>
          <w:pgMar w:top="2098" w:right="1531" w:bottom="1984"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59264" behindDoc="0" locked="0" layoutInCell="1" allowOverlap="1">
                <wp:simplePos x="0" y="0"/>
                <wp:positionH relativeFrom="column">
                  <wp:posOffset>-1088390</wp:posOffset>
                </wp:positionH>
                <wp:positionV relativeFrom="paragraph">
                  <wp:posOffset>1024890</wp:posOffset>
                </wp:positionV>
                <wp:extent cx="7793355" cy="3341370"/>
                <wp:effectExtent l="6350" t="6350" r="18415" b="2032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59264;v-text-anchor:middle;mso-width-relative:page;mso-height-relative:page;" fillcolor="#7F7F7F [1612]" filled="t" stroked="t" coordsize="21600,21600" o:gfxdata="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">
                <v:fill type="pattern" on="t" color2="#FFFFFF [3212]" focussize="0,0" r:id="rId15"/>
                <v:stroke weight="1pt" color="#A6A6A6 [2092]"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（一）主要部门职能</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1.贯彻执行民政工作的方针政策和法律法规；研究提出全区民政事业的发展规划和年度工作计划。负责全区民政信息宣传和政策理论研究工作，负责全区民政执法监督检查、行政复议工作。</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2.提出和改进加强全区城乡基层政权建设的意见和建议；推进全区村委会、居委会等群众自治组织的民主政治建设；指导村（居）民委员会开展民主选举、民主决策、民主管理和民主监督工作；推动村（居）民自治、村（居）务公开；拟订社区发展规划、社区服务管理办法和促进社区发展的政策措施；指导社区服务体系建设。</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3.承担城乡社会救助体系建设；负责城乡居民最低生活保障、五保供养、临时救助和生活无着人员救助工作，以及其它特殊救济对象的救济、60年代精减退职职工40%的救济；负责指导全区敬老院的建设和管理工作。</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4.负责全区乡（镇）、村的区域划分，地名和行政区域界线管理工作；负责审核乡（镇）的设立、撤销、乡改镇、驻地迁移等工作的调查、论证、审核、报批；负责全区地名管理工作，组织实施地名公共服务工程，承办全区乡镇、村地名命名、更名的申报和审核工作，收集、整理、更新地名资料；协助有关部门做好全区边界线的勘察和边界纠纷的调查处理工作。</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5.负责全区扶贫开发工作。按照《鹿泉市扶贫开发规划》落实各扶贫重点村的扶贫项目，管好用好扶贫资金和物资；做好各级帮扶单位的协调、服务工作；完成扶贫培训任务，动员全社会开展扶贫济困活动；认真做好各种数据报表、文字材料上报工作；做好扶贫开发的信息宣传工作。</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6.拟订社会福利事业发展规划，做好各类福利机构的管理和服务工作；拟订加快养老服务社会化政策和老年福利设施建设规划；负责全区福利彩票销售管理工作；负责全区社会福利企业发展和管理工作，对社会福利生产企业进行指导和宏观管理。</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7.承担全区民办非企业及社团登记管理和监察责任；指导和监督全区社会团体和民办非企业单位的登记管理工作。</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8.拟订全区慈善事业发展规划和政策，组织指导社会捐助工作；负责全区老年人、孤儿等特殊群体的权益保护行政管理工作。</w:t>
      </w:r>
    </w:p>
    <w:p>
      <w:pPr>
        <w:widowControl/>
        <w:spacing w:after="160" w:line="580" w:lineRule="exact"/>
        <w:ind w:firstLine="1273" w:firstLineChars="398"/>
        <w:rPr>
          <w:rFonts w:ascii="仿宋" w:hAnsi="仿宋" w:eastAsia="仿宋" w:cs="Times New Roman"/>
          <w:sz w:val="32"/>
          <w:szCs w:val="32"/>
        </w:rPr>
      </w:pPr>
      <w:r>
        <w:rPr>
          <w:rFonts w:ascii="仿宋" w:hAnsi="仿宋" w:eastAsia="仿宋" w:cs="Times New Roman"/>
          <w:sz w:val="32"/>
          <w:szCs w:val="32"/>
        </w:rPr>
        <w:t>9</w:t>
      </w:r>
      <w:r>
        <w:rPr>
          <w:rFonts w:hint="eastAsia" w:ascii="仿宋" w:hAnsi="仿宋" w:eastAsia="仿宋" w:cs="Times New Roman"/>
          <w:sz w:val="32"/>
          <w:szCs w:val="32"/>
        </w:rPr>
        <w:t>.主管婚姻登记、殡葬管理和儿童收养工作；推行婚俗和殡葬改革工作，负责殡葬事业单位的管理建设工作。</w:t>
      </w:r>
    </w:p>
    <w:p>
      <w:pPr>
        <w:widowControl/>
        <w:spacing w:after="160" w:line="580" w:lineRule="exact"/>
        <w:ind w:firstLine="1273" w:firstLineChars="398"/>
        <w:rPr>
          <w:rFonts w:ascii="仿宋" w:hAnsi="仿宋" w:eastAsia="仿宋" w:cs="Times New Roman"/>
          <w:sz w:val="32"/>
          <w:szCs w:val="32"/>
        </w:rPr>
      </w:pPr>
      <w:r>
        <w:rPr>
          <w:rFonts w:ascii="仿宋" w:hAnsi="仿宋" w:eastAsia="仿宋" w:cs="Times New Roman"/>
          <w:sz w:val="32"/>
          <w:szCs w:val="32"/>
        </w:rPr>
        <w:t>10</w:t>
      </w:r>
      <w:r>
        <w:rPr>
          <w:rFonts w:hint="eastAsia" w:ascii="仿宋" w:hAnsi="仿宋" w:eastAsia="仿宋" w:cs="Times New Roman"/>
          <w:sz w:val="32"/>
          <w:szCs w:val="32"/>
        </w:rPr>
        <w:t>.拟订加快养服务社会化政策和老年福利设施建设规划；协调老人维权工作；组织敬老爱老活动。</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1</w:t>
      </w:r>
      <w:r>
        <w:rPr>
          <w:rFonts w:ascii="仿宋" w:hAnsi="仿宋" w:eastAsia="仿宋" w:cs="Times New Roman"/>
          <w:sz w:val="32"/>
          <w:szCs w:val="32"/>
        </w:rPr>
        <w:t>1</w:t>
      </w:r>
      <w:r>
        <w:rPr>
          <w:rFonts w:hint="eastAsia" w:ascii="仿宋" w:hAnsi="仿宋" w:eastAsia="仿宋" w:cs="Times New Roman"/>
          <w:sz w:val="32"/>
          <w:szCs w:val="32"/>
        </w:rPr>
        <w:t>.拟订全区民政事业发展规划和民政事业资金管理办法；负责民政专项资金的管理监督；负责直属单位的内部审计工作；负责民政统计工作。</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1</w:t>
      </w:r>
      <w:r>
        <w:rPr>
          <w:rFonts w:ascii="仿宋" w:hAnsi="仿宋" w:eastAsia="仿宋" w:cs="Times New Roman"/>
          <w:sz w:val="32"/>
          <w:szCs w:val="32"/>
        </w:rPr>
        <w:t>2</w:t>
      </w:r>
      <w:r>
        <w:rPr>
          <w:rFonts w:hint="eastAsia" w:ascii="仿宋" w:hAnsi="仿宋" w:eastAsia="仿宋" w:cs="Times New Roman"/>
          <w:sz w:val="32"/>
          <w:szCs w:val="32"/>
        </w:rPr>
        <w:t>.研究制定社会工作人才队伍建设规划，会同有关部门推进社会工作人才队伍建设。</w:t>
      </w:r>
    </w:p>
    <w:p>
      <w:pPr>
        <w:widowControl/>
        <w:spacing w:after="160" w:line="580" w:lineRule="exact"/>
        <w:ind w:firstLine="1280" w:firstLineChars="400"/>
        <w:rPr>
          <w:rFonts w:ascii="黑体" w:hAnsi="黑体" w:eastAsia="黑体" w:cs="Times New Roman"/>
          <w:sz w:val="32"/>
          <w:szCs w:val="32"/>
        </w:rPr>
      </w:pPr>
      <w:r>
        <w:rPr>
          <w:rFonts w:hint="eastAsia" w:ascii="黑体" w:hAnsi="黑体" w:eastAsia="黑体" w:cs="Times New Roman"/>
          <w:sz w:val="32"/>
          <w:szCs w:val="32"/>
        </w:rPr>
        <w:t>(二)机构情况，包括当年变动情况及原因。</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石家庄市鹿泉区民政局为财政全额拨款一级预算单位。</w:t>
      </w:r>
    </w:p>
    <w:p>
      <w:pPr>
        <w:widowControl/>
        <w:spacing w:after="160" w:line="580" w:lineRule="exact"/>
        <w:ind w:firstLine="1280" w:firstLineChars="400"/>
        <w:rPr>
          <w:rFonts w:ascii="黑体" w:hAnsi="黑体" w:eastAsia="黑体" w:cs="Times New Roman"/>
          <w:sz w:val="32"/>
          <w:szCs w:val="32"/>
        </w:rPr>
      </w:pPr>
      <w:r>
        <w:rPr>
          <w:rFonts w:hint="eastAsia" w:ascii="黑体" w:hAnsi="黑体" w:eastAsia="黑体" w:cs="Times New Roman"/>
          <w:sz w:val="32"/>
          <w:szCs w:val="32"/>
        </w:rPr>
        <w:t>（三）人员情况，包括当年变动情况及原因。</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行政编制</w:t>
      </w:r>
      <w:r>
        <w:rPr>
          <w:rFonts w:hint="eastAsia" w:ascii="仿宋" w:hAnsi="仿宋" w:eastAsia="仿宋" w:cs="Times New Roman"/>
          <w:sz w:val="32"/>
          <w:szCs w:val="32"/>
          <w:lang w:val="en-US" w:eastAsia="zh-CN"/>
        </w:rPr>
        <w:t>9</w:t>
      </w:r>
      <w:r>
        <w:rPr>
          <w:rFonts w:hint="eastAsia" w:ascii="仿宋" w:hAnsi="仿宋" w:eastAsia="仿宋" w:cs="Times New Roman"/>
          <w:sz w:val="32"/>
          <w:szCs w:val="32"/>
        </w:rPr>
        <w:t>人、行政在职1</w:t>
      </w:r>
      <w:r>
        <w:rPr>
          <w:rFonts w:ascii="仿宋" w:hAnsi="仿宋" w:eastAsia="仿宋" w:cs="Times New Roman"/>
          <w:sz w:val="32"/>
          <w:szCs w:val="32"/>
        </w:rPr>
        <w:t>1</w:t>
      </w:r>
      <w:r>
        <w:rPr>
          <w:rFonts w:hint="eastAsia" w:ascii="仿宋" w:hAnsi="仿宋" w:eastAsia="仿宋" w:cs="Times New Roman"/>
          <w:sz w:val="32"/>
          <w:szCs w:val="32"/>
        </w:rPr>
        <w:t>人、事业编制</w:t>
      </w:r>
      <w:r>
        <w:rPr>
          <w:rFonts w:ascii="仿宋" w:hAnsi="仿宋" w:eastAsia="仿宋" w:cs="Times New Roman"/>
          <w:sz w:val="32"/>
          <w:szCs w:val="32"/>
        </w:rPr>
        <w:t>1</w:t>
      </w:r>
      <w:r>
        <w:rPr>
          <w:rFonts w:hint="eastAsia" w:ascii="仿宋" w:hAnsi="仿宋" w:eastAsia="仿宋" w:cs="Times New Roman"/>
          <w:sz w:val="32"/>
          <w:szCs w:val="32"/>
          <w:lang w:val="en-US" w:eastAsia="zh-CN"/>
        </w:rPr>
        <w:t>1</w:t>
      </w:r>
      <w:r>
        <w:rPr>
          <w:rFonts w:hint="eastAsia" w:ascii="仿宋" w:hAnsi="仿宋" w:eastAsia="仿宋" w:cs="Times New Roman"/>
          <w:sz w:val="32"/>
          <w:szCs w:val="32"/>
        </w:rPr>
        <w:t>人、事业在职</w:t>
      </w:r>
      <w:r>
        <w:rPr>
          <w:rFonts w:ascii="仿宋" w:hAnsi="仿宋" w:eastAsia="仿宋" w:cs="Times New Roman"/>
          <w:sz w:val="32"/>
          <w:szCs w:val="32"/>
        </w:rPr>
        <w:t>1</w:t>
      </w:r>
      <w:r>
        <w:rPr>
          <w:rFonts w:hint="eastAsia" w:ascii="仿宋" w:hAnsi="仿宋" w:eastAsia="仿宋" w:cs="Times New Roman"/>
          <w:sz w:val="32"/>
          <w:szCs w:val="32"/>
          <w:lang w:val="en-US" w:eastAsia="zh-CN"/>
        </w:rPr>
        <w:t>1</w:t>
      </w:r>
      <w:r>
        <w:rPr>
          <w:rFonts w:hint="eastAsia" w:ascii="仿宋" w:hAnsi="仿宋" w:eastAsia="仿宋" w:cs="Times New Roman"/>
          <w:sz w:val="32"/>
          <w:szCs w:val="32"/>
        </w:rPr>
        <w:t>人。</w:t>
      </w:r>
    </w:p>
    <w:p>
      <w:pPr>
        <w:widowControl/>
        <w:spacing w:after="160" w:line="580" w:lineRule="exact"/>
        <w:ind w:firstLine="1273" w:firstLineChars="398"/>
        <w:rPr>
          <w:rFonts w:ascii="黑体" w:hAnsi="黑体" w:eastAsia="黑体" w:cs="Times New Roman"/>
          <w:sz w:val="32"/>
          <w:szCs w:val="32"/>
        </w:rPr>
      </w:pPr>
      <w:r>
        <w:rPr>
          <w:rFonts w:hint="eastAsia" w:ascii="黑体" w:hAnsi="黑体" w:eastAsia="黑体" w:cs="Times New Roman"/>
          <w:sz w:val="32"/>
          <w:szCs w:val="32"/>
        </w:rPr>
        <w:t>二、当年取得的主要事业成效。</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（一）是加强沟通协调，做好预算经费的争取工作。积极争取各项民政资金，挖掘政策依据，科学编制部门预算，争取资金超额到位，确保传统项目经费的递增、新增项目经费的落实和单位人员经费的正常运转。</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（二）是加强预算实施管理，确保预算执行进度。积极配合相关科室和二级单位，做好各项专项指标的录入和项目资金的争取、分配和拨付工作。</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（三）是强化预算执行分析，促进支出结构优化。通过加大治理“三公”经费支出力度等措施，努力降低行政成本，提高预算执行率和资金使用效益。</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（四）是建立鹿泉区民政局资金监管制度及内部审计制度。</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（五）是做好民政统计工作，提高统计数据质量。会同各相关科室，按月完成石家庄市民政局布置的各项统计工作任务，并确保数据真实，及时上传台账和报表。</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（六）是建章立制促规范。从制度上、程序上规范各项民政资金的管理、使用和发放。进一步健全完善机关财务管理制度，加大对各项制度的执行力度。</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（七）因机构改革调整调入出人员工资、经费、专项资金、固定资产及解决涉军遗留问题等。</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（八）是认真做好单位人员劳资工作。完成人员调入、调出工资审批及工作人员住房、医疗等个人缴费工作。</w:t>
      </w:r>
    </w:p>
    <w:p>
      <w:pPr>
        <w:widowControl/>
        <w:spacing w:after="160" w:line="580" w:lineRule="exact"/>
        <w:ind w:firstLine="1273" w:firstLineChars="398"/>
        <w:rPr>
          <w:rFonts w:ascii="仿宋" w:hAnsi="仿宋" w:eastAsia="仿宋" w:cs="Times New Roman"/>
          <w:sz w:val="32"/>
          <w:szCs w:val="32"/>
        </w:rPr>
      </w:pPr>
      <w:r>
        <w:rPr>
          <w:rFonts w:hint="eastAsia" w:ascii="仿宋" w:hAnsi="仿宋" w:eastAsia="仿宋" w:cs="Times New Roman"/>
          <w:sz w:val="32"/>
          <w:szCs w:val="32"/>
        </w:rPr>
        <w:t>（九）是做好固定资产管理工作。为加强固定资产管理，确保固定资产账账相符、账实相符，按照区财政局固定资产清查的有关规定，对我局所有固定资产进行了全面的检查登记，避免了固定资产流失现象的发生。</w:t>
      </w:r>
    </w:p>
    <w:p>
      <w:pPr>
        <w:widowControl/>
        <w:spacing w:after="160" w:line="580" w:lineRule="exact"/>
        <w:ind w:firstLine="1273" w:firstLineChars="398"/>
        <w:rPr>
          <w:rFonts w:ascii="仿宋" w:hAnsi="仿宋" w:eastAsia="仿宋" w:cs="Times New Roman"/>
          <w:color w:val="000000" w:themeColor="text1"/>
          <w:sz w:val="32"/>
          <w:szCs w:val="32"/>
          <w14:textFill>
            <w14:solidFill>
              <w14:schemeClr w14:val="tx1"/>
            </w14:solidFill>
          </w14:textFill>
        </w:rPr>
      </w:pPr>
      <w:r>
        <w:rPr>
          <w:rFonts w:hint="eastAsia" w:ascii="仿宋" w:hAnsi="仿宋" w:eastAsia="仿宋" w:cs="Times New Roman"/>
          <w:color w:val="000000" w:themeColor="text1"/>
          <w:sz w:val="32"/>
          <w:szCs w:val="32"/>
          <w14:textFill>
            <w14:solidFill>
              <w14:schemeClr w14:val="tx1"/>
            </w14:solidFill>
          </w14:textFill>
        </w:rPr>
        <w:t>（十）接受石家庄市财政局惠农“一卡通”检查、鹿泉区审计局养老服务体系专项审计、</w:t>
      </w:r>
      <w:r>
        <w:rPr>
          <w:rFonts w:hint="eastAsia" w:ascii="仿宋" w:hAnsi="仿宋" w:eastAsia="仿宋" w:cs="Times New Roman"/>
          <w:color w:val="000000" w:themeColor="text1"/>
          <w:sz w:val="32"/>
          <w:szCs w:val="32"/>
          <w:lang w:eastAsia="zh-CN"/>
          <w14:textFill>
            <w14:solidFill>
              <w14:schemeClr w14:val="tx1"/>
            </w14:solidFill>
          </w14:textFill>
        </w:rPr>
        <w:t>石家庄市审计局对</w:t>
      </w:r>
      <w:r>
        <w:rPr>
          <w:rFonts w:hint="eastAsia" w:ascii="仿宋" w:hAnsi="仿宋" w:eastAsia="仿宋" w:cs="Times New Roman"/>
          <w:color w:val="000000" w:themeColor="text1"/>
          <w:sz w:val="32"/>
          <w:szCs w:val="32"/>
          <w14:textFill>
            <w14:solidFill>
              <w14:schemeClr w14:val="tx1"/>
            </w14:solidFill>
          </w14:textFill>
        </w:rPr>
        <w:t>涉农</w:t>
      </w:r>
      <w:r>
        <w:rPr>
          <w:rFonts w:hint="eastAsia" w:ascii="仿宋" w:hAnsi="仿宋" w:eastAsia="仿宋" w:cs="Times New Roman"/>
          <w:color w:val="000000" w:themeColor="text1"/>
          <w:sz w:val="32"/>
          <w:szCs w:val="32"/>
          <w:lang w:eastAsia="zh-CN"/>
          <w14:textFill>
            <w14:solidFill>
              <w14:schemeClr w14:val="tx1"/>
            </w14:solidFill>
          </w14:textFill>
        </w:rPr>
        <w:t>扶贫</w:t>
      </w:r>
      <w:r>
        <w:rPr>
          <w:rFonts w:hint="eastAsia" w:ascii="仿宋" w:hAnsi="仿宋" w:eastAsia="仿宋" w:cs="Times New Roman"/>
          <w:color w:val="000000" w:themeColor="text1"/>
          <w:sz w:val="32"/>
          <w:szCs w:val="32"/>
          <w14:textFill>
            <w14:solidFill>
              <w14:schemeClr w14:val="tx1"/>
            </w14:solidFill>
          </w14:textFill>
        </w:rPr>
        <w:t>专项资金</w:t>
      </w:r>
      <w:r>
        <w:rPr>
          <w:rFonts w:hint="eastAsia" w:ascii="仿宋" w:hAnsi="仿宋" w:eastAsia="仿宋" w:cs="Times New Roman"/>
          <w:color w:val="000000" w:themeColor="text1"/>
          <w:sz w:val="32"/>
          <w:szCs w:val="32"/>
          <w:lang w:eastAsia="zh-CN"/>
          <w14:textFill>
            <w14:solidFill>
              <w14:schemeClr w14:val="tx1"/>
            </w14:solidFill>
          </w14:textFill>
        </w:rPr>
        <w:t>审计</w:t>
      </w:r>
      <w:r>
        <w:rPr>
          <w:rFonts w:hint="eastAsia" w:ascii="仿宋" w:hAnsi="仿宋" w:eastAsia="仿宋" w:cs="Times New Roman"/>
          <w:color w:val="000000" w:themeColor="text1"/>
          <w:sz w:val="32"/>
          <w:szCs w:val="32"/>
          <w14:textFill>
            <w14:solidFill>
              <w14:schemeClr w14:val="tx1"/>
            </w14:solidFill>
          </w14:textFill>
        </w:rPr>
        <w:t>。</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 Black"/>
          <w:kern w:val="0"/>
          <w:sz w:val="32"/>
          <w:szCs w:val="32"/>
        </w:rPr>
      </w:pPr>
      <w:r>
        <w:rPr>
          <w:rFonts w:hint="eastAsia" w:ascii="仿宋_GB2312" w:hAnsi="Calibri" w:eastAsia="仿宋_GB2312" w:cs="Arial Black"/>
          <w:kern w:val="0"/>
          <w:sz w:val="32"/>
          <w:szCs w:val="32"/>
        </w:rPr>
        <w:t>从决算编报单位构成看，纳入20</w:t>
      </w:r>
      <w:r>
        <w:rPr>
          <w:rFonts w:ascii="仿宋_GB2312" w:hAnsi="Calibri" w:eastAsia="仿宋_GB2312" w:cs="Arial Black"/>
          <w:kern w:val="0"/>
          <w:sz w:val="32"/>
          <w:szCs w:val="32"/>
        </w:rPr>
        <w:t>20</w:t>
      </w:r>
      <w:r>
        <w:rPr>
          <w:rFonts w:hint="eastAsia" w:ascii="仿宋_GB2312" w:hAnsi="Calibri" w:eastAsia="仿宋_GB2312" w:cs="Arial Black"/>
          <w:kern w:val="0"/>
          <w:sz w:val="32"/>
          <w:szCs w:val="32"/>
        </w:rPr>
        <w:t>年度本部门决算汇编范围的独立核算单位（以下简称“单位”）共</w:t>
      </w:r>
      <w:r>
        <w:rPr>
          <w:rFonts w:hint="eastAsia" w:ascii="仿宋_GB2312" w:hAnsi="Calibri" w:eastAsia="仿宋_GB2312" w:cs="Arial Black"/>
          <w:kern w:val="0"/>
          <w:sz w:val="32"/>
          <w:szCs w:val="32"/>
          <w:lang w:val="en-US" w:eastAsia="zh-CN"/>
        </w:rPr>
        <w:t>1</w:t>
      </w:r>
      <w:r>
        <w:rPr>
          <w:rFonts w:hint="eastAsia" w:ascii="仿宋_GB2312" w:hAnsi="Calibri" w:eastAsia="仿宋_GB2312" w:cs="Arial Black"/>
          <w:kern w:val="0"/>
          <w:sz w:val="32"/>
          <w:szCs w:val="32"/>
        </w:rPr>
        <w:t>个，具体情况如下：</w:t>
      </w:r>
    </w:p>
    <w:tbl>
      <w:tblPr>
        <w:tblStyle w:val="8"/>
        <w:tblpPr w:leftFromText="180" w:rightFromText="180" w:vertAnchor="text" w:horzAnchor="page" w:tblpXSpec="center" w:tblpY="10"/>
        <w:tblOverlap w:val="never"/>
        <w:tblW w:w="94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8"/>
        <w:gridCol w:w="3426"/>
        <w:gridCol w:w="2404"/>
        <w:gridCol w:w="26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3" w:hRule="atLeast"/>
          <w:jc w:val="center"/>
        </w:trPr>
        <w:tc>
          <w:tcPr>
            <w:tcW w:w="968"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序号</w:t>
            </w:r>
          </w:p>
        </w:tc>
        <w:tc>
          <w:tcPr>
            <w:tcW w:w="3426"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单位名称</w:t>
            </w:r>
          </w:p>
        </w:tc>
        <w:tc>
          <w:tcPr>
            <w:tcW w:w="2404"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单位基本性质</w:t>
            </w:r>
          </w:p>
        </w:tc>
        <w:tc>
          <w:tcPr>
            <w:tcW w:w="2622"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68" w:type="dxa"/>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1</w:t>
            </w:r>
          </w:p>
        </w:tc>
        <w:tc>
          <w:tcPr>
            <w:tcW w:w="3426" w:type="dxa"/>
          </w:tcPr>
          <w:p>
            <w:pPr>
              <w:spacing w:line="560" w:lineRule="exact"/>
              <w:rPr>
                <w:rFonts w:ascii="仿宋_GB2312" w:hAnsi="Calibri" w:eastAsia="仿宋_GB2312" w:cs="Arial Black"/>
                <w:kern w:val="0"/>
                <w:sz w:val="28"/>
                <w:szCs w:val="28"/>
              </w:rPr>
            </w:pPr>
            <w:r>
              <w:rPr>
                <w:rFonts w:hint="eastAsia" w:ascii="仿宋_GB2312" w:hAnsi="Calibri" w:eastAsia="仿宋_GB2312" w:cs="Arial Black"/>
                <w:kern w:val="0"/>
                <w:sz w:val="28"/>
                <w:szCs w:val="28"/>
                <w:lang w:eastAsia="zh-CN"/>
              </w:rPr>
              <w:t>鹿泉区民政局</w:t>
            </w:r>
            <w:r>
              <w:rPr>
                <w:rFonts w:hint="eastAsia" w:ascii="仿宋_GB2312" w:hAnsi="Calibri" w:eastAsia="仿宋_GB2312" w:cs="Arial Black"/>
                <w:kern w:val="0"/>
                <w:sz w:val="28"/>
                <w:szCs w:val="28"/>
              </w:rPr>
              <w:t>(本级)</w:t>
            </w:r>
          </w:p>
        </w:tc>
        <w:tc>
          <w:tcPr>
            <w:tcW w:w="2404" w:type="dxa"/>
          </w:tcPr>
          <w:p>
            <w:pPr>
              <w:spacing w:line="560" w:lineRule="exact"/>
              <w:jc w:val="center"/>
              <w:rPr>
                <w:rFonts w:hint="eastAsia" w:ascii="仿宋_GB2312" w:hAnsi="Calibri" w:eastAsia="仿宋_GB2312" w:cs="Arial Black"/>
                <w:kern w:val="0"/>
                <w:sz w:val="28"/>
                <w:szCs w:val="28"/>
                <w:lang w:eastAsia="zh-CN"/>
              </w:rPr>
            </w:pPr>
            <w:r>
              <w:rPr>
                <w:rFonts w:hint="eastAsia" w:ascii="仿宋_GB2312" w:hAnsi="Calibri" w:eastAsia="仿宋_GB2312" w:cs="Arial Black"/>
                <w:kern w:val="0"/>
                <w:sz w:val="28"/>
                <w:szCs w:val="28"/>
                <w:lang w:eastAsia="zh-CN"/>
              </w:rPr>
              <w:t>行政</w:t>
            </w:r>
          </w:p>
        </w:tc>
        <w:tc>
          <w:tcPr>
            <w:tcW w:w="2622" w:type="dxa"/>
          </w:tcPr>
          <w:p>
            <w:pPr>
              <w:spacing w:line="560" w:lineRule="exact"/>
              <w:jc w:val="center"/>
              <w:rPr>
                <w:rFonts w:hint="eastAsia" w:ascii="仿宋_GB2312" w:hAnsi="Calibri" w:eastAsia="仿宋_GB2312" w:cs="Arial Black"/>
                <w:kern w:val="0"/>
                <w:sz w:val="28"/>
                <w:szCs w:val="28"/>
                <w:lang w:eastAsia="zh-CN"/>
              </w:rPr>
            </w:pPr>
            <w:r>
              <w:rPr>
                <w:rFonts w:hint="eastAsia" w:ascii="仿宋_GB2312" w:hAnsi="Calibri" w:eastAsia="仿宋_GB2312" w:cs="Arial Black"/>
                <w:kern w:val="0"/>
                <w:sz w:val="28"/>
                <w:szCs w:val="28"/>
                <w:lang w:eastAsia="zh-CN"/>
              </w:rPr>
              <w:t>财政拨款</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
      <w:pPr>
        <w:widowControl/>
        <w:spacing w:after="160" w:line="580" w:lineRule="exact"/>
        <w:ind w:firstLine="1440" w:firstLineChars="200"/>
        <w:rPr>
          <w:rFonts w:ascii="Times New Roman" w:hAnsi="Times New Roman" w:eastAsia="黑体" w:cs="Times New Roman"/>
          <w:sz w:val="32"/>
          <w:szCs w:val="32"/>
        </w:rPr>
        <w:sectPr>
          <w:headerReference r:id="rId11" w:type="default"/>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2336"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2336;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63360" behindDoc="0" locked="0" layoutInCell="1" allowOverlap="1">
                <wp:simplePos x="0" y="0"/>
                <wp:positionH relativeFrom="column">
                  <wp:posOffset>-1028065</wp:posOffset>
                </wp:positionH>
                <wp:positionV relativeFrom="paragraph">
                  <wp:posOffset>-2637155</wp:posOffset>
                </wp:positionV>
                <wp:extent cx="7793355" cy="3341370"/>
                <wp:effectExtent l="6350" t="6350" r="18415" b="20320"/>
                <wp:wrapNone/>
                <wp:docPr id="2" name="文本框 2"/>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5pt;margin-top:-207.65pt;height:263.1pt;width:613.65pt;z-index:251663360;v-text-anchor:middle;mso-width-relative:page;mso-height-relative:page;" fillcolor="#7F7F7F [1612]" filled="t" stroked="t" coordsize="21600,21600" o:gfxdata="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">
                <v:fill type="pattern" on="t" color2="#FFFFFF [3212]" focussize="0,0" r:id="rId15"/>
                <v:stroke weight="1pt" color="#A6A6A6 [2092]"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v:textbox>
              </v:shape>
            </w:pict>
          </mc:Fallback>
        </mc:AlternateContent>
      </w:r>
    </w:p>
    <w:p>
      <w:pPr>
        <w:jc w:val="center"/>
        <w:rPr>
          <w:rFonts w:ascii="黑体" w:hAnsi="黑体" w:eastAsia="黑体" w:cs="黑体"/>
          <w:sz w:val="56"/>
          <w:szCs w:val="72"/>
        </w:rPr>
      </w:pPr>
    </w:p>
    <w:p>
      <w:pPr>
        <w:keepNext/>
        <w:keepLines/>
        <w:snapToGrid w:val="0"/>
        <w:spacing w:line="600" w:lineRule="exact"/>
        <w:ind w:firstLine="420" w:firstLineChars="200"/>
        <w:outlineLvl w:val="1"/>
        <w:rPr>
          <w:rFonts w:ascii="黑体" w:hAnsi="Calibri" w:eastAsia="黑体" w:cs="Times New Roman"/>
          <w:sz w:val="32"/>
          <w:szCs w:val="32"/>
        </w:rPr>
      </w:pPr>
      <w:r>
        <w:br w:type="page"/>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rPr>
        <w:t>本部门2020年度收、支总计（含结转和结余）</w:t>
      </w:r>
      <w:r>
        <w:rPr>
          <w:rFonts w:hint="eastAsia" w:ascii="仿宋_GB2312" w:hAnsi="Times New Roman" w:eastAsia="仿宋_GB2312" w:cs="Wingdings"/>
          <w:sz w:val="32"/>
          <w:szCs w:val="32"/>
          <w:lang w:val="en-US" w:eastAsia="zh-CN"/>
        </w:rPr>
        <w:t>6311.04</w:t>
      </w:r>
      <w:r>
        <w:rPr>
          <w:rFonts w:hint="eastAsia" w:ascii="仿宋_GB2312" w:hAnsi="Times New Roman" w:eastAsia="仿宋_GB2312" w:cs="Wingdings"/>
          <w:sz w:val="32"/>
          <w:szCs w:val="32"/>
        </w:rPr>
        <w:t>万元。与2019年度决算相比，收支各减少</w:t>
      </w:r>
      <w:r>
        <w:rPr>
          <w:rFonts w:hint="eastAsia" w:ascii="仿宋_GB2312" w:hAnsi="Times New Roman" w:eastAsia="仿宋_GB2312" w:cs="Wingdings"/>
          <w:sz w:val="32"/>
          <w:szCs w:val="32"/>
          <w:lang w:val="en-US" w:eastAsia="zh-CN"/>
        </w:rPr>
        <w:t>661.81</w:t>
      </w:r>
      <w:r>
        <w:rPr>
          <w:rFonts w:hint="eastAsia" w:ascii="仿宋_GB2312" w:hAnsi="Times New Roman" w:eastAsia="仿宋_GB2312" w:cs="Wingdings"/>
          <w:sz w:val="32"/>
          <w:szCs w:val="32"/>
        </w:rPr>
        <w:t>万元，下降</w:t>
      </w:r>
      <w:r>
        <w:rPr>
          <w:rFonts w:hint="eastAsia" w:ascii="仿宋_GB2312" w:hAnsi="Times New Roman" w:eastAsia="仿宋_GB2312" w:cs="Wingdings"/>
          <w:sz w:val="32"/>
          <w:szCs w:val="32"/>
          <w:lang w:val="en-US" w:eastAsia="zh-CN"/>
        </w:rPr>
        <w:t>9.49</w:t>
      </w:r>
      <w:r>
        <w:rPr>
          <w:rFonts w:hint="eastAsia" w:ascii="仿宋_GB2312" w:hAnsi="Times New Roman" w:eastAsia="仿宋_GB2312" w:cs="Wingdings"/>
          <w:sz w:val="32"/>
          <w:szCs w:val="32"/>
        </w:rPr>
        <w:t>%，主要原因是</w:t>
      </w:r>
      <w:r>
        <w:rPr>
          <w:rFonts w:hint="eastAsia" w:ascii="仿宋_GB2312" w:hAnsi="Times New Roman" w:eastAsia="仿宋_GB2312" w:cs="Wingdings"/>
          <w:sz w:val="32"/>
          <w:szCs w:val="32"/>
          <w:lang w:eastAsia="zh-CN"/>
        </w:rPr>
        <w:t>项目投资减少</w:t>
      </w:r>
      <w:r>
        <w:rPr>
          <w:rFonts w:hint="eastAsia" w:ascii="仿宋_GB2312" w:hAnsi="Times New Roman" w:eastAsia="仿宋_GB2312" w:cs="Wingdings"/>
          <w:sz w:val="32"/>
          <w:szCs w:val="32"/>
        </w:rPr>
        <w:t>。</w:t>
      </w:r>
    </w:p>
    <w:p>
      <w:pPr>
        <w:adjustRightInd w:val="0"/>
        <w:snapToGrid w:val="0"/>
        <w:spacing w:line="600" w:lineRule="exact"/>
        <w:rPr>
          <w:rFonts w:ascii="仿宋_GB2312" w:hAnsi="Times New Roman" w:eastAsia="仿宋_GB2312" w:cs="Wingdings"/>
          <w:sz w:val="32"/>
          <w:szCs w:val="32"/>
        </w:rPr>
      </w:pPr>
      <w:r>
        <w:rPr>
          <w:rFonts w:hint="eastAsia" w:ascii="仿宋_GB2312" w:hAnsi="Times New Roman" w:eastAsia="仿宋_GB2312" w:cs="Wingdings"/>
          <w:sz w:val="32"/>
          <w:szCs w:val="32"/>
        </w:rPr>
        <w:drawing>
          <wp:anchor distT="0" distB="0" distL="114300" distR="114300" simplePos="0" relativeHeight="251664384" behindDoc="1" locked="0" layoutInCell="1" allowOverlap="1">
            <wp:simplePos x="0" y="0"/>
            <wp:positionH relativeFrom="column">
              <wp:posOffset>515620</wp:posOffset>
            </wp:positionH>
            <wp:positionV relativeFrom="paragraph">
              <wp:posOffset>71755</wp:posOffset>
            </wp:positionV>
            <wp:extent cx="4157980" cy="2273300"/>
            <wp:effectExtent l="0" t="0" r="2540" b="12700"/>
            <wp:wrapNone/>
            <wp:docPr id="27" name="图表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5800"/>
        </w:tabs>
        <w:adjustRightInd w:val="0"/>
        <w:snapToGrid w:val="0"/>
        <w:spacing w:line="600" w:lineRule="exact"/>
        <w:ind w:firstLine="640" w:firstLineChars="200"/>
        <w:rPr>
          <w:rFonts w:ascii="仿宋_GB2312" w:hAnsi="Times New Roman" w:eastAsia="仿宋_GB2312" w:cs="Wingdings"/>
          <w:sz w:val="18"/>
          <w:szCs w:val="18"/>
        </w:rPr>
      </w:pPr>
      <w:r>
        <w:rPr>
          <w:rFonts w:ascii="仿宋_GB2312" w:hAnsi="Times New Roman" w:eastAsia="仿宋_GB2312" w:cs="Wingdings"/>
          <w:sz w:val="32"/>
          <w:szCs w:val="32"/>
        </w:rPr>
        <w:tab/>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2820"/>
        </w:tabs>
        <w:adjustRightInd w:val="0"/>
        <w:snapToGrid w:val="0"/>
        <w:spacing w:line="600" w:lineRule="exact"/>
        <w:ind w:firstLine="640" w:firstLineChars="200"/>
        <w:rPr>
          <w:rFonts w:ascii="仿宋_GB2312" w:hAnsi="Times New Roman" w:eastAsia="仿宋_GB2312" w:cs="Wingdings"/>
          <w:sz w:val="20"/>
          <w:szCs w:val="20"/>
        </w:rPr>
      </w:pPr>
      <w:r>
        <w:rPr>
          <w:rFonts w:ascii="仿宋_GB2312" w:hAnsi="Times New Roman" w:eastAsia="仿宋_GB2312" w:cs="Wingdings"/>
          <w:sz w:val="32"/>
          <w:szCs w:val="32"/>
        </w:rPr>
        <w:tab/>
      </w:r>
    </w:p>
    <w:p>
      <w:pPr>
        <w:keepNext/>
        <w:keepLines/>
        <w:snapToGrid w:val="0"/>
        <w:spacing w:line="600" w:lineRule="exact"/>
        <w:ind w:firstLine="640" w:firstLineChars="200"/>
        <w:outlineLvl w:val="1"/>
        <w:rPr>
          <w:rFonts w:ascii="黑体" w:hAnsi="Calibri" w:eastAsia="黑体" w:cs="Times New Roman"/>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600" w:lineRule="exact"/>
        <w:ind w:firstLine="640" w:firstLineChars="200"/>
        <w:rPr>
          <w:rFonts w:hint="eastAsia" w:ascii="仿宋_GB2312" w:hAnsi="Times New Roman" w:eastAsia="仿宋_GB2312" w:cs="Wingdings"/>
          <w:color w:val="000000" w:themeColor="text1"/>
          <w:sz w:val="32"/>
          <w:szCs w:val="32"/>
          <w:lang w:val="en-US" w:eastAsia="zh-CN"/>
          <w14:textFill>
            <w14:solidFill>
              <w14:schemeClr w14:val="tx1"/>
            </w14:solidFill>
          </w14:textFill>
        </w:rPr>
      </w:pPr>
      <w:r>
        <w:rPr>
          <w:rFonts w:hint="eastAsia" w:ascii="仿宋_GB2312" w:hAnsi="Times New Roman" w:eastAsia="仿宋_GB2312" w:cs="Wingdings"/>
          <w:sz w:val="32"/>
          <w:szCs w:val="32"/>
        </w:rPr>
        <w:t>本</w:t>
      </w:r>
      <w:r>
        <w:rPr>
          <w:rFonts w:hint="eastAsia" w:ascii="仿宋_GB2312" w:hAnsi="Times New Roman" w:eastAsia="仿宋_GB2312" w:cs="Wingdings"/>
          <w:color w:val="000000" w:themeColor="text1"/>
          <w:sz w:val="32"/>
          <w:szCs w:val="32"/>
          <w14:textFill>
            <w14:solidFill>
              <w14:schemeClr w14:val="tx1"/>
            </w14:solidFill>
          </w14:textFill>
        </w:rPr>
        <w:t>部门2020年度本年收入合计</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5275.1</w:t>
      </w:r>
      <w:r>
        <w:rPr>
          <w:rFonts w:hint="eastAsia" w:ascii="仿宋_GB2312" w:hAnsi="Times New Roman" w:eastAsia="仿宋_GB2312" w:cs="Wingdings"/>
          <w:color w:val="000000" w:themeColor="text1"/>
          <w:sz w:val="32"/>
          <w:szCs w:val="32"/>
          <w14:textFill>
            <w14:solidFill>
              <w14:schemeClr w14:val="tx1"/>
            </w14:solidFill>
          </w14:textFill>
        </w:rPr>
        <w:t>万元，其中：财政拨款收入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5221.95</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98.99</w:t>
      </w:r>
      <w:r>
        <w:rPr>
          <w:rFonts w:hint="eastAsia" w:ascii="仿宋_GB2312" w:hAnsi="Times New Roman" w:eastAsia="仿宋_GB2312" w:cs="Wingdings"/>
          <w:color w:val="000000" w:themeColor="text1"/>
          <w:sz w:val="32"/>
          <w:szCs w:val="32"/>
          <w14:textFill>
            <w14:solidFill>
              <w14:schemeClr w14:val="tx1"/>
            </w14:solidFill>
          </w14:textFill>
        </w:rPr>
        <w:t>%；其他收入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53.15</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1.01</w:t>
      </w:r>
      <w:r>
        <w:rPr>
          <w:rFonts w:hint="eastAsia" w:ascii="仿宋_GB2312" w:hAnsi="Times New Roman" w:eastAsia="仿宋_GB2312" w:cs="Wingdings"/>
          <w:color w:val="000000" w:themeColor="text1"/>
          <w:sz w:val="32"/>
          <w:szCs w:val="32"/>
          <w14:textFill>
            <w14:solidFill>
              <w14:schemeClr w14:val="tx1"/>
            </w14:solidFill>
          </w14:textFill>
        </w:rPr>
        <w:t>%。</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 xml:space="preserve"> </w:t>
      </w:r>
    </w:p>
    <w:p>
      <w:pPr>
        <w:adjustRightInd w:val="0"/>
        <w:snapToGrid w:val="0"/>
        <w:spacing w:line="600" w:lineRule="exact"/>
        <w:rPr>
          <w:rFonts w:hint="eastAsia" w:ascii="仿宋_GB2312" w:hAnsi="Times New Roman" w:eastAsia="仿宋_GB2312" w:cs="Wingdings"/>
          <w:sz w:val="32"/>
          <w:szCs w:val="32"/>
          <w:highlight w:val="yellow"/>
          <w:lang w:eastAsia="zh-CN"/>
        </w:rPr>
      </w:pPr>
      <w:r>
        <w:rPr>
          <w:rFonts w:hint="eastAsia" w:ascii="仿宋_GB2312" w:hAnsi="Times New Roman" w:eastAsia="仿宋_GB2312" w:cs="Wingdings"/>
          <w:color w:val="000000" w:themeColor="text1"/>
          <w:sz w:val="32"/>
          <w:szCs w:val="32"/>
          <w:lang w:val="en-US" w:eastAsia="zh-CN"/>
          <w14:textFill>
            <w14:solidFill>
              <w14:schemeClr w14:val="tx1"/>
            </w14:solidFill>
          </w14:textFill>
        </w:rPr>
        <w:t>按功能分类看：社会保障和就业支出4475.84万元，占总支出的84.85%；卫生健康支出22.9万元，占总支出的0.43%；农林水支出413万元，占总支出的7.83%；住房保障支出26.41万元，占总支出的0.5%；其他支出336.94万元，占总支出的6.39%。</w:t>
      </w:r>
      <w:r>
        <w:rPr>
          <w:rFonts w:hint="eastAsia" w:ascii="仿宋_GB2312" w:hAnsi="Times New Roman" w:eastAsia="仿宋_GB2312" w:cs="Wingdings"/>
          <w:sz w:val="32"/>
          <w:szCs w:val="32"/>
        </w:rPr>
        <w:t>如图所示</w:t>
      </w:r>
      <w:r>
        <w:rPr>
          <w:rFonts w:hint="eastAsia" w:ascii="仿宋_GB2312" w:hAnsi="Times New Roman" w:eastAsia="仿宋_GB2312" w:cs="Wingdings"/>
          <w:sz w:val="32"/>
          <w:szCs w:val="32"/>
          <w:lang w:eastAsia="zh-CN"/>
        </w:rPr>
        <w:t>：</w:t>
      </w:r>
    </w:p>
    <w:p>
      <w:pPr>
        <w:adjustRightInd w:val="0"/>
        <w:snapToGrid w:val="0"/>
        <w:spacing w:line="600" w:lineRule="exact"/>
        <w:rPr>
          <w:rFonts w:ascii="仿宋_GB2312" w:hAnsi="Times New Roman" w:eastAsia="仿宋_GB2312" w:cs="Wingdings"/>
          <w:sz w:val="32"/>
          <w:szCs w:val="32"/>
        </w:rPr>
      </w:pPr>
      <w:r>
        <w:rPr>
          <w:rFonts w:ascii="Times New Roman" w:hAnsi="Times New Roman" w:eastAsia="宋体" w:cs="Times New Roman"/>
        </w:rPr>
        <w:drawing>
          <wp:anchor distT="0" distB="0" distL="114300" distR="114300" simplePos="0" relativeHeight="251667456" behindDoc="0" locked="0" layoutInCell="1" allowOverlap="1">
            <wp:simplePos x="0" y="0"/>
            <wp:positionH relativeFrom="column">
              <wp:posOffset>890270</wp:posOffset>
            </wp:positionH>
            <wp:positionV relativeFrom="paragraph">
              <wp:posOffset>43180</wp:posOffset>
            </wp:positionV>
            <wp:extent cx="4251325" cy="1941830"/>
            <wp:effectExtent l="4445" t="4445" r="11430" b="15875"/>
            <wp:wrapNone/>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pPr>
        <w:adjustRightInd w:val="0"/>
        <w:snapToGrid w:val="0"/>
        <w:spacing w:line="600" w:lineRule="exact"/>
        <w:ind w:firstLine="1920" w:firstLineChars="600"/>
        <w:rPr>
          <w:rFonts w:ascii="仿宋_GB2312" w:hAnsi="Times New Roman" w:eastAsia="仿宋_GB2312" w:cs="Wingdings"/>
          <w:sz w:val="32"/>
          <w:szCs w:val="32"/>
        </w:rPr>
      </w:pPr>
    </w:p>
    <w:p>
      <w:pPr>
        <w:snapToGrid w:val="0"/>
        <w:spacing w:line="600" w:lineRule="exact"/>
        <w:ind w:firstLine="640" w:firstLineChars="200"/>
        <w:outlineLvl w:val="1"/>
        <w:rPr>
          <w:rFonts w:hint="eastAsia" w:ascii="黑体" w:hAnsi="Calibri" w:eastAsia="黑体" w:cs="Times New Roman"/>
          <w:sz w:val="32"/>
          <w:szCs w:val="32"/>
        </w:rPr>
      </w:pPr>
    </w:p>
    <w:p>
      <w:pPr>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lang w:eastAsia="zh-CN"/>
        </w:rPr>
        <w:drawing>
          <wp:anchor distT="0" distB="0" distL="114300" distR="114300" simplePos="0" relativeHeight="251668480" behindDoc="0" locked="0" layoutInCell="1" allowOverlap="1">
            <wp:simplePos x="0" y="0"/>
            <wp:positionH relativeFrom="column">
              <wp:posOffset>680720</wp:posOffset>
            </wp:positionH>
            <wp:positionV relativeFrom="paragraph">
              <wp:posOffset>1510030</wp:posOffset>
            </wp:positionV>
            <wp:extent cx="4033520" cy="2286635"/>
            <wp:effectExtent l="4445" t="5080" r="19685" b="13335"/>
            <wp:wrapNone/>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r>
        <w:rPr>
          <w:rFonts w:hint="eastAsia" w:ascii="仿宋_GB2312" w:hAnsi="Times New Roman" w:eastAsia="仿宋_GB2312" w:cs="Wingdings"/>
          <w:sz w:val="32"/>
          <w:szCs w:val="32"/>
        </w:rPr>
        <w:t>本部门2020年度本年支出合计</w:t>
      </w:r>
      <w:r>
        <w:rPr>
          <w:rFonts w:hint="eastAsia" w:ascii="仿宋_GB2312" w:hAnsi="Times New Roman" w:eastAsia="仿宋_GB2312" w:cs="Wingdings"/>
          <w:sz w:val="32"/>
          <w:szCs w:val="32"/>
          <w:lang w:val="en-US" w:eastAsia="zh-CN"/>
        </w:rPr>
        <w:t>5918.82</w:t>
      </w:r>
      <w:r>
        <w:rPr>
          <w:rFonts w:hint="eastAsia" w:ascii="仿宋_GB2312" w:hAnsi="Times New Roman" w:eastAsia="仿宋_GB2312" w:cs="Wingdings"/>
          <w:sz w:val="32"/>
          <w:szCs w:val="32"/>
        </w:rPr>
        <w:t>万元，其中：基本支出</w:t>
      </w:r>
      <w:r>
        <w:rPr>
          <w:rFonts w:hint="eastAsia" w:ascii="仿宋_GB2312" w:hAnsi="Times New Roman" w:eastAsia="仿宋_GB2312" w:cs="Wingdings"/>
          <w:sz w:val="32"/>
          <w:szCs w:val="32"/>
          <w:lang w:val="en-US" w:eastAsia="zh-CN"/>
        </w:rPr>
        <w:t>719.64</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12.16</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其中，人员经费支出</w:t>
      </w:r>
      <w:r>
        <w:rPr>
          <w:rFonts w:hint="eastAsia" w:ascii="仿宋_GB2312" w:hAnsi="Times New Roman" w:eastAsia="仿宋_GB2312" w:cs="Wingdings"/>
          <w:sz w:val="32"/>
          <w:szCs w:val="32"/>
          <w:lang w:val="en-US" w:eastAsia="zh-CN"/>
        </w:rPr>
        <w:t>445.82万元，占7.53%，公用经费273.82万元，占4.63%；</w:t>
      </w:r>
      <w:r>
        <w:rPr>
          <w:rFonts w:hint="eastAsia" w:ascii="仿宋_GB2312" w:hAnsi="Times New Roman" w:eastAsia="仿宋_GB2312" w:cs="Wingdings"/>
          <w:sz w:val="32"/>
          <w:szCs w:val="32"/>
        </w:rPr>
        <w:t>项目支出</w:t>
      </w:r>
      <w:r>
        <w:rPr>
          <w:rFonts w:hint="eastAsia" w:ascii="仿宋_GB2312" w:hAnsi="Times New Roman" w:eastAsia="仿宋_GB2312" w:cs="Wingdings"/>
          <w:sz w:val="32"/>
          <w:szCs w:val="32"/>
          <w:lang w:val="en-US" w:eastAsia="zh-CN"/>
        </w:rPr>
        <w:t>5199.18</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87.84</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，全部为民生保障类支出</w:t>
      </w:r>
      <w:r>
        <w:rPr>
          <w:rFonts w:hint="eastAsia" w:ascii="仿宋_GB2312" w:hAnsi="Times New Roman" w:eastAsia="仿宋_GB2312" w:cs="Wingdings"/>
          <w:sz w:val="32"/>
          <w:szCs w:val="32"/>
        </w:rPr>
        <w:t>。如图所示：</w:t>
      </w:r>
    </w:p>
    <w:p>
      <w:pPr>
        <w:adjustRightInd w:val="0"/>
        <w:snapToGrid w:val="0"/>
        <w:spacing w:line="600" w:lineRule="exact"/>
        <w:ind w:firstLine="1920" w:firstLineChars="600"/>
        <w:rPr>
          <w:rFonts w:hint="eastAsia" w:ascii="仿宋_GB2312" w:hAnsi="Times New Roman" w:eastAsia="仿宋_GB2312" w:cs="Wingdings"/>
          <w:sz w:val="32"/>
          <w:szCs w:val="32"/>
          <w:lang w:eastAsia="zh-CN"/>
        </w:rPr>
      </w:pPr>
      <w:r>
        <w:rPr>
          <w:sz w:val="32"/>
        </w:rPr>
        <mc:AlternateContent>
          <mc:Choice Requires="wps">
            <w:drawing>
              <wp:anchor distT="0" distB="0" distL="114300" distR="114300" simplePos="0" relativeHeight="251669504" behindDoc="0" locked="0" layoutInCell="1" allowOverlap="1">
                <wp:simplePos x="0" y="0"/>
                <wp:positionH relativeFrom="column">
                  <wp:posOffset>3641725</wp:posOffset>
                </wp:positionH>
                <wp:positionV relativeFrom="paragraph">
                  <wp:posOffset>38735</wp:posOffset>
                </wp:positionV>
                <wp:extent cx="771525" cy="275590"/>
                <wp:effectExtent l="0" t="0" r="9525" b="10160"/>
                <wp:wrapNone/>
                <wp:docPr id="9" name="文本框 9"/>
                <wp:cNvGraphicFramePr/>
                <a:graphic xmlns:a="http://schemas.openxmlformats.org/drawingml/2006/main">
                  <a:graphicData uri="http://schemas.microsoft.com/office/word/2010/wordprocessingShape">
                    <wps:wsp>
                      <wps:cNvSpPr txBox="1"/>
                      <wps:spPr>
                        <a:xfrm>
                          <a:off x="4785360" y="3352165"/>
                          <a:ext cx="771525" cy="27559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eastAsiaTheme="minorEastAsia"/>
                                <w:lang w:eastAsia="zh-CN"/>
                              </w:rPr>
                            </w:pPr>
                            <w:r>
                              <w:rPr>
                                <w:rFonts w:hint="eastAsia"/>
                                <w:sz w:val="15"/>
                                <w:szCs w:val="15"/>
                                <w:lang w:eastAsia="zh-CN"/>
                              </w:rPr>
                              <w:t>单位：</w:t>
                            </w:r>
                            <w:r>
                              <w:rPr>
                                <w:rFonts w:hint="eastAsia" w:eastAsiaTheme="minorEastAsia"/>
                                <w:sz w:val="15"/>
                                <w:lang w:eastAsia="zh-CN"/>
                              </w:rPr>
                              <w:t>万</w:t>
                            </w:r>
                            <w:r>
                              <w:rPr>
                                <w:rFonts w:hint="eastAsia"/>
                                <w:sz w:val="15"/>
                                <w:lang w:eastAsia="zh-CN"/>
                              </w:rPr>
                              <w:t>元</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86.75pt;margin-top:3.05pt;height:21.7pt;width:60.75pt;z-index:251669504;mso-width-relative:page;mso-height-relative:page;" fillcolor="#FFFFFF [3201]" filled="t" stroked="f" coordsize="21600,21600" o:gfxdata="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BQ25IPUAAAACAEAAA8AAAAAAAAAAQAgAAAAIgAAAGRy&#10;cy9kb3ducmV2LnhtbFBLAQIUABQAAAAIAIdO4kDR0jnTQgIAAEwEAAAOAAAAAAAAAAEAIAAAACMB&#10;AABkcnMvZTJvRG9jLnhtbFBLBQYAAAAABgAGAFkBAADXBQAAAAA=&#10;">
                <v:fill on="t" focussize="0,0"/>
                <v:stroke on="f" weight="0.5pt"/>
                <v:imagedata o:title=""/>
                <o:lock v:ext="edit" aspectratio="f"/>
                <v:textbox>
                  <w:txbxContent>
                    <w:p>
                      <w:pPr>
                        <w:rPr>
                          <w:rFonts w:hint="eastAsia" w:eastAsiaTheme="minorEastAsia"/>
                          <w:lang w:eastAsia="zh-CN"/>
                        </w:rPr>
                      </w:pPr>
                      <w:r>
                        <w:rPr>
                          <w:rFonts w:hint="eastAsia"/>
                          <w:sz w:val="15"/>
                          <w:szCs w:val="15"/>
                          <w:lang w:eastAsia="zh-CN"/>
                        </w:rPr>
                        <w:t>单位：</w:t>
                      </w:r>
                      <w:r>
                        <w:rPr>
                          <w:rFonts w:hint="eastAsia" w:eastAsiaTheme="minorEastAsia"/>
                          <w:sz w:val="15"/>
                          <w:lang w:eastAsia="zh-CN"/>
                        </w:rPr>
                        <w:t>万</w:t>
                      </w:r>
                      <w:r>
                        <w:rPr>
                          <w:rFonts w:hint="eastAsia"/>
                          <w:sz w:val="15"/>
                          <w:lang w:eastAsia="zh-CN"/>
                        </w:rPr>
                        <w:t>元</w:t>
                      </w:r>
                    </w:p>
                  </w:txbxContent>
                </v:textbox>
              </v:shape>
            </w:pict>
          </mc:Fallback>
        </mc:AlternateContent>
      </w: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p>
    <w:p>
      <w:pPr>
        <w:keepNext/>
        <w:keepLines/>
        <w:snapToGrid w:val="0"/>
        <w:spacing w:line="600" w:lineRule="exact"/>
        <w:ind w:firstLine="640" w:firstLineChars="200"/>
        <w:outlineLvl w:val="1"/>
        <w:rPr>
          <w:rFonts w:ascii="黑体" w:hAnsi="Calibri" w:eastAsia="黑体" w:cs="Times New Roman"/>
          <w:b/>
          <w:bCs/>
          <w:sz w:val="32"/>
          <w:szCs w:val="32"/>
        </w:rPr>
      </w:pPr>
      <w:r>
        <w:rPr>
          <w:sz w:val="32"/>
        </w:rPr>
        <mc:AlternateContent>
          <mc:Choice Requires="wps">
            <w:drawing>
              <wp:anchor distT="0" distB="0" distL="114300" distR="114300" simplePos="0" relativeHeight="251660288" behindDoc="1" locked="0" layoutInCell="1" allowOverlap="1">
                <wp:simplePos x="0" y="0"/>
                <wp:positionH relativeFrom="column">
                  <wp:posOffset>1003935</wp:posOffset>
                </wp:positionH>
                <wp:positionV relativeFrom="paragraph">
                  <wp:posOffset>372110</wp:posOffset>
                </wp:positionV>
                <wp:extent cx="3314065" cy="483235"/>
                <wp:effectExtent l="0" t="0" r="635" b="12065"/>
                <wp:wrapNone/>
                <wp:docPr id="30" name="文本框 30"/>
                <wp:cNvGraphicFramePr/>
                <a:graphic xmlns:a="http://schemas.openxmlformats.org/drawingml/2006/main">
                  <a:graphicData uri="http://schemas.microsoft.com/office/word/2010/wordprocessingShape">
                    <wps:wsp>
                      <wps:cNvSpPr txBox="1"/>
                      <wps:spPr>
                        <a:xfrm>
                          <a:off x="2242820" y="5314315"/>
                          <a:ext cx="3314065" cy="48323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w:t>
                            </w:r>
                            <w:r>
                              <w:rPr>
                                <w:rFonts w:hint="eastAsia" w:ascii="仿宋_GB2312" w:hAnsi="Times New Roman" w:eastAsia="仿宋_GB2312" w:cs="Wingdings"/>
                                <w:sz w:val="28"/>
                                <w:szCs w:val="28"/>
                                <w:lang w:val="en-US" w:eastAsia="zh-CN"/>
                              </w:rPr>
                              <w:t>3</w:t>
                            </w:r>
                            <w:r>
                              <w:rPr>
                                <w:rFonts w:hint="eastAsia" w:ascii="仿宋_GB2312" w:hAnsi="Times New Roman" w:eastAsia="仿宋_GB2312" w:cs="Wingdings"/>
                                <w:sz w:val="28"/>
                                <w:szCs w:val="28"/>
                              </w:rPr>
                              <w:t>：支出决算构成情况（按支出性质）</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9.05pt;margin-top:29.3pt;height:38.05pt;width:260.95pt;z-index:-251656192;mso-width-relative:page;mso-height-relative:page;" fillcolor="#FFFFFF" filled="t" stroked="f" coordsize="21600,21600" o:gfxdata="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AHu8kXVAAAACgEAAA8AAAAAAAAAAQAgAAAA&#10;IgAAAGRycy9kb3ducmV2LnhtbFBLAQIUABQAAAAIAIdO4kDAo9/CRwIAAF0EAAAOAAAAAAAAAAEA&#10;IAAAACQBAABkcnMvZTJvRG9jLnhtbFBLBQYAAAAABgAGAFkBAADdBQ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w:t>
                      </w:r>
                      <w:r>
                        <w:rPr>
                          <w:rFonts w:hint="eastAsia" w:ascii="仿宋_GB2312" w:hAnsi="Times New Roman" w:eastAsia="仿宋_GB2312" w:cs="Wingdings"/>
                          <w:sz w:val="28"/>
                          <w:szCs w:val="28"/>
                          <w:lang w:val="en-US" w:eastAsia="zh-CN"/>
                        </w:rPr>
                        <w:t>3</w:t>
                      </w:r>
                      <w:r>
                        <w:rPr>
                          <w:rFonts w:hint="eastAsia" w:ascii="仿宋_GB2312" w:hAnsi="Times New Roman" w:eastAsia="仿宋_GB2312" w:cs="Wingdings"/>
                          <w:sz w:val="28"/>
                          <w:szCs w:val="28"/>
                        </w:rPr>
                        <w:t>：支出决算构成情况（按支出性质）</w:t>
                      </w:r>
                    </w:p>
                    <w:p>
                      <w:pPr>
                        <w:spacing w:after="160" w:line="480" w:lineRule="auto"/>
                        <w:rPr>
                          <w:rFonts w:ascii="Times New Roman" w:hAnsi="Times New Roman" w:eastAsia="宋体" w:cs="Times New Roman"/>
                          <w:sz w:val="20"/>
                        </w:rPr>
                      </w:pPr>
                    </w:p>
                  </w:txbxContent>
                </v:textbox>
              </v:shape>
            </w:pict>
          </mc:Fallback>
        </mc:AlternateContent>
      </w:r>
    </w:p>
    <w:p>
      <w:pPr>
        <w:keepNext/>
        <w:keepLines/>
        <w:snapToGrid w:val="0"/>
        <w:spacing w:line="600" w:lineRule="exact"/>
        <w:ind w:firstLine="640" w:firstLineChars="200"/>
        <w:outlineLvl w:val="1"/>
        <w:rPr>
          <w:rFonts w:ascii="黑体" w:hAnsi="Calibri" w:eastAsia="黑体" w:cs="Times New Roman"/>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（一）财政拨款收支与2019年度决算对比情况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本部门2020年度财政拨款本年收入</w:t>
      </w:r>
      <w:r>
        <w:rPr>
          <w:rFonts w:hint="eastAsia" w:ascii="仿宋_GB2312" w:hAnsi="Times New Roman" w:eastAsia="仿宋_GB2312" w:cs="Wingdings"/>
          <w:sz w:val="32"/>
          <w:szCs w:val="32"/>
          <w:lang w:val="en-US" w:eastAsia="zh-CN"/>
        </w:rPr>
        <w:t>5221.95</w:t>
      </w:r>
      <w:r>
        <w:rPr>
          <w:rFonts w:hint="eastAsia" w:ascii="仿宋_GB2312" w:hAnsi="Times New Roman" w:eastAsia="仿宋_GB2312" w:cs="Wingdings"/>
          <w:sz w:val="32"/>
          <w:szCs w:val="32"/>
        </w:rPr>
        <w:t>万元,比2019年度减少</w:t>
      </w:r>
      <w:r>
        <w:rPr>
          <w:rFonts w:hint="eastAsia" w:ascii="仿宋_GB2312" w:hAnsi="Times New Roman" w:eastAsia="仿宋_GB2312" w:cs="Wingdings"/>
          <w:sz w:val="32"/>
          <w:szCs w:val="32"/>
          <w:lang w:val="en-US" w:eastAsia="zh-CN"/>
        </w:rPr>
        <w:t>637.49</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10.88</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val="en-US" w:eastAsia="zh-CN"/>
        </w:rPr>
        <w:t>本年项目资金投入较上年减少</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5865.67</w:t>
      </w:r>
      <w:r>
        <w:rPr>
          <w:rFonts w:hint="eastAsia" w:ascii="仿宋_GB2312" w:hAnsi="Times New Roman" w:eastAsia="仿宋_GB2312" w:cs="Wingdings"/>
          <w:sz w:val="32"/>
          <w:szCs w:val="32"/>
        </w:rPr>
        <w:t>万元，增加</w:t>
      </w:r>
      <w:r>
        <w:rPr>
          <w:rFonts w:hint="eastAsia" w:ascii="仿宋_GB2312" w:hAnsi="Times New Roman" w:eastAsia="仿宋_GB2312" w:cs="Wingdings"/>
          <w:sz w:val="32"/>
          <w:szCs w:val="32"/>
          <w:lang w:val="en-US" w:eastAsia="zh-CN"/>
        </w:rPr>
        <w:t>139.31</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2.43</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使用上年结余资金</w:t>
      </w:r>
      <w:r>
        <w:rPr>
          <w:rFonts w:hint="eastAsia" w:ascii="仿宋_GB2312" w:hAnsi="Times New Roman" w:eastAsia="仿宋_GB2312" w:cs="Wingdings"/>
          <w:sz w:val="32"/>
          <w:szCs w:val="32"/>
        </w:rPr>
        <w:t>。具体情况如下：</w:t>
      </w:r>
    </w:p>
    <w:p>
      <w:pPr>
        <w:numPr>
          <w:ilvl w:val="0"/>
          <w:numId w:val="1"/>
        </w:num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一般公共预算财政拨款本年收入</w:t>
      </w:r>
      <w:r>
        <w:rPr>
          <w:rFonts w:hint="eastAsia" w:ascii="仿宋_GB2312" w:hAnsi="Times New Roman" w:eastAsia="仿宋_GB2312" w:cs="Wingdings"/>
          <w:sz w:val="32"/>
          <w:szCs w:val="32"/>
          <w:lang w:val="en-US" w:eastAsia="zh-CN"/>
        </w:rPr>
        <w:t>4885</w:t>
      </w:r>
      <w:r>
        <w:rPr>
          <w:rFonts w:hint="eastAsia" w:ascii="仿宋_GB2312" w:hAnsi="Times New Roman" w:eastAsia="仿宋_GB2312" w:cs="Wingdings"/>
          <w:sz w:val="32"/>
          <w:szCs w:val="32"/>
        </w:rPr>
        <w:t>万元，比上年减少</w:t>
      </w:r>
      <w:r>
        <w:rPr>
          <w:rFonts w:hint="eastAsia" w:ascii="仿宋_GB2312" w:hAnsi="Times New Roman" w:eastAsia="仿宋_GB2312" w:cs="Wingdings"/>
          <w:sz w:val="32"/>
          <w:szCs w:val="32"/>
          <w:lang w:val="en-US" w:eastAsia="zh-CN"/>
        </w:rPr>
        <w:t>582.73</w:t>
      </w:r>
      <w:r>
        <w:rPr>
          <w:rFonts w:hint="eastAsia" w:ascii="仿宋_GB2312" w:hAnsi="Times New Roman" w:eastAsia="仿宋_GB2312" w:cs="Wingdings"/>
          <w:sz w:val="32"/>
          <w:szCs w:val="32"/>
        </w:rPr>
        <w:t>万元；主要是</w:t>
      </w:r>
      <w:r>
        <w:rPr>
          <w:rFonts w:hint="eastAsia" w:ascii="仿宋_GB2312" w:hAnsi="Times New Roman" w:eastAsia="仿宋_GB2312" w:cs="Wingdings"/>
          <w:sz w:val="32"/>
          <w:szCs w:val="32"/>
          <w:lang w:val="en-US" w:eastAsia="zh-CN"/>
        </w:rPr>
        <w:t>本年项目资金投入较上年减少</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5550.77</w:t>
      </w:r>
      <w:r>
        <w:rPr>
          <w:rFonts w:hint="eastAsia" w:ascii="仿宋_GB2312" w:hAnsi="Times New Roman" w:eastAsia="仿宋_GB2312" w:cs="Wingdings"/>
          <w:sz w:val="32"/>
          <w:szCs w:val="32"/>
        </w:rPr>
        <w:t>万元，比上年增加</w:t>
      </w:r>
      <w:r>
        <w:rPr>
          <w:rFonts w:hint="eastAsia" w:ascii="仿宋_GB2312" w:hAnsi="Times New Roman" w:eastAsia="仿宋_GB2312" w:cs="Wingdings"/>
          <w:sz w:val="32"/>
          <w:szCs w:val="32"/>
          <w:lang w:val="en-US" w:eastAsia="zh-CN"/>
        </w:rPr>
        <w:t>554.6</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11.1</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使用上年结余资金</w:t>
      </w:r>
      <w:r>
        <w:rPr>
          <w:rFonts w:hint="eastAsia" w:ascii="仿宋_GB2312" w:hAnsi="Times New Roman" w:eastAsia="仿宋_GB2312" w:cs="Wingdings"/>
          <w:sz w:val="32"/>
          <w:szCs w:val="32"/>
        </w:rPr>
        <w:t>。</w:t>
      </w:r>
    </w:p>
    <w:p>
      <w:pPr>
        <w:numPr>
          <w:ilvl w:val="0"/>
          <w:numId w:val="1"/>
        </w:num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政府性基金预算财政拨款本年收入</w:t>
      </w:r>
      <w:r>
        <w:rPr>
          <w:rFonts w:hint="eastAsia" w:ascii="仿宋_GB2312" w:hAnsi="Times New Roman" w:eastAsia="仿宋_GB2312" w:cs="Wingdings"/>
          <w:sz w:val="32"/>
          <w:szCs w:val="32"/>
          <w:lang w:val="en-US" w:eastAsia="zh-CN"/>
        </w:rPr>
        <w:t>336.94</w:t>
      </w:r>
      <w:r>
        <w:rPr>
          <w:rFonts w:hint="eastAsia" w:ascii="仿宋_GB2312" w:hAnsi="Times New Roman" w:eastAsia="仿宋_GB2312" w:cs="Wingdings"/>
          <w:sz w:val="32"/>
          <w:szCs w:val="32"/>
        </w:rPr>
        <w:t>万元，比上年减少</w:t>
      </w:r>
      <w:r>
        <w:rPr>
          <w:rFonts w:hint="eastAsia" w:ascii="仿宋_GB2312" w:hAnsi="Times New Roman" w:eastAsia="仿宋_GB2312" w:cs="Wingdings"/>
          <w:sz w:val="32"/>
          <w:szCs w:val="32"/>
          <w:lang w:val="en-US" w:eastAsia="zh-CN"/>
        </w:rPr>
        <w:t>54.77</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13.98</w:t>
      </w:r>
      <w:r>
        <w:rPr>
          <w:rFonts w:hint="eastAsia" w:ascii="仿宋_GB2312" w:hAnsi="Times New Roman" w:eastAsia="仿宋_GB2312" w:cs="Wingdings"/>
          <w:sz w:val="32"/>
          <w:szCs w:val="32"/>
        </w:rPr>
        <w:t>%，主要原因是</w:t>
      </w:r>
      <w:r>
        <w:rPr>
          <w:rFonts w:hint="eastAsia" w:ascii="仿宋_GB2312" w:hAnsi="Times New Roman" w:eastAsia="仿宋_GB2312" w:cs="Wingdings"/>
          <w:color w:val="000000" w:themeColor="text1"/>
          <w:sz w:val="32"/>
          <w:szCs w:val="32"/>
          <w:highlight w:val="none"/>
          <w:lang w:eastAsia="zh-CN"/>
          <w14:textFill>
            <w14:solidFill>
              <w14:schemeClr w14:val="tx1"/>
            </w14:solidFill>
          </w14:textFill>
        </w:rPr>
        <w:t>项目投资减少</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314.9</w:t>
      </w:r>
      <w:r>
        <w:rPr>
          <w:rFonts w:hint="eastAsia" w:ascii="仿宋_GB2312" w:hAnsi="Times New Roman" w:eastAsia="仿宋_GB2312" w:cs="Wingdings"/>
          <w:sz w:val="32"/>
          <w:szCs w:val="32"/>
        </w:rPr>
        <w:t>万元，比上年减少</w:t>
      </w:r>
      <w:r>
        <w:rPr>
          <w:rFonts w:hint="eastAsia" w:ascii="仿宋_GB2312" w:hAnsi="Times New Roman" w:eastAsia="仿宋_GB2312" w:cs="Wingdings"/>
          <w:sz w:val="32"/>
          <w:szCs w:val="32"/>
          <w:lang w:val="en-US" w:eastAsia="zh-CN"/>
        </w:rPr>
        <w:t>415.28</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56.87</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highlight w:val="none"/>
          <w:lang w:eastAsia="zh-CN"/>
        </w:rPr>
        <w:t>项目投资减少</w:t>
      </w:r>
      <w:r>
        <w:rPr>
          <w:rFonts w:hint="eastAsia" w:ascii="仿宋_GB2312" w:hAnsi="Times New Roman" w:eastAsia="仿宋_GB2312" w:cs="Wingdings"/>
          <w:sz w:val="32"/>
          <w:szCs w:val="32"/>
        </w:rPr>
        <w:t>。</w:t>
      </w:r>
    </w:p>
    <w:p>
      <w:pPr>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本部门2020年度财政拨款本年收入</w:t>
      </w:r>
      <w:r>
        <w:rPr>
          <w:rFonts w:hint="eastAsia" w:ascii="仿宋_GB2312" w:hAnsi="仿宋_GB2312" w:eastAsia="仿宋_GB2312" w:cs="仿宋_GB2312"/>
          <w:sz w:val="32"/>
          <w:szCs w:val="32"/>
          <w:lang w:val="en-US" w:eastAsia="zh-CN"/>
        </w:rPr>
        <w:t>5221.95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116.05</w:t>
      </w:r>
      <w:r>
        <w:rPr>
          <w:rFonts w:hint="eastAsia" w:ascii="仿宋_GB2312" w:hAnsi="仿宋_GB2312" w:eastAsia="仿宋_GB2312" w:cs="仿宋_GB2312"/>
          <w:sz w:val="32"/>
          <w:szCs w:val="32"/>
        </w:rPr>
        <w:t>%,比预算增加</w:t>
      </w:r>
      <w:r>
        <w:rPr>
          <w:rFonts w:hint="eastAsia" w:ascii="仿宋_GB2312" w:hAnsi="仿宋_GB2312" w:eastAsia="仿宋_GB2312" w:cs="仿宋_GB2312"/>
          <w:sz w:val="32"/>
          <w:szCs w:val="32"/>
          <w:lang w:val="en-US" w:eastAsia="zh-CN"/>
        </w:rPr>
        <w:t>722.34</w:t>
      </w:r>
      <w:r>
        <w:rPr>
          <w:rFonts w:hint="eastAsia" w:ascii="仿宋_GB2312" w:hAnsi="仿宋_GB2312" w:eastAsia="仿宋_GB2312" w:cs="仿宋_GB2312"/>
          <w:sz w:val="32"/>
          <w:szCs w:val="32"/>
        </w:rPr>
        <w:t>万元，决算数大于预算数主要原因是</w:t>
      </w:r>
      <w:bookmarkStart w:id="0" w:name="_Hlk55217238"/>
      <w:r>
        <w:rPr>
          <w:rFonts w:hint="eastAsia" w:ascii="仿宋_GB2312" w:hAnsi="仿宋_GB2312" w:eastAsia="仿宋_GB2312" w:cs="仿宋_GB2312"/>
          <w:sz w:val="32"/>
          <w:szCs w:val="32"/>
        </w:rPr>
        <w:t>上级</w:t>
      </w:r>
      <w:r>
        <w:rPr>
          <w:rFonts w:hint="eastAsia" w:ascii="仿宋_GB2312" w:hAnsi="仿宋_GB2312" w:eastAsia="仿宋_GB2312" w:cs="仿宋_GB2312"/>
          <w:sz w:val="32"/>
          <w:szCs w:val="32"/>
          <w:lang w:eastAsia="zh-CN"/>
        </w:rPr>
        <w:t>安排</w:t>
      </w:r>
      <w:r>
        <w:rPr>
          <w:rFonts w:hint="eastAsia" w:ascii="仿宋_GB2312" w:hAnsi="仿宋_GB2312" w:eastAsia="仿宋_GB2312" w:cs="仿宋_GB2312"/>
          <w:sz w:val="32"/>
          <w:szCs w:val="32"/>
        </w:rPr>
        <w:t>养老、高龄、低保等补助资金到位</w:t>
      </w:r>
      <w:bookmarkEnd w:id="0"/>
      <w:r>
        <w:rPr>
          <w:rFonts w:hint="eastAsia" w:ascii="仿宋_GB2312" w:hAnsi="仿宋_GB2312" w:eastAsia="仿宋_GB2312" w:cs="仿宋_GB2312"/>
          <w:sz w:val="32"/>
          <w:szCs w:val="32"/>
        </w:rPr>
        <w:t>；本年支出</w:t>
      </w:r>
      <w:r>
        <w:rPr>
          <w:rFonts w:hint="eastAsia" w:ascii="仿宋_GB2312" w:hAnsi="仿宋_GB2312" w:eastAsia="仿宋_GB2312" w:cs="仿宋_GB2312"/>
          <w:sz w:val="32"/>
          <w:szCs w:val="32"/>
          <w:lang w:val="en-US" w:eastAsia="zh-CN"/>
        </w:rPr>
        <w:t>5865.67</w:t>
      </w:r>
      <w:r>
        <w:rPr>
          <w:rFonts w:hint="eastAsia" w:ascii="仿宋_GB2312" w:hAnsi="仿宋_GB2312" w:eastAsia="仿宋_GB2312" w:cs="仿宋_GB2312"/>
          <w:sz w:val="32"/>
          <w:szCs w:val="32"/>
        </w:rPr>
        <w:t>万元，完</w:t>
      </w:r>
      <w:r>
        <w:rPr>
          <w:rFonts w:hint="eastAsia" w:ascii="仿宋_GB2312" w:hAnsi="仿宋_GB2312" w:eastAsia="仿宋_GB2312" w:cs="仿宋_GB2312"/>
          <w:sz w:val="32"/>
          <w:szCs w:val="32"/>
          <w:lang w:val="en-US" w:eastAsia="zh-CN"/>
        </w:rPr>
        <w:t>成</w:t>
      </w:r>
      <w:r>
        <w:rPr>
          <w:rFonts w:hint="eastAsia" w:ascii="仿宋_GB2312" w:hAnsi="仿宋_GB2312" w:eastAsia="仿宋_GB2312" w:cs="仿宋_GB2312"/>
          <w:sz w:val="32"/>
          <w:szCs w:val="32"/>
        </w:rPr>
        <w:t>预算的</w:t>
      </w:r>
      <w:r>
        <w:rPr>
          <w:rFonts w:hint="eastAsia" w:ascii="仿宋_GB2312" w:hAnsi="仿宋_GB2312" w:eastAsia="仿宋_GB2312" w:cs="仿宋_GB2312"/>
          <w:sz w:val="32"/>
          <w:szCs w:val="32"/>
          <w:lang w:val="en-US" w:eastAsia="zh-CN"/>
        </w:rPr>
        <w:t>130.36</w:t>
      </w:r>
      <w:r>
        <w:rPr>
          <w:rFonts w:hint="eastAsia" w:ascii="仿宋_GB2312" w:hAnsi="仿宋_GB2312" w:eastAsia="仿宋_GB2312" w:cs="仿宋_GB2312"/>
          <w:sz w:val="32"/>
          <w:szCs w:val="32"/>
        </w:rPr>
        <w:t>%,比预算增加</w:t>
      </w:r>
      <w:r>
        <w:rPr>
          <w:rFonts w:hint="eastAsia" w:ascii="仿宋_GB2312" w:hAnsi="仿宋_GB2312" w:eastAsia="仿宋_GB2312" w:cs="仿宋_GB2312"/>
          <w:sz w:val="32"/>
          <w:szCs w:val="32"/>
          <w:lang w:val="en-US" w:eastAsia="zh-CN"/>
        </w:rPr>
        <w:t>1366.06</w:t>
      </w:r>
      <w:r>
        <w:rPr>
          <w:rFonts w:hint="eastAsia" w:ascii="仿宋_GB2312" w:hAnsi="仿宋_GB2312" w:eastAsia="仿宋_GB2312" w:cs="仿宋_GB2312"/>
          <w:sz w:val="32"/>
          <w:szCs w:val="32"/>
        </w:rPr>
        <w:t>万元，决算数大于预算数主要原因是上级</w:t>
      </w:r>
      <w:r>
        <w:rPr>
          <w:rFonts w:hint="eastAsia" w:ascii="仿宋_GB2312" w:hAnsi="仿宋_GB2312" w:eastAsia="仿宋_GB2312" w:cs="仿宋_GB2312"/>
          <w:sz w:val="32"/>
          <w:szCs w:val="32"/>
          <w:lang w:eastAsia="zh-CN"/>
        </w:rPr>
        <w:t>安排</w:t>
      </w:r>
      <w:r>
        <w:rPr>
          <w:rFonts w:hint="eastAsia" w:ascii="仿宋_GB2312" w:hAnsi="仿宋_GB2312" w:eastAsia="仿宋_GB2312" w:cs="仿宋_GB2312"/>
          <w:sz w:val="32"/>
          <w:szCs w:val="32"/>
        </w:rPr>
        <w:t>养老、高龄、低保等补助资金到位。具体情况如下：</w:t>
      </w:r>
    </w:p>
    <w:p>
      <w:pPr>
        <w:numPr>
          <w:ilvl w:val="0"/>
          <w:numId w:val="2"/>
        </w:num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一般公共预算财政拨款本年收入完成预算</w:t>
      </w:r>
      <w:r>
        <w:rPr>
          <w:rFonts w:hint="eastAsia" w:ascii="仿宋_GB2312" w:hAnsi="仿宋_GB2312" w:eastAsia="仿宋_GB2312" w:cs="仿宋_GB2312"/>
          <w:sz w:val="32"/>
          <w:szCs w:val="32"/>
          <w:lang w:val="en-US" w:eastAsia="zh-CN"/>
        </w:rPr>
        <w:t>108.56</w:t>
      </w:r>
      <w:r>
        <w:rPr>
          <w:rFonts w:hint="eastAsia" w:ascii="仿宋_GB2312" w:hAnsi="仿宋_GB2312" w:eastAsia="仿宋_GB2312" w:cs="仿宋_GB2312"/>
          <w:sz w:val="32"/>
          <w:szCs w:val="32"/>
        </w:rPr>
        <w:t>%，比预算增加</w:t>
      </w:r>
      <w:r>
        <w:rPr>
          <w:rFonts w:hint="eastAsia" w:ascii="仿宋_GB2312" w:hAnsi="仿宋_GB2312" w:eastAsia="仿宋_GB2312" w:cs="仿宋_GB2312"/>
          <w:sz w:val="32"/>
          <w:szCs w:val="32"/>
          <w:lang w:val="en-US" w:eastAsia="zh-CN"/>
        </w:rPr>
        <w:t>385.39</w:t>
      </w:r>
      <w:r>
        <w:rPr>
          <w:rFonts w:hint="eastAsia" w:ascii="仿宋_GB2312" w:hAnsi="仿宋_GB2312" w:eastAsia="仿宋_GB2312" w:cs="仿宋_GB2312"/>
          <w:sz w:val="32"/>
          <w:szCs w:val="32"/>
        </w:rPr>
        <w:t>万元，主要是上级</w:t>
      </w:r>
      <w:r>
        <w:rPr>
          <w:rFonts w:hint="eastAsia" w:ascii="仿宋_GB2312" w:hAnsi="仿宋_GB2312" w:eastAsia="仿宋_GB2312" w:cs="仿宋_GB2312"/>
          <w:sz w:val="32"/>
          <w:szCs w:val="32"/>
          <w:lang w:eastAsia="zh-CN"/>
        </w:rPr>
        <w:t>安排</w:t>
      </w:r>
      <w:r>
        <w:rPr>
          <w:rFonts w:hint="eastAsia" w:ascii="仿宋_GB2312" w:hAnsi="仿宋_GB2312" w:eastAsia="仿宋_GB2312" w:cs="仿宋_GB2312"/>
          <w:sz w:val="32"/>
          <w:szCs w:val="32"/>
        </w:rPr>
        <w:t>养老、高龄、低保等补助资金到位；支出完成预算</w:t>
      </w:r>
      <w:r>
        <w:rPr>
          <w:rFonts w:hint="eastAsia" w:ascii="仿宋_GB2312" w:hAnsi="仿宋_GB2312" w:eastAsia="仿宋_GB2312" w:cs="仿宋_GB2312"/>
          <w:sz w:val="32"/>
          <w:szCs w:val="32"/>
          <w:lang w:val="en-US" w:eastAsia="zh-CN"/>
        </w:rPr>
        <w:t>123.36</w:t>
      </w:r>
      <w:r>
        <w:rPr>
          <w:rFonts w:hint="eastAsia" w:ascii="仿宋_GB2312" w:hAnsi="仿宋_GB2312" w:eastAsia="仿宋_GB2312" w:cs="仿宋_GB2312"/>
          <w:sz w:val="32"/>
          <w:szCs w:val="32"/>
        </w:rPr>
        <w:t>%，比预算增加</w:t>
      </w:r>
      <w:r>
        <w:rPr>
          <w:rFonts w:hint="eastAsia" w:ascii="仿宋_GB2312" w:hAnsi="仿宋_GB2312" w:eastAsia="仿宋_GB2312" w:cs="仿宋_GB2312"/>
          <w:sz w:val="32"/>
          <w:szCs w:val="32"/>
          <w:lang w:val="en-US" w:eastAsia="zh-CN"/>
        </w:rPr>
        <w:t>1051.16</w:t>
      </w:r>
      <w:r>
        <w:rPr>
          <w:rFonts w:hint="eastAsia" w:ascii="仿宋_GB2312" w:hAnsi="仿宋_GB2312" w:eastAsia="仿宋_GB2312" w:cs="仿宋_GB2312"/>
          <w:sz w:val="32"/>
          <w:szCs w:val="32"/>
        </w:rPr>
        <w:t>万元，主要是上级</w:t>
      </w:r>
      <w:r>
        <w:rPr>
          <w:rFonts w:hint="eastAsia" w:ascii="仿宋_GB2312" w:hAnsi="仿宋_GB2312" w:eastAsia="仿宋_GB2312" w:cs="仿宋_GB2312"/>
          <w:sz w:val="32"/>
          <w:szCs w:val="32"/>
          <w:lang w:eastAsia="zh-CN"/>
        </w:rPr>
        <w:t>安排</w:t>
      </w:r>
      <w:r>
        <w:rPr>
          <w:rFonts w:hint="eastAsia" w:ascii="仿宋_GB2312" w:hAnsi="仿宋_GB2312" w:eastAsia="仿宋_GB2312" w:cs="仿宋_GB2312"/>
          <w:sz w:val="32"/>
          <w:szCs w:val="32"/>
        </w:rPr>
        <w:t>养老、高龄、低保等补助资金</w:t>
      </w:r>
      <w:r>
        <w:rPr>
          <w:rFonts w:hint="eastAsia" w:ascii="仿宋_GB2312" w:hAnsi="仿宋_GB2312" w:eastAsia="仿宋_GB2312" w:cs="仿宋_GB2312"/>
          <w:sz w:val="32"/>
          <w:szCs w:val="32"/>
          <w:lang w:eastAsia="zh-CN"/>
        </w:rPr>
        <w:t>支出比去年增加</w:t>
      </w:r>
      <w:r>
        <w:rPr>
          <w:rFonts w:hint="eastAsia" w:ascii="仿宋_GB2312" w:hAnsi="仿宋_GB2312" w:eastAsia="仿宋_GB2312" w:cs="仿宋_GB2312"/>
          <w:sz w:val="32"/>
          <w:szCs w:val="32"/>
        </w:rPr>
        <w:t>。</w:t>
      </w:r>
    </w:p>
    <w:p>
      <w:pPr>
        <w:numPr>
          <w:ilvl w:val="0"/>
          <w:numId w:val="2"/>
        </w:numPr>
        <w:adjustRightInd w:val="0"/>
        <w:snapToGrid w:val="0"/>
        <w:spacing w:line="60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政府性基金预算财政拨款本年收入完成预算</w:t>
      </w:r>
      <w:r>
        <w:rPr>
          <w:rFonts w:hint="eastAsia" w:ascii="仿宋_GB2312" w:hAnsi="仿宋_GB2312" w:eastAsia="仿宋_GB2312" w:cs="仿宋_GB2312"/>
          <w:sz w:val="32"/>
          <w:szCs w:val="32"/>
          <w:highlight w:val="none"/>
          <w:lang w:val="en-US" w:eastAsia="zh-CN"/>
        </w:rPr>
        <w:t>7.49</w:t>
      </w:r>
      <w:r>
        <w:rPr>
          <w:rFonts w:hint="eastAsia" w:ascii="仿宋_GB2312" w:hAnsi="仿宋_GB2312" w:eastAsia="仿宋_GB2312" w:cs="仿宋_GB2312"/>
          <w:sz w:val="32"/>
          <w:szCs w:val="32"/>
          <w:highlight w:val="none"/>
        </w:rPr>
        <w:t>%，比预算增加</w:t>
      </w:r>
      <w:r>
        <w:rPr>
          <w:rFonts w:hint="eastAsia" w:ascii="仿宋_GB2312" w:hAnsi="仿宋_GB2312" w:eastAsia="仿宋_GB2312" w:cs="仿宋_GB2312"/>
          <w:sz w:val="32"/>
          <w:szCs w:val="32"/>
          <w:highlight w:val="none"/>
          <w:lang w:val="en-US" w:eastAsia="zh-CN"/>
        </w:rPr>
        <w:t>220.94</w:t>
      </w:r>
      <w:r>
        <w:rPr>
          <w:rFonts w:hint="eastAsia" w:ascii="仿宋_GB2312" w:hAnsi="仿宋_GB2312" w:eastAsia="仿宋_GB2312" w:cs="仿宋_GB2312"/>
          <w:sz w:val="32"/>
          <w:szCs w:val="32"/>
          <w:highlight w:val="none"/>
        </w:rPr>
        <w:t>万元，主要是上级</w:t>
      </w:r>
      <w:r>
        <w:rPr>
          <w:rFonts w:hint="eastAsia" w:ascii="仿宋_GB2312" w:hAnsi="仿宋_GB2312" w:eastAsia="仿宋_GB2312" w:cs="仿宋_GB2312"/>
          <w:sz w:val="32"/>
          <w:szCs w:val="32"/>
          <w:highlight w:val="none"/>
          <w:lang w:eastAsia="zh-CN"/>
        </w:rPr>
        <w:t>安排</w:t>
      </w:r>
      <w:r>
        <w:rPr>
          <w:rFonts w:hint="eastAsia" w:ascii="仿宋_GB2312" w:hAnsi="仿宋_GB2312" w:eastAsia="仿宋_GB2312" w:cs="仿宋_GB2312"/>
          <w:sz w:val="32"/>
          <w:szCs w:val="32"/>
          <w:highlight w:val="none"/>
        </w:rPr>
        <w:t>养老等补助资金到位；支出完成预算</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rPr>
        <w:t>%，比预算增加</w:t>
      </w:r>
      <w:r>
        <w:rPr>
          <w:rFonts w:hint="eastAsia" w:ascii="仿宋_GB2312" w:hAnsi="仿宋_GB2312" w:eastAsia="仿宋_GB2312" w:cs="仿宋_GB2312"/>
          <w:sz w:val="32"/>
          <w:szCs w:val="32"/>
          <w:highlight w:val="none"/>
          <w:lang w:val="en-US" w:eastAsia="zh-CN"/>
        </w:rPr>
        <w:t>198.9</w:t>
      </w:r>
      <w:r>
        <w:rPr>
          <w:rFonts w:hint="eastAsia" w:ascii="仿宋_GB2312" w:hAnsi="仿宋_GB2312" w:eastAsia="仿宋_GB2312" w:cs="仿宋_GB2312"/>
          <w:sz w:val="32"/>
          <w:szCs w:val="32"/>
          <w:highlight w:val="none"/>
        </w:rPr>
        <w:t>万元，主要是</w:t>
      </w:r>
      <w:r>
        <w:rPr>
          <w:rFonts w:hint="eastAsia" w:ascii="仿宋_GB2312" w:hAnsi="仿宋_GB2312" w:eastAsia="仿宋_GB2312" w:cs="仿宋_GB2312"/>
          <w:sz w:val="32"/>
          <w:szCs w:val="32"/>
          <w:highlight w:val="none"/>
          <w:lang w:eastAsia="zh-CN"/>
        </w:rPr>
        <w:t>上级安排养老补助资金支出比去年增加</w:t>
      </w:r>
      <w:r>
        <w:rPr>
          <w:rFonts w:hint="eastAsia" w:ascii="仿宋_GB2312" w:hAnsi="仿宋_GB2312" w:eastAsia="仿宋_GB2312" w:cs="仿宋_GB2312"/>
          <w:sz w:val="32"/>
          <w:szCs w:val="32"/>
          <w:highlight w:val="none"/>
        </w:rPr>
        <w:t>。</w:t>
      </w:r>
    </w:p>
    <w:p>
      <w:pPr>
        <w:numPr>
          <w:ilvl w:val="0"/>
          <w:numId w:val="3"/>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年度财政拨款支出</w:t>
      </w:r>
      <w:r>
        <w:rPr>
          <w:rFonts w:hint="eastAsia" w:ascii="仿宋_GB2312" w:hAnsi="Times New Roman" w:eastAsia="仿宋_GB2312" w:cs="Wingdings"/>
          <w:sz w:val="32"/>
          <w:szCs w:val="32"/>
          <w:lang w:val="en-US" w:eastAsia="zh-CN"/>
        </w:rPr>
        <w:t>5865.67</w:t>
      </w:r>
      <w:r>
        <w:rPr>
          <w:rFonts w:hint="eastAsia" w:ascii="仿宋_GB2312" w:hAnsi="Times New Roman" w:eastAsia="仿宋_GB2312" w:cs="Wingdings"/>
          <w:sz w:val="32"/>
          <w:szCs w:val="32"/>
        </w:rPr>
        <w:t>万元，主要用于以下方面</w:t>
      </w:r>
      <w:r>
        <w:rPr>
          <w:rFonts w:hint="eastAsia" w:ascii="仿宋_GB2312" w:hAnsi="Times New Roman" w:eastAsia="仿宋_GB2312" w:cs="Wingdings"/>
          <w:sz w:val="32"/>
          <w:szCs w:val="32"/>
          <w:lang w:eastAsia="zh-CN"/>
        </w:rPr>
        <w:t>其中社会保障和就业</w:t>
      </w:r>
      <w:r>
        <w:rPr>
          <w:rFonts w:hint="eastAsia" w:ascii="仿宋_GB2312" w:hAnsi="Times New Roman" w:eastAsia="仿宋_GB2312" w:cs="Wingdings"/>
          <w:sz w:val="32"/>
          <w:szCs w:val="32"/>
        </w:rPr>
        <w:t>支出</w:t>
      </w:r>
      <w:r>
        <w:rPr>
          <w:rFonts w:hint="eastAsia" w:ascii="仿宋_GB2312" w:hAnsi="Times New Roman" w:eastAsia="仿宋_GB2312" w:cs="Wingdings"/>
          <w:sz w:val="32"/>
          <w:szCs w:val="32"/>
          <w:lang w:val="en-US" w:eastAsia="zh-CN"/>
        </w:rPr>
        <w:t>5085.13</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86.69</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卫生健康</w:t>
      </w:r>
      <w:r>
        <w:rPr>
          <w:rFonts w:hint="eastAsia" w:ascii="仿宋_GB2312" w:hAnsi="Times New Roman" w:eastAsia="仿宋_GB2312" w:cs="Wingdings"/>
          <w:sz w:val="32"/>
          <w:szCs w:val="32"/>
        </w:rPr>
        <w:t>支出</w:t>
      </w:r>
      <w:r>
        <w:rPr>
          <w:rFonts w:hint="eastAsia" w:ascii="仿宋_GB2312" w:hAnsi="Times New Roman" w:eastAsia="仿宋_GB2312" w:cs="Wingdings"/>
          <w:sz w:val="32"/>
          <w:szCs w:val="32"/>
          <w:lang w:val="en-US" w:eastAsia="zh-CN"/>
        </w:rPr>
        <w:t>25.52</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0.44</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农林水</w:t>
      </w:r>
      <w:r>
        <w:rPr>
          <w:rFonts w:hint="eastAsia" w:ascii="仿宋_GB2312" w:hAnsi="Times New Roman" w:eastAsia="仿宋_GB2312" w:cs="Wingdings"/>
          <w:sz w:val="32"/>
          <w:szCs w:val="32"/>
        </w:rPr>
        <w:t>支出</w:t>
      </w:r>
      <w:r>
        <w:rPr>
          <w:rFonts w:hint="eastAsia" w:ascii="仿宋_GB2312" w:hAnsi="Times New Roman" w:eastAsia="仿宋_GB2312" w:cs="Wingdings"/>
          <w:sz w:val="32"/>
          <w:szCs w:val="32"/>
          <w:lang w:val="en-US" w:eastAsia="zh-CN"/>
        </w:rPr>
        <w:t>413</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7.04</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住房保障</w:t>
      </w:r>
      <w:r>
        <w:rPr>
          <w:rFonts w:hint="eastAsia" w:ascii="仿宋_GB2312" w:hAnsi="Times New Roman" w:eastAsia="仿宋_GB2312" w:cs="Wingdings"/>
          <w:sz w:val="32"/>
          <w:szCs w:val="32"/>
        </w:rPr>
        <w:t>支出</w:t>
      </w:r>
      <w:r>
        <w:rPr>
          <w:rFonts w:hint="eastAsia" w:ascii="仿宋_GB2312" w:hAnsi="Times New Roman" w:eastAsia="仿宋_GB2312" w:cs="Wingdings"/>
          <w:sz w:val="32"/>
          <w:szCs w:val="32"/>
          <w:lang w:val="en-US" w:eastAsia="zh-CN"/>
        </w:rPr>
        <w:t>27.11</w:t>
      </w:r>
      <w:r>
        <w:rPr>
          <w:rFonts w:hint="eastAsia" w:ascii="仿宋_GB2312" w:hAnsi="Times New Roman" w:eastAsia="仿宋_GB2312" w:cs="Wingdings"/>
          <w:sz w:val="32"/>
          <w:szCs w:val="32"/>
        </w:rPr>
        <w:t xml:space="preserve">万元，占 </w:t>
      </w:r>
      <w:r>
        <w:rPr>
          <w:rFonts w:hint="eastAsia" w:ascii="仿宋_GB2312" w:hAnsi="Times New Roman" w:eastAsia="仿宋_GB2312" w:cs="Wingdings"/>
          <w:sz w:val="32"/>
          <w:szCs w:val="32"/>
          <w:lang w:val="en-US" w:eastAsia="zh-CN"/>
        </w:rPr>
        <w:t>0.46</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其他</w:t>
      </w:r>
      <w:r>
        <w:rPr>
          <w:rFonts w:hint="eastAsia" w:ascii="仿宋_GB2312" w:hAnsi="Times New Roman" w:eastAsia="仿宋_GB2312" w:cs="Wingdings"/>
          <w:sz w:val="32"/>
          <w:szCs w:val="32"/>
        </w:rPr>
        <w:t xml:space="preserve">支出 </w:t>
      </w:r>
      <w:r>
        <w:rPr>
          <w:rFonts w:hint="eastAsia" w:ascii="仿宋_GB2312" w:hAnsi="Times New Roman" w:eastAsia="仿宋_GB2312" w:cs="Wingdings"/>
          <w:sz w:val="32"/>
          <w:szCs w:val="32"/>
          <w:lang w:val="en-US" w:eastAsia="zh-CN"/>
        </w:rPr>
        <w:t>314.9</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5.37</w:t>
      </w:r>
      <w:r>
        <w:rPr>
          <w:rFonts w:hint="eastAsia" w:ascii="仿宋_GB2312" w:hAnsi="Times New Roman" w:eastAsia="仿宋_GB2312" w:cs="Wingdings"/>
          <w:sz w:val="32"/>
          <w:szCs w:val="32"/>
        </w:rPr>
        <w:t>%。</w:t>
      </w:r>
    </w:p>
    <w:p>
      <w:pPr>
        <w:adjustRightInd w:val="0"/>
        <w:snapToGrid w:val="0"/>
        <w:spacing w:line="600" w:lineRule="exact"/>
        <w:rPr>
          <w:rFonts w:hint="eastAsia" w:ascii="楷体_GB2312" w:hAnsi="Times New Roman" w:eastAsia="楷体_GB2312" w:cs="Mongolian Baiti"/>
          <w:b/>
          <w:bCs/>
          <w:sz w:val="32"/>
          <w:szCs w:val="32"/>
          <w:lang w:eastAsia="zh-CN"/>
        </w:rPr>
      </w:pPr>
      <w:r>
        <w:rPr>
          <w:rFonts w:hint="eastAsia" w:ascii="楷体_GB2312" w:hAnsi="Times New Roman" w:eastAsia="楷体_GB2312" w:cs="Mongolian Baiti"/>
          <w:b/>
          <w:bCs/>
          <w:sz w:val="32"/>
          <w:szCs w:val="32"/>
          <w:lang w:eastAsia="zh-CN"/>
        </w:rPr>
        <w:drawing>
          <wp:anchor distT="0" distB="0" distL="114300" distR="114300" simplePos="0" relativeHeight="251670528" behindDoc="0" locked="0" layoutInCell="1" allowOverlap="1">
            <wp:simplePos x="0" y="0"/>
            <wp:positionH relativeFrom="column">
              <wp:posOffset>1014095</wp:posOffset>
            </wp:positionH>
            <wp:positionV relativeFrom="paragraph">
              <wp:posOffset>13970</wp:posOffset>
            </wp:positionV>
            <wp:extent cx="3669665" cy="2600325"/>
            <wp:effectExtent l="4445" t="4445" r="21590" b="5080"/>
            <wp:wrapNone/>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pPr>
        <w:adjustRightInd w:val="0"/>
        <w:snapToGrid w:val="0"/>
        <w:spacing w:line="600" w:lineRule="exact"/>
        <w:ind w:firstLine="640" w:firstLineChars="200"/>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rPr>
        <w:t>2020 年度财政拨款基本支出</w:t>
      </w:r>
      <w:r>
        <w:rPr>
          <w:rFonts w:hint="eastAsia" w:ascii="仿宋_GB2312" w:hAnsi="Times New Roman" w:eastAsia="仿宋_GB2312" w:cs="Wingdings"/>
          <w:sz w:val="32"/>
          <w:szCs w:val="32"/>
          <w:lang w:val="en-US" w:eastAsia="zh-CN"/>
        </w:rPr>
        <w:t>703.51</w:t>
      </w:r>
      <w:r>
        <w:rPr>
          <w:rFonts w:hint="eastAsia" w:ascii="仿宋_GB2312" w:hAnsi="Times New Roman" w:eastAsia="仿宋_GB2312" w:cs="Wingdings"/>
          <w:sz w:val="32"/>
          <w:szCs w:val="32"/>
        </w:rPr>
        <w:t xml:space="preserve">万元，其中：人员经费 </w:t>
      </w:r>
      <w:r>
        <w:rPr>
          <w:rFonts w:hint="eastAsia" w:ascii="仿宋_GB2312" w:hAnsi="Times New Roman" w:eastAsia="仿宋_GB2312" w:cs="Wingdings"/>
          <w:sz w:val="32"/>
          <w:szCs w:val="32"/>
          <w:lang w:val="en-US" w:eastAsia="zh-CN"/>
        </w:rPr>
        <w:t>445.82</w:t>
      </w:r>
      <w:r>
        <w:rPr>
          <w:rFonts w:hint="eastAsia" w:ascii="仿宋_GB2312" w:hAnsi="Times New Roman" w:eastAsia="仿宋_GB2312" w:cs="Wingdings"/>
          <w:sz w:val="32"/>
          <w:szCs w:val="32"/>
        </w:rPr>
        <w:t>万元，主要包括基本工资、津贴补贴、奖金、绩效工资、机关事业单位基本养老保险缴费、职业年金缴费、职工基本医疗保险缴费、住房公积金、其他社会保障缴费、其他工资福利支出、离休费、退休费、生活补助、医疗费补助、其他对个人和家庭的补助支出；公用经费</w:t>
      </w:r>
      <w:r>
        <w:rPr>
          <w:rFonts w:hint="eastAsia" w:ascii="仿宋_GB2312" w:hAnsi="Times New Roman" w:eastAsia="仿宋_GB2312" w:cs="Wingdings"/>
          <w:sz w:val="32"/>
          <w:szCs w:val="32"/>
          <w:lang w:val="en-US" w:eastAsia="zh-CN"/>
        </w:rPr>
        <w:t>257.69</w:t>
      </w:r>
      <w:r>
        <w:rPr>
          <w:rFonts w:hint="eastAsia" w:ascii="仿宋_GB2312" w:hAnsi="Times New Roman" w:eastAsia="仿宋_GB2312" w:cs="Wingdings"/>
          <w:sz w:val="32"/>
          <w:szCs w:val="32"/>
        </w:rPr>
        <w:t>万元，主要包括办公费、印刷费、手续费、水费、电费、邮电费、取暖费、差旅费、因公出国（境）费用、维修（护）费、会议费、劳务费、委托业务费、工会经费、福利费、其他交通费用</w:t>
      </w:r>
      <w:r>
        <w:rPr>
          <w:rFonts w:hint="eastAsia" w:ascii="仿宋_GB2312" w:hAnsi="Times New Roman" w:eastAsia="仿宋_GB2312" w:cs="Wingdings"/>
          <w:sz w:val="32"/>
          <w:szCs w:val="32"/>
          <w:lang w:eastAsia="zh-CN"/>
        </w:rPr>
        <w:t>。</w:t>
      </w: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本部门2020年度“三公”经费财政拨款支出预算为</w:t>
      </w:r>
      <w:r>
        <w:rPr>
          <w:rFonts w:hint="eastAsia" w:ascii="仿宋_GB2312" w:hAnsi="Times New Roman" w:eastAsia="仿宋_GB2312" w:cs="Wingdings"/>
          <w:sz w:val="32"/>
          <w:szCs w:val="32"/>
          <w:lang w:val="en-US" w:eastAsia="zh-CN"/>
        </w:rPr>
        <w:t>5.4</w:t>
      </w:r>
      <w:r>
        <w:rPr>
          <w:rFonts w:hint="eastAsia" w:ascii="仿宋_GB2312" w:hAnsi="Times New Roman" w:eastAsia="仿宋_GB2312" w:cs="Wingdings"/>
          <w:sz w:val="32"/>
          <w:szCs w:val="32"/>
        </w:rPr>
        <w:t>万元，决算</w:t>
      </w:r>
      <w:r>
        <w:rPr>
          <w:rFonts w:hint="eastAsia" w:ascii="仿宋_GB2312" w:hAnsi="Times New Roman" w:eastAsia="仿宋_GB2312" w:cs="Wingdings"/>
          <w:sz w:val="32"/>
          <w:szCs w:val="32"/>
          <w:lang w:eastAsia="zh-CN"/>
        </w:rPr>
        <w:t>未支出</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5.4</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公车改革，车辆报废</w:t>
      </w:r>
      <w:r>
        <w:rPr>
          <w:rFonts w:hint="eastAsia" w:ascii="仿宋_GB2312" w:hAnsi="Times New Roman" w:eastAsia="仿宋_GB2312" w:cs="Wingdings"/>
          <w:sz w:val="32"/>
          <w:szCs w:val="32"/>
        </w:rPr>
        <w:t>；较2019年度减少</w:t>
      </w:r>
      <w:r>
        <w:rPr>
          <w:rFonts w:hint="eastAsia" w:ascii="仿宋_GB2312" w:hAnsi="Times New Roman" w:eastAsia="仿宋_GB2312" w:cs="Wingdings"/>
          <w:sz w:val="32"/>
          <w:szCs w:val="32"/>
          <w:lang w:val="en-US" w:eastAsia="zh-CN"/>
        </w:rPr>
        <w:t>2.66</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公车改革，车辆报废</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pPr>
        <w:adjustRightInd w:val="0"/>
        <w:snapToGrid w:val="0"/>
        <w:spacing w:line="580" w:lineRule="exact"/>
        <w:ind w:firstLine="643" w:firstLineChars="200"/>
        <w:rPr>
          <w:rFonts w:hint="eastAsia" w:ascii="仿宋_GB2312" w:hAnsi="仿宋_GB2312" w:eastAsia="仿宋_GB2312" w:cs="仿宋_GB2312"/>
          <w:sz w:val="32"/>
          <w:szCs w:val="32"/>
        </w:rPr>
      </w:pPr>
      <w:r>
        <w:rPr>
          <w:rFonts w:hint="eastAsia" w:ascii="楷体_GB2312" w:hAnsi="Times New Roman" w:eastAsia="楷体_GB2312" w:cs="Mongolian Baiti"/>
          <w:b/>
          <w:bCs/>
          <w:sz w:val="32"/>
          <w:szCs w:val="32"/>
        </w:rPr>
        <w:t>1.因公出国（境）费。</w:t>
      </w:r>
      <w:r>
        <w:rPr>
          <w:rFonts w:hint="eastAsia" w:ascii="仿宋_GB2312" w:hAnsi="仿宋_GB2312" w:eastAsia="仿宋_GB2312" w:cs="仿宋_GB2312"/>
          <w:sz w:val="32"/>
          <w:szCs w:val="32"/>
        </w:rPr>
        <w:t>本部门2020年</w:t>
      </w:r>
      <w:r>
        <w:rPr>
          <w:rFonts w:hint="eastAsia" w:ascii="仿宋_GB2312" w:hAnsi="仿宋_GB2312" w:eastAsia="仿宋_GB2312" w:cs="仿宋_GB2312"/>
          <w:sz w:val="32"/>
          <w:szCs w:val="32"/>
          <w:lang w:eastAsia="zh-CN"/>
        </w:rPr>
        <w:t>度</w:t>
      </w:r>
      <w:r>
        <w:rPr>
          <w:rFonts w:hint="eastAsia" w:ascii="仿宋_GB2312" w:hAnsi="仿宋_GB2312" w:eastAsia="仿宋_GB2312" w:cs="仿宋_GB2312"/>
          <w:sz w:val="32"/>
          <w:szCs w:val="32"/>
        </w:rPr>
        <w:t>未发生此类支出，较预算无增减变化。</w:t>
      </w:r>
    </w:p>
    <w:p>
      <w:pPr>
        <w:adjustRightInd w:val="0"/>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2.公务用车购置及运行维护费。</w:t>
      </w:r>
      <w:r>
        <w:rPr>
          <w:rFonts w:hint="eastAsia" w:ascii="仿宋_GB2312" w:hAnsi="仿宋_GB2312" w:eastAsia="仿宋_GB2312" w:cs="仿宋_GB2312"/>
          <w:sz w:val="32"/>
          <w:szCs w:val="32"/>
        </w:rPr>
        <w:t>本部门2020年公务用车购置及运行维护费支出</w:t>
      </w:r>
      <w:r>
        <w:rPr>
          <w:rFonts w:hint="eastAsia" w:ascii="仿宋_GB2312" w:hAnsi="仿宋_GB2312" w:eastAsia="仿宋_GB2312" w:cs="仿宋_GB2312"/>
          <w:sz w:val="32"/>
          <w:szCs w:val="32"/>
          <w:lang w:eastAsia="zh-CN"/>
        </w:rPr>
        <w:t>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未发生此类支出，与预算持平，</w:t>
      </w:r>
      <w:r>
        <w:rPr>
          <w:rFonts w:hint="eastAsia" w:ascii="仿宋_GB2312" w:hAnsi="Times New Roman" w:eastAsia="仿宋_GB2312" w:cs="Wingdings"/>
          <w:sz w:val="32"/>
          <w:szCs w:val="32"/>
        </w:rPr>
        <w:t>较上年减少</w:t>
      </w:r>
      <w:r>
        <w:rPr>
          <w:rFonts w:hint="eastAsia" w:ascii="仿宋_GB2312" w:hAnsi="Times New Roman" w:eastAsia="仿宋_GB2312" w:cs="Wingdings"/>
          <w:sz w:val="32"/>
          <w:szCs w:val="32"/>
          <w:lang w:val="en-US" w:eastAsia="zh-CN"/>
        </w:rPr>
        <w:t>2.66</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公车改革，车辆报废</w:t>
      </w:r>
      <w:r>
        <w:rPr>
          <w:rFonts w:hint="eastAsia" w:ascii="仿宋_GB2312" w:hAnsi="Times New Roman" w:eastAsia="仿宋_GB2312" w:cs="Wingdings"/>
          <w:sz w:val="32"/>
          <w:szCs w:val="32"/>
        </w:rPr>
        <w:t>。</w:t>
      </w:r>
      <w:r>
        <w:rPr>
          <w:rFonts w:hint="eastAsia" w:ascii="仿宋_GB2312" w:hAnsi="Times New Roman" w:eastAsia="仿宋_GB2312" w:cs="Mongolian Baiti"/>
          <w:b/>
          <w:bCs/>
          <w:sz w:val="32"/>
          <w:szCs w:val="32"/>
        </w:rPr>
        <w:t>其中：</w:t>
      </w:r>
    </w:p>
    <w:p>
      <w:pPr>
        <w:adjustRightInd w:val="0"/>
        <w:snapToGrid w:val="0"/>
        <w:spacing w:line="580" w:lineRule="exact"/>
        <w:ind w:firstLine="643" w:firstLineChars="200"/>
        <w:rPr>
          <w:rFonts w:hint="eastAsia" w:ascii="仿宋_GB2312" w:hAnsi="仿宋_GB2312" w:eastAsia="仿宋_GB2312" w:cs="仿宋_GB2312"/>
          <w:sz w:val="32"/>
          <w:szCs w:val="32"/>
        </w:rPr>
      </w:pPr>
      <w:r>
        <w:rPr>
          <w:rFonts w:hint="eastAsia" w:ascii="仿宋_GB2312" w:hAnsi="Times New Roman" w:eastAsia="仿宋_GB2312" w:cs="Wingdings"/>
          <w:b/>
          <w:sz w:val="32"/>
          <w:szCs w:val="32"/>
        </w:rPr>
        <w:t>公务用车购置费支出：</w:t>
      </w:r>
      <w:r>
        <w:rPr>
          <w:rFonts w:hint="eastAsia" w:ascii="仿宋_GB2312" w:hAnsi="仿宋_GB2312" w:eastAsia="仿宋_GB2312" w:cs="仿宋_GB2312"/>
          <w:sz w:val="32"/>
          <w:szCs w:val="32"/>
        </w:rPr>
        <w:t>本部门20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年度公务用车购置量0辆，发生“公务用车购置”经费支出0万元。公务用车购置费支出较预算无增减变化；较上年</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增减变化。</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sz w:val="32"/>
          <w:szCs w:val="32"/>
        </w:rPr>
        <w:t>本部门2020年度单位公务用车保有量</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辆,</w:t>
      </w:r>
      <w:r>
        <w:rPr>
          <w:rFonts w:hint="eastAsia" w:ascii="仿宋_GB2312" w:hAnsi="Times New Roman" w:eastAsia="仿宋_GB2312" w:cs="Wingdings"/>
          <w:sz w:val="32"/>
          <w:szCs w:val="32"/>
          <w:lang w:eastAsia="zh-CN"/>
        </w:rPr>
        <w:t>未</w:t>
      </w:r>
      <w:r>
        <w:rPr>
          <w:rFonts w:hint="eastAsia" w:ascii="仿宋_GB2312" w:hAnsi="Times New Roman" w:eastAsia="仿宋_GB2312" w:cs="Wingdings"/>
          <w:sz w:val="32"/>
          <w:szCs w:val="32"/>
        </w:rPr>
        <w:t>发生运行维护费支出。公车运行维护费支出较预算</w:t>
      </w:r>
      <w:r>
        <w:rPr>
          <w:rFonts w:hint="eastAsia" w:ascii="仿宋_GB2312" w:hAnsi="Times New Roman" w:eastAsia="仿宋_GB2312" w:cs="Wingdings"/>
          <w:sz w:val="32"/>
          <w:szCs w:val="32"/>
          <w:lang w:eastAsia="zh-CN"/>
        </w:rPr>
        <w:t>无增减变化</w:t>
      </w:r>
      <w:r>
        <w:rPr>
          <w:rFonts w:hint="eastAsia" w:ascii="仿宋_GB2312" w:hAnsi="Times New Roman" w:eastAsia="仿宋_GB2312" w:cs="Wingdings"/>
          <w:sz w:val="32"/>
          <w:szCs w:val="32"/>
        </w:rPr>
        <w:t>；较上年减少</w:t>
      </w:r>
      <w:r>
        <w:rPr>
          <w:rFonts w:hint="eastAsia" w:ascii="仿宋_GB2312" w:hAnsi="Times New Roman" w:eastAsia="仿宋_GB2312" w:cs="Wingdings"/>
          <w:sz w:val="32"/>
          <w:szCs w:val="32"/>
          <w:lang w:val="en-US" w:eastAsia="zh-CN"/>
        </w:rPr>
        <w:t>2.66</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公车改革，车辆报废</w:t>
      </w:r>
      <w:r>
        <w:rPr>
          <w:rFonts w:hint="eastAsia" w:ascii="仿宋_GB2312" w:hAnsi="Times New Roman" w:eastAsia="仿宋_GB2312" w:cs="Wingdings"/>
          <w:sz w:val="32"/>
          <w:szCs w:val="32"/>
        </w:rPr>
        <w:t>。</w:t>
      </w:r>
    </w:p>
    <w:p>
      <w:pPr>
        <w:adjustRightInd w:val="0"/>
        <w:snapToGrid w:val="0"/>
        <w:spacing w:line="580" w:lineRule="exact"/>
        <w:ind w:firstLine="643" w:firstLineChars="200"/>
        <w:rPr>
          <w:rFonts w:hint="eastAsia" w:ascii="仿宋_GB2312" w:hAnsi="仿宋_GB2312" w:eastAsia="仿宋_GB2312" w:cs="仿宋_GB2312"/>
          <w:sz w:val="32"/>
          <w:szCs w:val="32"/>
        </w:rPr>
      </w:pPr>
      <w:r>
        <w:rPr>
          <w:rFonts w:hint="eastAsia" w:ascii="楷体_GB2312" w:hAnsi="Times New Roman" w:eastAsia="楷体_GB2312" w:cs="Mongolian Baiti"/>
          <w:b/>
          <w:bCs/>
          <w:sz w:val="32"/>
          <w:szCs w:val="32"/>
        </w:rPr>
        <w:t>3.公务接待费。</w:t>
      </w:r>
      <w:r>
        <w:rPr>
          <w:rFonts w:hint="eastAsia" w:ascii="仿宋_GB2312" w:hAnsi="仿宋_GB2312" w:eastAsia="仿宋_GB2312" w:cs="仿宋_GB2312"/>
          <w:sz w:val="32"/>
          <w:szCs w:val="32"/>
        </w:rPr>
        <w:t>本部门2020年</w:t>
      </w:r>
      <w:r>
        <w:rPr>
          <w:rFonts w:hint="eastAsia" w:ascii="仿宋_GB2312" w:hAnsi="仿宋_GB2312" w:eastAsia="仿宋_GB2312" w:cs="仿宋_GB2312"/>
          <w:sz w:val="32"/>
          <w:szCs w:val="32"/>
          <w:lang w:eastAsia="zh-CN"/>
        </w:rPr>
        <w:t>度</w:t>
      </w:r>
      <w:r>
        <w:rPr>
          <w:rFonts w:hint="eastAsia" w:ascii="仿宋_GB2312" w:hAnsi="仿宋_GB2312" w:eastAsia="仿宋_GB2312" w:cs="仿宋_GB2312"/>
          <w:sz w:val="32"/>
          <w:szCs w:val="32"/>
        </w:rPr>
        <w:t>未发生此类支出，较预算无增减变化</w:t>
      </w:r>
      <w:r>
        <w:rPr>
          <w:rFonts w:hint="eastAsia" w:ascii="仿宋_GB2312" w:hAnsi="仿宋_GB2312" w:eastAsia="仿宋_GB2312" w:cs="仿宋_GB2312"/>
          <w:sz w:val="32"/>
          <w:szCs w:val="32"/>
          <w:lang w:eastAsia="zh-CN"/>
        </w:rPr>
        <w:t>，较上年决算无增减变化</w:t>
      </w:r>
      <w:r>
        <w:rPr>
          <w:rFonts w:hint="eastAsia" w:ascii="仿宋_GB2312" w:hAnsi="仿宋_GB2312" w:eastAsia="仿宋_GB2312" w:cs="仿宋_GB2312"/>
          <w:sz w:val="32"/>
          <w:szCs w:val="32"/>
        </w:rPr>
        <w:t>。</w:t>
      </w:r>
    </w:p>
    <w:p>
      <w:pPr>
        <w:adjustRightInd w:val="0"/>
        <w:snapToGrid w:val="0"/>
        <w:spacing w:line="60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根据预算绩效管理要求，本部门组织对2020年度项目支出全面开展绩效自评，其中，一般公共预算项目</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434.5</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7.75</w:t>
      </w:r>
      <w:r>
        <w:rPr>
          <w:rFonts w:hint="eastAsia" w:ascii="仿宋_GB2312" w:hAnsi="仿宋_GB2312" w:eastAsia="仿宋_GB2312" w:cs="仿宋_GB2312"/>
          <w:sz w:val="32"/>
          <w:szCs w:val="32"/>
        </w:rPr>
        <w:t>%。</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pPr>
        <w:adjustRightInd w:val="0"/>
        <w:snapToGrid w:val="0"/>
        <w:spacing w:line="56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扶贫产业项目入股分红</w:t>
      </w:r>
      <w:r>
        <w:rPr>
          <w:rFonts w:hint="eastAsia" w:ascii="仿宋_GB2312" w:hAnsi="仿宋_GB2312" w:eastAsia="仿宋_GB2312" w:cs="仿宋_GB2312"/>
          <w:sz w:val="32"/>
          <w:szCs w:val="32"/>
        </w:rPr>
        <w:t>”项目开展了部门重点评价，涉及一般公共预算支出</w:t>
      </w:r>
      <w:r>
        <w:rPr>
          <w:rFonts w:hint="eastAsia" w:ascii="仿宋_GB2312" w:hAnsi="仿宋_GB2312" w:eastAsia="仿宋_GB2312" w:cs="仿宋_GB2312"/>
          <w:sz w:val="32"/>
          <w:szCs w:val="32"/>
          <w:lang w:val="en-US" w:eastAsia="zh-CN"/>
        </w:rPr>
        <w:t>434.5</w:t>
      </w:r>
      <w:r>
        <w:rPr>
          <w:rFonts w:hint="eastAsia" w:ascii="仿宋_GB2312" w:hAnsi="仿宋_GB2312" w:eastAsia="仿宋_GB2312" w:cs="仿宋_GB2312"/>
          <w:sz w:val="32"/>
          <w:szCs w:val="32"/>
        </w:rPr>
        <w:t>万元。本部门在今年部门决算公开中反映产业扶贫项目</w:t>
      </w:r>
      <w:r>
        <w:rPr>
          <w:rFonts w:hint="eastAsia" w:ascii="仿宋_GB2312" w:hAnsi="仿宋_GB2312" w:eastAsia="仿宋_GB2312" w:cs="仿宋_GB2312"/>
          <w:sz w:val="32"/>
          <w:szCs w:val="32"/>
          <w:lang w:eastAsia="zh-CN"/>
        </w:rPr>
        <w:t>入股分红</w:t>
      </w:r>
      <w:r>
        <w:rPr>
          <w:rFonts w:hint="eastAsia" w:ascii="仿宋_GB2312" w:hAnsi="仿宋_GB2312" w:eastAsia="仿宋_GB2312" w:cs="仿宋_GB2312"/>
          <w:sz w:val="32"/>
          <w:szCs w:val="32"/>
        </w:rPr>
        <w:t>绩效自评结果</w:t>
      </w:r>
      <w:r>
        <w:rPr>
          <w:rFonts w:hint="eastAsia" w:ascii="仿宋_GB2312" w:hAnsi="仿宋_GB2312" w:eastAsia="仿宋_GB2312" w:cs="仿宋_GB2312"/>
          <w:sz w:val="32"/>
          <w:szCs w:val="32"/>
          <w:lang w:val="en-US" w:eastAsia="zh-CN"/>
        </w:rPr>
        <w:t>(无绩效自评表)</w:t>
      </w:r>
      <w:r>
        <w:rPr>
          <w:rFonts w:hint="eastAsia" w:ascii="仿宋_GB2312" w:hAnsi="仿宋_GB2312" w:eastAsia="仿宋_GB2312" w:cs="仿宋_GB2312"/>
          <w:sz w:val="32"/>
          <w:szCs w:val="32"/>
        </w:rPr>
        <w:t>。根据省、市关于做好</w:t>
      </w:r>
      <w:r>
        <w:rPr>
          <w:rFonts w:hint="eastAsia" w:ascii="仿宋_GB2312" w:hAnsi="仿宋_GB2312" w:eastAsia="仿宋_GB2312" w:cs="仿宋_GB2312"/>
          <w:sz w:val="32"/>
          <w:szCs w:val="32"/>
          <w:lang w:val="en-US" w:eastAsia="zh-CN"/>
        </w:rPr>
        <w:t>2020</w:t>
      </w:r>
      <w:r>
        <w:rPr>
          <w:rFonts w:hint="eastAsia" w:ascii="仿宋_GB2312" w:hAnsi="仿宋_GB2312" w:eastAsia="仿宋_GB2312" w:cs="仿宋_GB2312"/>
          <w:sz w:val="32"/>
          <w:szCs w:val="32"/>
        </w:rPr>
        <w:t>年度财政专项扶贫资金绩效评价工作的通知，我</w:t>
      </w:r>
      <w:r>
        <w:rPr>
          <w:rFonts w:hint="eastAsia" w:ascii="仿宋_GB2312" w:hAnsi="仿宋_GB2312" w:eastAsia="仿宋_GB2312" w:cs="仿宋_GB2312"/>
          <w:sz w:val="32"/>
          <w:szCs w:val="32"/>
          <w:lang w:eastAsia="zh-CN"/>
        </w:rPr>
        <w:t>局</w:t>
      </w:r>
      <w:r>
        <w:rPr>
          <w:rFonts w:hint="eastAsia" w:ascii="仿宋_GB2312" w:hAnsi="仿宋_GB2312" w:eastAsia="仿宋_GB2312" w:cs="仿宋_GB2312"/>
          <w:sz w:val="32"/>
          <w:szCs w:val="32"/>
        </w:rPr>
        <w:t>高度重视，按照“科学性、规范性、客观性和公正性”的原则，认真开展了</w:t>
      </w:r>
      <w:r>
        <w:rPr>
          <w:rFonts w:hint="eastAsia" w:ascii="仿宋_GB2312" w:hAnsi="仿宋_GB2312" w:eastAsia="仿宋_GB2312" w:cs="仿宋_GB2312"/>
          <w:sz w:val="32"/>
          <w:szCs w:val="32"/>
          <w:lang w:val="en-US" w:eastAsia="zh-CN"/>
        </w:rPr>
        <w:t>2020</w:t>
      </w:r>
      <w:r>
        <w:rPr>
          <w:rFonts w:hint="eastAsia" w:ascii="仿宋_GB2312" w:hAnsi="仿宋_GB2312" w:eastAsia="仿宋_GB2312" w:cs="仿宋_GB2312"/>
          <w:sz w:val="32"/>
          <w:szCs w:val="32"/>
        </w:rPr>
        <w:t>年扶贫项目绩效评价工作，并形成本评价报告。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扶贫产业项目入股分红</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扶贫产业项目入股分红</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绩效自评表）。全年预算数为</w:t>
      </w:r>
      <w:r>
        <w:rPr>
          <w:rFonts w:hint="eastAsia" w:ascii="仿宋_GB2312" w:hAnsi="仿宋_GB2312" w:eastAsia="仿宋_GB2312" w:cs="仿宋_GB2312"/>
          <w:sz w:val="32"/>
          <w:szCs w:val="32"/>
          <w:lang w:val="en-US" w:eastAsia="zh-CN"/>
        </w:rPr>
        <w:t>434.5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434.5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楷体" w:hAnsi="楷体" w:eastAsia="楷体" w:cs="楷体"/>
          <w:b/>
          <w:bCs/>
          <w:sz w:val="32"/>
          <w:szCs w:val="32"/>
          <w:lang w:val="en-US" w:eastAsia="zh-CN"/>
        </w:rPr>
        <w:t>一是</w:t>
      </w:r>
      <w:r>
        <w:rPr>
          <w:rFonts w:hint="eastAsia" w:ascii="仿宋_GB2312" w:hAnsi="仿宋_GB2312" w:eastAsia="仿宋_GB2312" w:cs="仿宋_GB2312"/>
          <w:sz w:val="32"/>
          <w:szCs w:val="32"/>
          <w:lang w:val="en-US" w:eastAsia="zh-CN"/>
        </w:rPr>
        <w:t>根据2020年省、市下拨扶贫专项资金通知要求，我区2020年产业项目经区领导小组会议研究同意后，实施了入股分红扶贫项目，省、市、区共计434.5万元，其中：省级资金290万元，市级资金50万元，本级资金70万元（按照年利率6.5%收取分红利息），</w:t>
      </w:r>
      <w:r>
        <w:rPr>
          <w:rFonts w:hint="eastAsia" w:ascii="宋体" w:hAnsi="宋体" w:eastAsia="仿宋_GB2312" w:cs="仿宋_GB2312"/>
          <w:sz w:val="32"/>
          <w:szCs w:val="32"/>
          <w:lang w:val="en-US" w:eastAsia="zh-CN"/>
        </w:rPr>
        <w:t>后期追加本级资金24.5万元（属于2019年入股分红到期后返回的本金），鹿泉区民政局根据区领导小组决议，及时将入股分红资金拨付至相关企业，资金到位率100%；</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sz w:val="32"/>
          <w:szCs w:val="32"/>
          <w:lang w:val="en-US" w:eastAsia="zh-CN"/>
        </w:rPr>
        <w:t>2020年为贫困户发放入股分红收益15.22万元；光伏收益资金26.23万元。目前，我区动态调整后，我区贫困户为118户，318人。</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b/>
          <w:bCs/>
          <w:sz w:val="32"/>
          <w:szCs w:val="32"/>
        </w:rPr>
        <w:t>项目前期可行性研究论证不够充分，后续工作部署缺失总体规划</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rPr>
        <w:t>项目立项前期委托第三方开展项目可行性研究论证，但项目前期可行性研究论证的充分性有待提升，主要表现在：</w:t>
      </w:r>
      <w:r>
        <w:rPr>
          <w:rFonts w:hint="eastAsia" w:ascii="仿宋_GB2312" w:hAnsi="仿宋_GB2312" w:eastAsia="仿宋_GB2312" w:cs="仿宋_GB2312"/>
          <w:b/>
          <w:bCs/>
          <w:sz w:val="32"/>
          <w:szCs w:val="32"/>
        </w:rPr>
        <w:t>一是</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贫困户并未实际参与生产经营，而是坐享分红，并未起到“造血”的作用，难以增强贫困户自我发展能力</w:t>
      </w:r>
      <w:r>
        <w:rPr>
          <w:rFonts w:hint="eastAsia" w:ascii="仿宋_GB2312" w:hAnsi="仿宋_GB2312" w:eastAsia="仿宋_GB2312" w:cs="仿宋_GB2312"/>
          <w:sz w:val="32"/>
          <w:szCs w:val="32"/>
        </w:rPr>
        <w:t>；</w:t>
      </w:r>
      <w:r>
        <w:rPr>
          <w:rFonts w:hint="eastAsia" w:ascii="仿宋_GB2312" w:hAnsi="仿宋_GB2312" w:eastAsia="仿宋_GB2312" w:cs="仿宋_GB2312"/>
          <w:b/>
          <w:bCs/>
          <w:sz w:val="32"/>
          <w:szCs w:val="32"/>
        </w:rPr>
        <w:t>二是，</w:t>
      </w:r>
      <w:r>
        <w:rPr>
          <w:rFonts w:hint="eastAsia" w:ascii="仿宋_GB2312" w:hAnsi="仿宋_GB2312" w:eastAsia="仿宋_GB2312" w:cs="仿宋_GB2312"/>
          <w:sz w:val="32"/>
          <w:szCs w:val="32"/>
          <w:lang w:eastAsia="zh-CN"/>
        </w:rPr>
        <w:t>项目没有仅仅依托自身的优势，对市场研判和风险评估分析不够，存在一定的市场风险</w:t>
      </w:r>
      <w:r>
        <w:rPr>
          <w:rFonts w:hint="eastAsia" w:ascii="仿宋_GB2312" w:hAnsi="仿宋_GB2312" w:eastAsia="仿宋_GB2312" w:cs="仿宋_GB2312"/>
          <w:sz w:val="32"/>
          <w:szCs w:val="32"/>
        </w:rPr>
        <w:t>。</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（二）针对问题提出具体的改进措施或建议</w:t>
      </w:r>
    </w:p>
    <w:p>
      <w:pPr>
        <w:adjustRightInd w:val="0"/>
        <w:snapToGrid w:val="0"/>
        <w:spacing w:line="56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加强项目立项前期论证的深度和广度，全面做好项目实施总体规划</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rPr>
        <w:t>建议项目单位在以后年度类似项目工作中，在项目立项前期加大项目可行性研究论证深度和广度，结合项目需求、市场价格等做好项目成本预算分析，形成科学、合理的预算测算，为后续工作开展形成强有力的成本控制约束。建议项目单位</w:t>
      </w:r>
      <w:r>
        <w:rPr>
          <w:rFonts w:hint="eastAsia" w:ascii="仿宋_GB2312" w:hAnsi="仿宋_GB2312" w:eastAsia="仿宋_GB2312" w:cs="仿宋_GB2312"/>
          <w:sz w:val="32"/>
          <w:szCs w:val="32"/>
          <w:lang w:eastAsia="zh-CN"/>
        </w:rPr>
        <w:t>加大农村产业项目扶持，切实带动贫困户的自身“造血”功能，完善产业扶持体系，与乡村振兴战略衔接，</w:t>
      </w:r>
      <w:r>
        <w:rPr>
          <w:rFonts w:hint="eastAsia" w:ascii="仿宋_GB2312" w:hAnsi="仿宋_GB2312" w:eastAsia="仿宋_GB2312" w:cs="仿宋_GB2312"/>
          <w:sz w:val="32"/>
          <w:szCs w:val="32"/>
        </w:rPr>
        <w:t>按照年度预算管理要求和规范的项目申报程序，申请年度项目资金，区财政局按照批复程序于当年度内下达全部预算</w:t>
      </w:r>
      <w:r>
        <w:rPr>
          <w:rFonts w:hint="eastAsia" w:ascii="仿宋_GB2312" w:hAnsi="仿宋_GB2312" w:eastAsia="仿宋_GB2312" w:cs="仿宋_GB2312"/>
          <w:b/>
          <w:bCs/>
          <w:sz w:val="32"/>
          <w:szCs w:val="32"/>
        </w:rPr>
        <w:t>。</w:t>
      </w:r>
    </w:p>
    <w:p>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本部门2020年度机关运行经费支出</w:t>
      </w:r>
      <w:r>
        <w:rPr>
          <w:rFonts w:hint="eastAsia" w:ascii="仿宋_GB2312" w:hAnsi="仿宋_GB2312" w:eastAsia="仿宋_GB2312" w:cs="仿宋_GB2312"/>
          <w:sz w:val="32"/>
          <w:szCs w:val="32"/>
          <w:lang w:val="en-US" w:eastAsia="zh-CN"/>
        </w:rPr>
        <w:t>273.83</w:t>
      </w:r>
      <w:r>
        <w:rPr>
          <w:rFonts w:hint="eastAsia" w:ascii="仿宋_GB2312" w:hAnsi="仿宋_GB2312" w:eastAsia="仿宋_GB2312" w:cs="仿宋_GB2312"/>
          <w:sz w:val="32"/>
          <w:szCs w:val="32"/>
        </w:rPr>
        <w:t>万元，比2019年度增加</w:t>
      </w:r>
      <w:r>
        <w:rPr>
          <w:rFonts w:hint="eastAsia" w:ascii="仿宋_GB2312" w:hAnsi="仿宋_GB2312" w:eastAsia="仿宋_GB2312" w:cs="仿宋_GB2312"/>
          <w:sz w:val="32"/>
          <w:szCs w:val="32"/>
          <w:lang w:val="en-US" w:eastAsia="zh-CN"/>
        </w:rPr>
        <w:t>96.2</w:t>
      </w:r>
      <w:r>
        <w:rPr>
          <w:rFonts w:hint="eastAsia" w:ascii="仿宋_GB2312" w:hAnsi="仿宋_GB2312" w:eastAsia="仿宋_GB2312" w:cs="仿宋_GB2312"/>
          <w:sz w:val="32"/>
          <w:szCs w:val="32"/>
        </w:rPr>
        <w:t>万元，增长</w:t>
      </w:r>
      <w:r>
        <w:rPr>
          <w:rFonts w:hint="eastAsia" w:ascii="仿宋_GB2312" w:hAnsi="仿宋_GB2312" w:eastAsia="仿宋_GB2312" w:cs="仿宋_GB2312"/>
          <w:sz w:val="32"/>
          <w:szCs w:val="32"/>
          <w:lang w:val="en-US" w:eastAsia="zh-CN"/>
        </w:rPr>
        <w:t>54.16</w:t>
      </w:r>
      <w:r>
        <w:rPr>
          <w:rFonts w:hint="eastAsia" w:ascii="仿宋_GB2312" w:hAnsi="仿宋_GB2312" w:eastAsia="仿宋_GB2312" w:cs="仿宋_GB2312"/>
          <w:sz w:val="32"/>
          <w:szCs w:val="32"/>
        </w:rPr>
        <w:t>%。主要原因是</w:t>
      </w:r>
      <w:r>
        <w:rPr>
          <w:rFonts w:hint="eastAsia" w:ascii="仿宋_GB2312" w:hAnsi="仿宋_GB2312" w:eastAsia="仿宋_GB2312" w:cs="仿宋_GB2312"/>
          <w:sz w:val="32"/>
          <w:szCs w:val="32"/>
          <w:lang w:eastAsia="zh-CN"/>
        </w:rPr>
        <w:t>按照工作需要增加了劳务派遣人员</w:t>
      </w:r>
      <w:r>
        <w:rPr>
          <w:rFonts w:hint="eastAsia" w:ascii="仿宋_GB2312" w:hAnsi="仿宋_GB2312" w:eastAsia="仿宋_GB2312" w:cs="仿宋_GB2312"/>
          <w:sz w:val="32"/>
          <w:szCs w:val="32"/>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八、政府采购情况</w:t>
      </w:r>
    </w:p>
    <w:p>
      <w:pPr>
        <w:snapToGrid w:val="0"/>
        <w:spacing w:line="600" w:lineRule="exact"/>
        <w:ind w:firstLine="640" w:firstLineChars="200"/>
        <w:jc w:val="left"/>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本部门2020年度政府采购支出总额</w:t>
      </w:r>
      <w:r>
        <w:rPr>
          <w:rFonts w:hint="eastAsia" w:ascii="仿宋_GB2312" w:hAnsi="仿宋_GB2312" w:eastAsia="仿宋_GB2312" w:cs="仿宋_GB2312"/>
          <w:sz w:val="32"/>
          <w:szCs w:val="32"/>
          <w:highlight w:val="none"/>
          <w:lang w:val="en-US" w:eastAsia="zh-CN"/>
        </w:rPr>
        <w:t>171</w:t>
      </w:r>
      <w:r>
        <w:rPr>
          <w:rFonts w:hint="eastAsia" w:ascii="仿宋_GB2312" w:hAnsi="仿宋_GB2312" w:eastAsia="仿宋_GB2312" w:cs="仿宋_GB2312"/>
          <w:sz w:val="32"/>
          <w:szCs w:val="32"/>
        </w:rPr>
        <w:t>万元，从采购类型来看，</w:t>
      </w:r>
      <w:r>
        <w:rPr>
          <w:rFonts w:hint="eastAsia" w:ascii="仿宋_GB2312" w:hAnsi="仿宋_GB2312" w:eastAsia="仿宋_GB2312" w:cs="仿宋_GB2312"/>
          <w:color w:val="000000"/>
          <w:kern w:val="0"/>
          <w:sz w:val="32"/>
          <w:szCs w:val="32"/>
          <w:lang w:bidi="ar"/>
        </w:rPr>
        <w:t>政府采购工程支出</w:t>
      </w:r>
      <w:r>
        <w:rPr>
          <w:rFonts w:hint="eastAsia" w:ascii="仿宋_GB2312" w:hAnsi="仿宋_GB2312" w:eastAsia="仿宋_GB2312" w:cs="仿宋_GB2312"/>
          <w:color w:val="000000"/>
          <w:kern w:val="0"/>
          <w:sz w:val="32"/>
          <w:szCs w:val="32"/>
          <w:lang w:val="en-US" w:eastAsia="zh-CN" w:bidi="ar"/>
        </w:rPr>
        <w:t>171</w:t>
      </w:r>
      <w:r>
        <w:rPr>
          <w:rFonts w:hint="eastAsia" w:ascii="仿宋_GB2312" w:hAnsi="仿宋_GB2312" w:eastAsia="仿宋_GB2312" w:cs="仿宋_GB2312"/>
          <w:color w:val="000000"/>
          <w:kern w:val="0"/>
          <w:sz w:val="32"/>
          <w:szCs w:val="32"/>
          <w:lang w:bidi="ar"/>
        </w:rPr>
        <w:t>万元</w:t>
      </w:r>
      <w:r>
        <w:rPr>
          <w:rFonts w:hint="eastAsia" w:ascii="仿宋_GB2312" w:hAnsi="仿宋_GB2312" w:eastAsia="仿宋_GB2312" w:cs="仿宋_GB2312"/>
          <w:color w:val="000000"/>
          <w:kern w:val="0"/>
          <w:sz w:val="32"/>
          <w:szCs w:val="32"/>
          <w:lang w:eastAsia="zh-CN" w:bidi="ar"/>
        </w:rPr>
        <w:t>，</w:t>
      </w:r>
      <w:r>
        <w:rPr>
          <w:rFonts w:hint="eastAsia" w:ascii="仿宋_GB2312" w:hAnsi="仿宋_GB2312" w:eastAsia="仿宋_GB2312" w:cs="仿宋_GB2312"/>
          <w:color w:val="000000"/>
          <w:kern w:val="0"/>
          <w:sz w:val="32"/>
          <w:szCs w:val="32"/>
          <w:lang w:bidi="ar"/>
        </w:rPr>
        <w:t>占政府采购支出总额的</w:t>
      </w:r>
      <w:r>
        <w:rPr>
          <w:rFonts w:hint="eastAsia" w:ascii="仿宋_GB2312" w:hAnsi="仿宋_GB2312" w:eastAsia="仿宋_GB2312" w:cs="仿宋_GB2312"/>
          <w:color w:val="000000"/>
          <w:kern w:val="0"/>
          <w:sz w:val="32"/>
          <w:szCs w:val="32"/>
          <w:lang w:val="en-US" w:eastAsia="zh-CN" w:bidi="ar"/>
        </w:rPr>
        <w:t>100</w:t>
      </w:r>
      <w:r>
        <w:rPr>
          <w:rFonts w:hint="eastAsia"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171</w:t>
      </w:r>
      <w:r>
        <w:rPr>
          <w:rFonts w:hint="eastAsia"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100</w:t>
      </w:r>
      <w:r>
        <w:rPr>
          <w:rFonts w:hint="eastAsia" w:ascii="仿宋_GB2312" w:hAnsi="仿宋_GB2312" w:eastAsia="仿宋_GB2312" w:cs="仿宋_GB2312"/>
          <w:color w:val="000000"/>
          <w:kern w:val="0"/>
          <w:sz w:val="32"/>
          <w:szCs w:val="32"/>
          <w:lang w:bidi="ar"/>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截至2020年12月31日，本部门共有车辆</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w:t>
      </w:r>
      <w:r>
        <w:rPr>
          <w:rFonts w:hint="eastAsia" w:ascii="仿宋_GB2312" w:hAnsi="仿宋_GB2312" w:eastAsia="仿宋_GB2312" w:cs="仿宋_GB2312"/>
          <w:sz w:val="32"/>
          <w:szCs w:val="32"/>
          <w:lang w:eastAsia="zh-CN"/>
        </w:rPr>
        <w:t>较</w:t>
      </w:r>
      <w:r>
        <w:rPr>
          <w:rFonts w:hint="eastAsia" w:ascii="仿宋_GB2312" w:hAnsi="仿宋_GB2312" w:eastAsia="仿宋_GB2312" w:cs="仿宋_GB2312"/>
          <w:sz w:val="32"/>
          <w:szCs w:val="32"/>
        </w:rPr>
        <w:t>上年</w:t>
      </w:r>
      <w:r>
        <w:rPr>
          <w:rFonts w:hint="eastAsia" w:ascii="仿宋_GB2312" w:hAnsi="仿宋_GB2312" w:eastAsia="仿宋_GB2312" w:cs="仿宋_GB2312"/>
          <w:sz w:val="32"/>
          <w:szCs w:val="32"/>
          <w:lang w:eastAsia="zh-CN"/>
        </w:rPr>
        <w:t>无增减变化。</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十、其他需要说明的情况</w:t>
      </w:r>
    </w:p>
    <w:p>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 本部门2020年度未发生</w:t>
      </w:r>
      <w:r>
        <w:rPr>
          <w:rFonts w:hint="eastAsia" w:ascii="仿宋_GB2312" w:hAnsi="仿宋_GB2312" w:eastAsia="仿宋_GB2312" w:cs="仿宋_GB2312"/>
          <w:sz w:val="32"/>
          <w:szCs w:val="32"/>
          <w:highlight w:val="none"/>
        </w:rPr>
        <w:t>国有资金经营预算</w:t>
      </w:r>
      <w:r>
        <w:rPr>
          <w:rFonts w:hint="eastAsia" w:ascii="仿宋_GB2312" w:hAnsi="仿宋_GB2312" w:eastAsia="仿宋_GB2312" w:cs="仿宋_GB2312"/>
          <w:sz w:val="32"/>
          <w:szCs w:val="32"/>
        </w:rPr>
        <w:t>收支及结转结余情况，故国有资产经营预算财政收入支出表以空表列示。</w:t>
      </w:r>
    </w:p>
    <w:p>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pPr>
        <w:rPr>
          <w:rFonts w:ascii="仿宋_GB2312" w:hAnsi="宋体" w:eastAsia="仿宋_GB2312" w:cs="Arial Black"/>
          <w:sz w:val="32"/>
          <w:szCs w:val="32"/>
        </w:rPr>
      </w:pPr>
      <w:r>
        <w:rPr>
          <w:rFonts w:ascii="仿宋_GB2312" w:hAnsi="宋体" w:eastAsia="仿宋_GB2312" w:cs="Arial Black"/>
          <w:sz w:val="32"/>
          <w:szCs w:val="32"/>
        </w:rPr>
        <w:br w:type="page"/>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rPr>
          <w:sz w:val="72"/>
        </w:rPr>
        <mc:AlternateContent>
          <mc:Choice Requires="wps">
            <w:drawing>
              <wp:anchor distT="0" distB="0" distL="114300" distR="114300" simplePos="0" relativeHeight="251661312" behindDoc="0" locked="0" layoutInCell="1" allowOverlap="1">
                <wp:simplePos x="0" y="0"/>
                <wp:positionH relativeFrom="column">
                  <wp:posOffset>-1040130</wp:posOffset>
                </wp:positionH>
                <wp:positionV relativeFrom="paragraph">
                  <wp:posOffset>26035</wp:posOffset>
                </wp:positionV>
                <wp:extent cx="7793355" cy="3341370"/>
                <wp:effectExtent l="4445" t="4445" r="508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6350">
                          <a:solidFill>
                            <a:schemeClr val="bg1">
                              <a:lumMod val="50000"/>
                            </a:schemeClr>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1.9pt;margin-top:2.05pt;height:263.1pt;width:613.65pt;z-index:251661312;v-text-anchor:middle;mso-width-relative:page;mso-height-relative:page;" fillcolor="#7F7F7F [1612]" filled="t" stroked="t" coordsize="21600,21600" o:gfxdata="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">
                <v:fill type="pattern" on="t" color2="#FFFFFF [3212]" focussize="0,0" r:id="rId15"/>
                <v:stroke weight="0.5pt" color="#7F7F7F [1612]"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r>
        <w:rPr>
          <w:rFonts w:hint="eastAsia" w:ascii="仿宋_GB2312" w:hAnsi="宋体" w:eastAsia="仿宋_GB2312" w:cs="Arial Black"/>
          <w:sz w:val="32"/>
          <w:szCs w:val="32"/>
          <w:highlight w:val="yellow"/>
        </w:rPr>
        <w:br w:type="page"/>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widowControl/>
        <w:spacing w:after="160" w:line="580" w:lineRule="exact"/>
        <w:rPr>
          <w:rFonts w:ascii="Times New Roman" w:hAnsi="Times New Roman" w:eastAsia="黑体" w:cs="Times New Roman"/>
          <w:sz w:val="32"/>
          <w:szCs w:val="32"/>
        </w:rPr>
      </w:pPr>
    </w:p>
    <w:p>
      <w:pPr>
        <w:widowControl/>
        <w:spacing w:after="160" w:line="580" w:lineRule="exact"/>
        <w:rPr>
          <w:rFonts w:ascii="Times New Roman" w:hAnsi="Times New Roman" w:eastAsia="黑体" w:cs="Times New Roman"/>
          <w:sz w:val="32"/>
          <w:szCs w:val="32"/>
        </w:rPr>
      </w:pPr>
    </w:p>
    <w:p>
      <w:pPr>
        <w:widowControl/>
        <w:spacing w:after="160" w:line="580" w:lineRule="exact"/>
        <w:rPr>
          <w:rFonts w:ascii="Times New Roman" w:hAnsi="Times New Roman" w:eastAsia="黑体" w:cs="Times New Roman"/>
          <w:sz w:val="32"/>
          <w:szCs w:val="32"/>
        </w:rPr>
        <w:sectPr>
          <w:headerReference r:id="rId12" w:type="default"/>
          <w:pgSz w:w="11906" w:h="16838"/>
          <w:pgMar w:top="2098" w:right="1531" w:bottom="1984" w:left="1531" w:header="851" w:footer="992" w:gutter="0"/>
          <w:pgNumType w:fmt="numberInDash"/>
          <w:cols w:space="0" w:num="1"/>
          <w:titlePg/>
          <w:docGrid w:type="lines" w:linePitch="312" w:charSpace="0"/>
        </w:sectPr>
      </w:pPr>
    </w:p>
    <w:p>
      <w:pPr>
        <w:rPr>
          <w:rFonts w:ascii="黑体" w:hAnsi="黑体" w:eastAsia="黑体" w:cs="黑体"/>
          <w:sz w:val="56"/>
          <w:szCs w:val="72"/>
        </w:rPr>
        <w:sectPr>
          <w:type w:val="continuous"/>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5408" behindDoc="0" locked="0" layoutInCell="1" allowOverlap="1">
                <wp:simplePos x="0" y="0"/>
                <wp:positionH relativeFrom="column">
                  <wp:posOffset>-1027430</wp:posOffset>
                </wp:positionH>
                <wp:positionV relativeFrom="paragraph">
                  <wp:posOffset>1151255</wp:posOffset>
                </wp:positionV>
                <wp:extent cx="7793355" cy="3341370"/>
                <wp:effectExtent l="6350" t="6350" r="18415" b="20320"/>
                <wp:wrapNone/>
                <wp:docPr id="1" name="文本框 1"/>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ysClr val="window" lastClr="FFFFFF">
                              <a:lumMod val="50000"/>
                            </a:sysClr>
                          </a:fgClr>
                          <a:bgClr>
                            <a:sysClr val="window" lastClr="FFFFFF"/>
                          </a:bgClr>
                        </a:pattFill>
                        <a:ln w="12700" cmpd="sng">
                          <a:solidFill>
                            <a:sysClr val="window" lastClr="FFFFFF">
                              <a:lumMod val="65000"/>
                            </a:sysClr>
                          </a:solidFill>
                          <a:prstDash val="solid"/>
                        </a:ln>
                        <a:effectLst/>
                      </wps:spPr>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pt;margin-top:90.65pt;height:263.1pt;width:613.65pt;z-index:251665408;v-text-anchor:middle;mso-width-relative:page;mso-height-relative:page;" fillcolor="#7F7F7F" filled="t" stroked="t" coordsize="21600,21600" o:gfxdata="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">
                <v:fill type="pattern" on="t" color2="#FFFFFF" focussize="0,0" r:id="rId15"/>
                <v:stroke weight="1pt" color="#A6A6A6"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v:textbox>
              </v:shape>
            </w:pict>
          </mc:Fallback>
        </mc:AlternateContent>
      </w:r>
    </w:p>
    <w:tbl>
      <w:tblPr>
        <w:tblStyle w:val="7"/>
        <w:tblW w:w="9252" w:type="dxa"/>
        <w:tblInd w:w="0" w:type="dxa"/>
        <w:tblLayout w:type="fixed"/>
        <w:tblCellMar>
          <w:top w:w="15" w:type="dxa"/>
          <w:left w:w="15" w:type="dxa"/>
          <w:bottom w:w="15" w:type="dxa"/>
          <w:right w:w="15" w:type="dxa"/>
        </w:tblCellMar>
      </w:tblPr>
      <w:tblGrid>
        <w:gridCol w:w="2356"/>
        <w:gridCol w:w="353"/>
        <w:gridCol w:w="79"/>
        <w:gridCol w:w="346"/>
        <w:gridCol w:w="1417"/>
        <w:gridCol w:w="2665"/>
        <w:gridCol w:w="432"/>
        <w:gridCol w:w="1604"/>
      </w:tblGrid>
      <w:tr>
        <w:tblPrEx>
          <w:tblCellMar>
            <w:top w:w="15" w:type="dxa"/>
            <w:left w:w="15" w:type="dxa"/>
            <w:bottom w:w="15" w:type="dxa"/>
            <w:right w:w="15" w:type="dxa"/>
          </w:tblCellMar>
        </w:tblPrEx>
        <w:trPr>
          <w:trHeight w:val="227" w:hRule="atLeast"/>
        </w:trPr>
        <w:tc>
          <w:tcPr>
            <w:tcW w:w="9252" w:type="dxa"/>
            <w:gridSpan w:val="8"/>
            <w:tcBorders>
              <w:right w:val="single" w:color="808080" w:sz="4" w:space="0"/>
            </w:tcBorders>
            <w:shd w:val="clear" w:color="auto" w:fill="FFFFFF"/>
            <w:vAlign w:val="center"/>
          </w:tcPr>
          <w:p>
            <w:pPr>
              <w:widowControl/>
              <w:jc w:val="center"/>
              <w:textAlignment w:val="center"/>
              <w:rPr>
                <w:rFonts w:ascii="黑体" w:hAnsi="宋体" w:eastAsia="黑体" w:cs="黑体"/>
                <w:color w:val="000000"/>
                <w:sz w:val="30"/>
                <w:szCs w:val="30"/>
              </w:rPr>
            </w:pPr>
            <w:r>
              <w:rPr>
                <w:rFonts w:hint="eastAsia" w:ascii="黑体" w:hAnsi="宋体" w:eastAsia="黑体" w:cs="黑体"/>
                <w:color w:val="000000"/>
                <w:kern w:val="0"/>
                <w:sz w:val="30"/>
                <w:szCs w:val="30"/>
                <w:lang w:bidi="ar"/>
              </w:rPr>
              <w:t>收入支出决算总表</w:t>
            </w:r>
          </w:p>
        </w:tc>
      </w:tr>
      <w:tr>
        <w:tblPrEx>
          <w:tblCellMar>
            <w:top w:w="15" w:type="dxa"/>
            <w:left w:w="15" w:type="dxa"/>
            <w:bottom w:w="15" w:type="dxa"/>
            <w:right w:w="15" w:type="dxa"/>
          </w:tblCellMar>
        </w:tblPrEx>
        <w:trPr>
          <w:trHeight w:val="227" w:hRule="atLeast"/>
        </w:trPr>
        <w:tc>
          <w:tcPr>
            <w:tcW w:w="2356" w:type="dxa"/>
            <w:shd w:val="clear" w:color="auto" w:fill="FFFFFF"/>
            <w:vAlign w:val="center"/>
          </w:tcPr>
          <w:p>
            <w:pPr>
              <w:jc w:val="left"/>
              <w:rPr>
                <w:rFonts w:ascii="宋体" w:hAnsi="宋体" w:eastAsia="宋体" w:cs="宋体"/>
                <w:color w:val="000000"/>
                <w:sz w:val="18"/>
                <w:szCs w:val="18"/>
              </w:rPr>
            </w:pPr>
          </w:p>
        </w:tc>
        <w:tc>
          <w:tcPr>
            <w:tcW w:w="432" w:type="dxa"/>
            <w:gridSpan w:val="2"/>
            <w:shd w:val="clear" w:color="auto" w:fill="FFFFFF"/>
            <w:vAlign w:val="center"/>
          </w:tcPr>
          <w:p>
            <w:pPr>
              <w:jc w:val="left"/>
              <w:rPr>
                <w:rFonts w:ascii="宋体" w:hAnsi="宋体" w:eastAsia="宋体" w:cs="宋体"/>
                <w:color w:val="000000"/>
                <w:sz w:val="18"/>
                <w:szCs w:val="18"/>
              </w:rPr>
            </w:pPr>
          </w:p>
        </w:tc>
        <w:tc>
          <w:tcPr>
            <w:tcW w:w="1763" w:type="dxa"/>
            <w:gridSpan w:val="2"/>
            <w:shd w:val="clear" w:color="auto" w:fill="FFFFFF"/>
            <w:vAlign w:val="center"/>
          </w:tcPr>
          <w:p>
            <w:pPr>
              <w:jc w:val="left"/>
              <w:rPr>
                <w:rFonts w:ascii="宋体" w:hAnsi="宋体" w:eastAsia="宋体" w:cs="宋体"/>
                <w:color w:val="000000"/>
                <w:sz w:val="18"/>
                <w:szCs w:val="18"/>
              </w:rPr>
            </w:pPr>
          </w:p>
        </w:tc>
        <w:tc>
          <w:tcPr>
            <w:tcW w:w="2665" w:type="dxa"/>
            <w:shd w:val="clear" w:color="auto" w:fill="FFFFFF"/>
            <w:vAlign w:val="center"/>
          </w:tcPr>
          <w:p>
            <w:pPr>
              <w:jc w:val="left"/>
              <w:rPr>
                <w:rFonts w:ascii="宋体" w:hAnsi="宋体" w:eastAsia="宋体" w:cs="宋体"/>
                <w:color w:val="000000"/>
                <w:sz w:val="18"/>
                <w:szCs w:val="18"/>
              </w:rPr>
            </w:pPr>
          </w:p>
        </w:tc>
        <w:tc>
          <w:tcPr>
            <w:tcW w:w="432" w:type="dxa"/>
            <w:shd w:val="clear" w:color="auto" w:fill="FFFFFF"/>
            <w:vAlign w:val="center"/>
          </w:tcPr>
          <w:p>
            <w:pPr>
              <w:jc w:val="left"/>
              <w:rPr>
                <w:rFonts w:ascii="宋体" w:hAnsi="宋体" w:eastAsia="宋体" w:cs="宋体"/>
                <w:color w:val="000000"/>
                <w:sz w:val="18"/>
                <w:szCs w:val="18"/>
              </w:rPr>
            </w:pPr>
          </w:p>
        </w:tc>
        <w:tc>
          <w:tcPr>
            <w:tcW w:w="1604" w:type="dxa"/>
            <w:tcBorders>
              <w:right w:val="single" w:color="808080" w:sz="4" w:space="0"/>
            </w:tcBorders>
            <w:shd w:val="clear" w:color="auto" w:fill="FFFFFF"/>
            <w:vAlign w:val="center"/>
          </w:tcPr>
          <w:p>
            <w:pPr>
              <w:widowControl/>
              <w:jc w:val="righ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公开01表</w:t>
            </w:r>
          </w:p>
        </w:tc>
      </w:tr>
      <w:tr>
        <w:tblPrEx>
          <w:tblCellMar>
            <w:top w:w="15" w:type="dxa"/>
            <w:left w:w="15" w:type="dxa"/>
            <w:bottom w:w="15" w:type="dxa"/>
            <w:right w:w="15" w:type="dxa"/>
          </w:tblCellMar>
        </w:tblPrEx>
        <w:trPr>
          <w:trHeight w:val="227" w:hRule="atLeast"/>
        </w:trPr>
        <w:tc>
          <w:tcPr>
            <w:tcW w:w="4551" w:type="dxa"/>
            <w:gridSpan w:val="5"/>
            <w:tcBorders>
              <w:bottom w:val="single" w:color="808080" w:sz="4" w:space="0"/>
            </w:tcBorders>
            <w:shd w:val="clear" w:color="auto" w:fill="FFFFFF"/>
            <w:vAlign w:val="center"/>
          </w:tcPr>
          <w:p>
            <w:pPr>
              <w:jc w:val="left"/>
              <w:rPr>
                <w:rFonts w:ascii="宋体" w:hAnsi="宋体" w:eastAsia="宋体" w:cs="宋体"/>
                <w:color w:val="000000"/>
                <w:sz w:val="24"/>
              </w:rPr>
            </w:pPr>
            <w:r>
              <w:rPr>
                <w:rFonts w:hint="eastAsia" w:ascii="宋体" w:hAnsi="宋体" w:eastAsia="宋体" w:cs="宋体"/>
                <w:color w:val="000000"/>
                <w:kern w:val="0"/>
                <w:sz w:val="18"/>
                <w:szCs w:val="18"/>
                <w:lang w:bidi="ar"/>
              </w:rPr>
              <w:t>部门：</w:t>
            </w:r>
            <w:r>
              <w:rPr>
                <w:rFonts w:hint="eastAsia" w:ascii="宋体" w:hAnsi="宋体" w:eastAsia="宋体" w:cs="宋体"/>
                <w:color w:val="000000"/>
                <w:kern w:val="0"/>
                <w:sz w:val="18"/>
                <w:szCs w:val="18"/>
                <w:lang w:eastAsia="zh-CN" w:bidi="ar"/>
              </w:rPr>
              <w:t>石家庄市鹿泉区民政局（本级）</w:t>
            </w:r>
          </w:p>
        </w:tc>
        <w:tc>
          <w:tcPr>
            <w:tcW w:w="2665" w:type="dxa"/>
            <w:tcBorders>
              <w:bottom w:val="single" w:color="808080" w:sz="4" w:space="0"/>
            </w:tcBorders>
            <w:shd w:val="clear" w:color="auto" w:fill="FFFFFF"/>
            <w:vAlign w:val="center"/>
          </w:tcPr>
          <w:p>
            <w:pPr>
              <w:jc w:val="left"/>
              <w:rPr>
                <w:rFonts w:ascii="宋体" w:hAnsi="宋体" w:eastAsia="宋体" w:cs="宋体"/>
                <w:color w:val="000000"/>
                <w:sz w:val="18"/>
                <w:szCs w:val="18"/>
              </w:rPr>
            </w:pPr>
          </w:p>
        </w:tc>
        <w:tc>
          <w:tcPr>
            <w:tcW w:w="432" w:type="dxa"/>
            <w:tcBorders>
              <w:bottom w:val="single" w:color="808080" w:sz="4" w:space="0"/>
            </w:tcBorders>
            <w:shd w:val="clear" w:color="auto" w:fill="FFFFFF"/>
            <w:vAlign w:val="center"/>
          </w:tcPr>
          <w:p>
            <w:pPr>
              <w:jc w:val="left"/>
              <w:rPr>
                <w:rFonts w:ascii="宋体" w:hAnsi="宋体" w:eastAsia="宋体" w:cs="宋体"/>
                <w:color w:val="000000"/>
                <w:sz w:val="18"/>
                <w:szCs w:val="18"/>
              </w:rPr>
            </w:pPr>
          </w:p>
        </w:tc>
        <w:tc>
          <w:tcPr>
            <w:tcW w:w="1604" w:type="dxa"/>
            <w:tcBorders>
              <w:bottom w:val="single" w:color="808080" w:sz="4" w:space="0"/>
              <w:right w:val="single" w:color="808080" w:sz="4" w:space="0"/>
            </w:tcBorders>
            <w:shd w:val="clear" w:color="auto" w:fill="FFFFFF"/>
            <w:vAlign w:val="center"/>
          </w:tcPr>
          <w:p>
            <w:pPr>
              <w:widowControl/>
              <w:jc w:val="righ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金额单位：万元</w:t>
            </w:r>
          </w:p>
        </w:tc>
      </w:tr>
      <w:tr>
        <w:tblPrEx>
          <w:tblCellMar>
            <w:top w:w="15" w:type="dxa"/>
            <w:left w:w="15" w:type="dxa"/>
            <w:bottom w:w="15" w:type="dxa"/>
            <w:right w:w="15" w:type="dxa"/>
          </w:tblCellMar>
        </w:tblPrEx>
        <w:trPr>
          <w:trHeight w:val="284" w:hRule="exact"/>
        </w:trPr>
        <w:tc>
          <w:tcPr>
            <w:tcW w:w="4551" w:type="dxa"/>
            <w:gridSpan w:val="5"/>
            <w:tcBorders>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收入</w:t>
            </w:r>
          </w:p>
        </w:tc>
        <w:tc>
          <w:tcPr>
            <w:tcW w:w="4701" w:type="dxa"/>
            <w:gridSpan w:val="3"/>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支出</w:t>
            </w: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项目</w:t>
            </w: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行次</w:t>
            </w:r>
          </w:p>
        </w:tc>
        <w:tc>
          <w:tcPr>
            <w:tcW w:w="1417"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金额</w:t>
            </w:r>
          </w:p>
        </w:tc>
        <w:tc>
          <w:tcPr>
            <w:tcW w:w="2665"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项目</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行次</w:t>
            </w:r>
          </w:p>
        </w:tc>
        <w:tc>
          <w:tcPr>
            <w:tcW w:w="1604"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金额</w:t>
            </w: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栏次</w:t>
            </w:r>
          </w:p>
        </w:tc>
        <w:tc>
          <w:tcPr>
            <w:tcW w:w="425" w:type="dxa"/>
            <w:gridSpan w:val="2"/>
            <w:tcBorders>
              <w:bottom w:val="single" w:color="000000" w:sz="4" w:space="0"/>
              <w:right w:val="single" w:color="000000" w:sz="4" w:space="0"/>
            </w:tcBorders>
            <w:shd w:val="clear" w:color="auto" w:fill="FFFFFF"/>
            <w:vAlign w:val="center"/>
          </w:tcPr>
          <w:p>
            <w:pPr>
              <w:jc w:val="center"/>
              <w:rPr>
                <w:rFonts w:ascii="宋体" w:hAnsi="宋体" w:eastAsia="宋体" w:cs="宋体"/>
                <w:color w:val="000000"/>
                <w:sz w:val="15"/>
                <w:szCs w:val="16"/>
              </w:rPr>
            </w:pPr>
          </w:p>
        </w:tc>
        <w:tc>
          <w:tcPr>
            <w:tcW w:w="1417"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w:t>
            </w:r>
          </w:p>
        </w:tc>
        <w:tc>
          <w:tcPr>
            <w:tcW w:w="2665"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栏次</w:t>
            </w:r>
          </w:p>
        </w:tc>
        <w:tc>
          <w:tcPr>
            <w:tcW w:w="432" w:type="dxa"/>
            <w:tcBorders>
              <w:bottom w:val="single" w:color="000000" w:sz="4" w:space="0"/>
              <w:right w:val="single" w:color="000000" w:sz="4" w:space="0"/>
            </w:tcBorders>
            <w:shd w:val="clear" w:color="auto" w:fill="FFFFFF"/>
            <w:vAlign w:val="center"/>
          </w:tcPr>
          <w:p>
            <w:pPr>
              <w:jc w:val="center"/>
              <w:rPr>
                <w:rFonts w:ascii="宋体" w:hAnsi="宋体" w:eastAsia="宋体" w:cs="宋体"/>
                <w:color w:val="000000"/>
                <w:sz w:val="15"/>
                <w:szCs w:val="16"/>
              </w:rPr>
            </w:pPr>
          </w:p>
        </w:tc>
        <w:tc>
          <w:tcPr>
            <w:tcW w:w="1604"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w:t>
            </w: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一、一般公共预算财政拨款收入</w:t>
            </w: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w:t>
            </w:r>
          </w:p>
        </w:tc>
        <w:tc>
          <w:tcPr>
            <w:tcW w:w="1417" w:type="dxa"/>
            <w:tcBorders>
              <w:bottom w:val="single" w:color="000000" w:sz="4" w:space="0"/>
              <w:right w:val="single" w:color="000000" w:sz="4" w:space="0"/>
            </w:tcBorders>
            <w:shd w:val="clear" w:color="auto" w:fill="FFFFFF"/>
            <w:vAlign w:val="center"/>
          </w:tcPr>
          <w:p>
            <w:pPr>
              <w:jc w:val="right"/>
              <w:rPr>
                <w:rFonts w:hint="default" w:ascii="宋体" w:hAnsi="宋体" w:eastAsia="宋体" w:cs="宋体"/>
                <w:color w:val="000000"/>
                <w:sz w:val="15"/>
                <w:szCs w:val="16"/>
                <w:lang w:val="en-US" w:eastAsia="zh-CN"/>
              </w:rPr>
            </w:pPr>
            <w:r>
              <w:rPr>
                <w:rFonts w:hint="eastAsia" w:ascii="宋体" w:hAnsi="宋体" w:eastAsia="宋体" w:cs="宋体"/>
                <w:color w:val="000000"/>
                <w:sz w:val="15"/>
                <w:szCs w:val="16"/>
                <w:lang w:val="en-US" w:eastAsia="zh-CN"/>
              </w:rPr>
              <w:t>4885.00</w:t>
            </w: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一、一般公共服务支出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32</w:t>
            </w:r>
          </w:p>
        </w:tc>
        <w:tc>
          <w:tcPr>
            <w:tcW w:w="1604"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二、政府性基金预算财政拨款收入</w:t>
            </w: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w:t>
            </w:r>
          </w:p>
        </w:tc>
        <w:tc>
          <w:tcPr>
            <w:tcW w:w="1417" w:type="dxa"/>
            <w:tcBorders>
              <w:bottom w:val="single" w:color="000000" w:sz="4" w:space="0"/>
              <w:right w:val="single" w:color="000000" w:sz="4" w:space="0"/>
            </w:tcBorders>
            <w:shd w:val="clear" w:color="auto" w:fill="FFFFFF"/>
            <w:vAlign w:val="center"/>
          </w:tcPr>
          <w:p>
            <w:pPr>
              <w:jc w:val="right"/>
              <w:rPr>
                <w:rFonts w:hint="default" w:ascii="宋体" w:hAnsi="宋体" w:eastAsia="宋体" w:cs="宋体"/>
                <w:color w:val="000000"/>
                <w:sz w:val="15"/>
                <w:szCs w:val="16"/>
                <w:lang w:val="en-US" w:eastAsia="zh-CN"/>
              </w:rPr>
            </w:pPr>
            <w:r>
              <w:rPr>
                <w:rFonts w:hint="eastAsia" w:ascii="宋体" w:hAnsi="宋体" w:eastAsia="宋体" w:cs="宋体"/>
                <w:color w:val="000000"/>
                <w:sz w:val="15"/>
                <w:szCs w:val="16"/>
                <w:lang w:val="en-US" w:eastAsia="zh-CN"/>
              </w:rPr>
              <w:t>336.94</w:t>
            </w: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二、外交支出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33</w:t>
            </w:r>
          </w:p>
        </w:tc>
        <w:tc>
          <w:tcPr>
            <w:tcW w:w="1604"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三、国有资本经营预算财政拨款收入</w:t>
            </w: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w:t>
            </w:r>
          </w:p>
        </w:tc>
        <w:tc>
          <w:tcPr>
            <w:tcW w:w="1417" w:type="dxa"/>
            <w:tcBorders>
              <w:bottom w:val="single" w:color="000000" w:sz="4" w:space="0"/>
              <w:right w:val="single" w:color="000000" w:sz="4" w:space="0"/>
            </w:tcBorders>
            <w:shd w:val="clear" w:color="auto" w:fill="FFFFFF"/>
            <w:vAlign w:val="center"/>
          </w:tcPr>
          <w:p>
            <w:pPr>
              <w:jc w:val="right"/>
              <w:rPr>
                <w:rFonts w:hint="default" w:ascii="宋体" w:hAnsi="宋体" w:eastAsia="宋体" w:cs="宋体"/>
                <w:color w:val="000000"/>
                <w:sz w:val="15"/>
                <w:szCs w:val="16"/>
                <w:lang w:val="en-US" w:eastAsia="zh-CN"/>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三、国防支出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34</w:t>
            </w:r>
          </w:p>
        </w:tc>
        <w:tc>
          <w:tcPr>
            <w:tcW w:w="1604"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四、上级补助收入</w:t>
            </w: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四、公共安全支出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35</w:t>
            </w:r>
          </w:p>
        </w:tc>
        <w:tc>
          <w:tcPr>
            <w:tcW w:w="1604"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五、事业收入</w:t>
            </w: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五、教育支出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36</w:t>
            </w:r>
          </w:p>
        </w:tc>
        <w:tc>
          <w:tcPr>
            <w:tcW w:w="1604"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六、经营收入</w:t>
            </w: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6</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六、科学技术支出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37</w:t>
            </w:r>
          </w:p>
        </w:tc>
        <w:tc>
          <w:tcPr>
            <w:tcW w:w="1604"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七、附属单位上缴收入</w:t>
            </w: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7</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七、文化旅游体育与传媒支出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38</w:t>
            </w:r>
          </w:p>
        </w:tc>
        <w:tc>
          <w:tcPr>
            <w:tcW w:w="1604"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八、其他收入</w:t>
            </w: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8</w:t>
            </w:r>
          </w:p>
        </w:tc>
        <w:tc>
          <w:tcPr>
            <w:tcW w:w="1417" w:type="dxa"/>
            <w:tcBorders>
              <w:bottom w:val="single" w:color="000000" w:sz="4" w:space="0"/>
              <w:right w:val="single" w:color="000000" w:sz="4" w:space="0"/>
            </w:tcBorders>
            <w:shd w:val="clear" w:color="auto" w:fill="FFFFFF"/>
            <w:vAlign w:val="center"/>
          </w:tcPr>
          <w:p>
            <w:pPr>
              <w:jc w:val="right"/>
              <w:rPr>
                <w:rFonts w:hint="default" w:ascii="宋体" w:hAnsi="宋体" w:eastAsia="宋体" w:cs="宋体"/>
                <w:color w:val="000000"/>
                <w:sz w:val="15"/>
                <w:szCs w:val="16"/>
                <w:lang w:val="en-US" w:eastAsia="zh-CN"/>
              </w:rPr>
            </w:pPr>
            <w:r>
              <w:rPr>
                <w:rFonts w:hint="eastAsia" w:ascii="宋体" w:hAnsi="宋体" w:eastAsia="宋体" w:cs="宋体"/>
                <w:color w:val="000000"/>
                <w:sz w:val="15"/>
                <w:szCs w:val="16"/>
                <w:lang w:val="en-US" w:eastAsia="zh-CN"/>
              </w:rPr>
              <w:t>53.15</w:t>
            </w: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八、社会保障和就业支出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39</w:t>
            </w:r>
          </w:p>
        </w:tc>
        <w:tc>
          <w:tcPr>
            <w:tcW w:w="1604" w:type="dxa"/>
            <w:tcBorders>
              <w:bottom w:val="single" w:color="000000" w:sz="4" w:space="0"/>
              <w:right w:val="single" w:color="000000" w:sz="4" w:space="0"/>
            </w:tcBorders>
            <w:shd w:val="clear" w:color="auto" w:fill="FFFFFF"/>
            <w:vAlign w:val="center"/>
          </w:tcPr>
          <w:p>
            <w:pPr>
              <w:jc w:val="right"/>
              <w:rPr>
                <w:rFonts w:hint="default" w:ascii="宋体" w:hAnsi="宋体" w:eastAsia="宋体" w:cs="宋体"/>
                <w:color w:val="000000"/>
                <w:sz w:val="15"/>
                <w:szCs w:val="16"/>
                <w:lang w:val="en-US" w:eastAsia="zh-CN"/>
              </w:rPr>
            </w:pPr>
            <w:r>
              <w:rPr>
                <w:rFonts w:hint="eastAsia" w:ascii="宋体" w:hAnsi="宋体" w:eastAsia="宋体" w:cs="宋体"/>
                <w:color w:val="000000"/>
                <w:sz w:val="15"/>
                <w:szCs w:val="16"/>
                <w:lang w:val="en-US" w:eastAsia="zh-CN"/>
              </w:rPr>
              <w:t>5138.28</w:t>
            </w: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9</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九、卫生健康支出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40</w:t>
            </w:r>
          </w:p>
        </w:tc>
        <w:tc>
          <w:tcPr>
            <w:tcW w:w="1604" w:type="dxa"/>
            <w:tcBorders>
              <w:bottom w:val="single" w:color="000000" w:sz="4" w:space="0"/>
              <w:right w:val="single" w:color="000000" w:sz="4" w:space="0"/>
            </w:tcBorders>
            <w:shd w:val="clear" w:color="auto" w:fill="FFFFFF"/>
            <w:vAlign w:val="center"/>
          </w:tcPr>
          <w:p>
            <w:pPr>
              <w:jc w:val="right"/>
              <w:rPr>
                <w:rFonts w:hint="default" w:ascii="宋体" w:hAnsi="宋体" w:eastAsia="宋体" w:cs="宋体"/>
                <w:color w:val="000000"/>
                <w:sz w:val="15"/>
                <w:szCs w:val="16"/>
                <w:lang w:val="en-US" w:eastAsia="zh-CN"/>
              </w:rPr>
            </w:pPr>
            <w:r>
              <w:rPr>
                <w:rFonts w:hint="eastAsia" w:ascii="宋体" w:hAnsi="宋体" w:eastAsia="宋体" w:cs="宋体"/>
                <w:color w:val="000000"/>
                <w:sz w:val="15"/>
                <w:szCs w:val="16"/>
                <w:lang w:val="en-US" w:eastAsia="zh-CN"/>
              </w:rPr>
              <w:t>25.52</w:t>
            </w: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10</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十、节能环保支出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41</w:t>
            </w:r>
          </w:p>
        </w:tc>
        <w:tc>
          <w:tcPr>
            <w:tcW w:w="1604"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11</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十一、城乡社区支出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42</w:t>
            </w:r>
          </w:p>
        </w:tc>
        <w:tc>
          <w:tcPr>
            <w:tcW w:w="1604"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12</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十二、农林水支出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43</w:t>
            </w:r>
          </w:p>
        </w:tc>
        <w:tc>
          <w:tcPr>
            <w:tcW w:w="1604" w:type="dxa"/>
            <w:tcBorders>
              <w:bottom w:val="single" w:color="000000" w:sz="4" w:space="0"/>
              <w:right w:val="single" w:color="000000" w:sz="4" w:space="0"/>
            </w:tcBorders>
            <w:shd w:val="clear" w:color="auto" w:fill="FFFFFF"/>
            <w:vAlign w:val="center"/>
          </w:tcPr>
          <w:p>
            <w:pPr>
              <w:jc w:val="right"/>
              <w:rPr>
                <w:rFonts w:hint="default" w:ascii="宋体" w:hAnsi="宋体" w:eastAsia="宋体" w:cs="宋体"/>
                <w:color w:val="000000"/>
                <w:sz w:val="15"/>
                <w:szCs w:val="16"/>
                <w:lang w:val="en-US" w:eastAsia="zh-CN"/>
              </w:rPr>
            </w:pPr>
            <w:r>
              <w:rPr>
                <w:rFonts w:hint="eastAsia" w:ascii="宋体" w:hAnsi="宋体" w:eastAsia="宋体" w:cs="宋体"/>
                <w:color w:val="000000"/>
                <w:sz w:val="15"/>
                <w:szCs w:val="16"/>
                <w:lang w:val="en-US" w:eastAsia="zh-CN"/>
              </w:rPr>
              <w:t>413.00</w:t>
            </w: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13</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十三、交通运输支出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44</w:t>
            </w:r>
          </w:p>
        </w:tc>
        <w:tc>
          <w:tcPr>
            <w:tcW w:w="1604"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14</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十四、资源勘探工业信息等支出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45</w:t>
            </w:r>
          </w:p>
        </w:tc>
        <w:tc>
          <w:tcPr>
            <w:tcW w:w="1604"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15</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十五、商业服务业等支出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46</w:t>
            </w:r>
          </w:p>
        </w:tc>
        <w:tc>
          <w:tcPr>
            <w:tcW w:w="1604"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16</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十六、金融支出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47</w:t>
            </w:r>
          </w:p>
        </w:tc>
        <w:tc>
          <w:tcPr>
            <w:tcW w:w="1604"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17</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十七、援助其他地区支出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48</w:t>
            </w:r>
          </w:p>
        </w:tc>
        <w:tc>
          <w:tcPr>
            <w:tcW w:w="1604"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18</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十八、自然资源海洋气象等支出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49</w:t>
            </w:r>
          </w:p>
        </w:tc>
        <w:tc>
          <w:tcPr>
            <w:tcW w:w="1604"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19</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十九、住房保障支出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50</w:t>
            </w:r>
          </w:p>
        </w:tc>
        <w:tc>
          <w:tcPr>
            <w:tcW w:w="1604" w:type="dxa"/>
            <w:tcBorders>
              <w:bottom w:val="single" w:color="000000" w:sz="4" w:space="0"/>
              <w:right w:val="single" w:color="000000" w:sz="4" w:space="0"/>
            </w:tcBorders>
            <w:shd w:val="clear" w:color="auto" w:fill="FFFFFF"/>
            <w:vAlign w:val="center"/>
          </w:tcPr>
          <w:p>
            <w:pPr>
              <w:jc w:val="right"/>
              <w:rPr>
                <w:rFonts w:hint="default" w:ascii="宋体" w:hAnsi="宋体" w:eastAsia="宋体" w:cs="宋体"/>
                <w:color w:val="000000"/>
                <w:sz w:val="15"/>
                <w:szCs w:val="16"/>
                <w:lang w:val="en-US" w:eastAsia="zh-CN"/>
              </w:rPr>
            </w:pPr>
            <w:r>
              <w:rPr>
                <w:rFonts w:hint="eastAsia" w:ascii="宋体" w:hAnsi="宋体" w:eastAsia="宋体" w:cs="宋体"/>
                <w:color w:val="000000"/>
                <w:sz w:val="15"/>
                <w:szCs w:val="16"/>
                <w:lang w:val="en-US" w:eastAsia="zh-CN"/>
              </w:rPr>
              <w:t>27.12</w:t>
            </w: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20</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二十、粮油物资储备支出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51</w:t>
            </w:r>
          </w:p>
        </w:tc>
        <w:tc>
          <w:tcPr>
            <w:tcW w:w="1604"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21</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二十一、国有资本经营预算支出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52</w:t>
            </w:r>
          </w:p>
        </w:tc>
        <w:tc>
          <w:tcPr>
            <w:tcW w:w="1604"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22</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二十二、灾害防治及应急管理支出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53</w:t>
            </w:r>
          </w:p>
        </w:tc>
        <w:tc>
          <w:tcPr>
            <w:tcW w:w="1604"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23</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二十三、其他支出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54</w:t>
            </w:r>
          </w:p>
        </w:tc>
        <w:tc>
          <w:tcPr>
            <w:tcW w:w="1604" w:type="dxa"/>
            <w:tcBorders>
              <w:bottom w:val="single" w:color="000000" w:sz="4" w:space="0"/>
              <w:right w:val="single" w:color="000000" w:sz="4" w:space="0"/>
            </w:tcBorders>
            <w:shd w:val="clear" w:color="auto" w:fill="FFFFFF"/>
            <w:vAlign w:val="center"/>
          </w:tcPr>
          <w:p>
            <w:pPr>
              <w:jc w:val="right"/>
              <w:rPr>
                <w:rFonts w:hint="default" w:ascii="宋体" w:hAnsi="宋体" w:eastAsia="宋体" w:cs="宋体"/>
                <w:color w:val="000000"/>
                <w:sz w:val="15"/>
                <w:szCs w:val="16"/>
                <w:lang w:val="en-US" w:eastAsia="zh-CN"/>
              </w:rPr>
            </w:pPr>
            <w:r>
              <w:rPr>
                <w:rFonts w:hint="eastAsia" w:ascii="宋体" w:hAnsi="宋体" w:eastAsia="宋体" w:cs="宋体"/>
                <w:color w:val="000000"/>
                <w:sz w:val="15"/>
                <w:szCs w:val="16"/>
                <w:lang w:val="en-US" w:eastAsia="zh-CN"/>
              </w:rPr>
              <w:t>314.90</w:t>
            </w: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b/>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24</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二十四、债务还本支出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55</w:t>
            </w:r>
          </w:p>
        </w:tc>
        <w:tc>
          <w:tcPr>
            <w:tcW w:w="1604"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25</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二十五、债务付息支出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56</w:t>
            </w:r>
          </w:p>
        </w:tc>
        <w:tc>
          <w:tcPr>
            <w:tcW w:w="1604"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26</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二十六、抗疫特别国债安排的支出</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57</w:t>
            </w:r>
          </w:p>
        </w:tc>
        <w:tc>
          <w:tcPr>
            <w:tcW w:w="1604"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sz w:val="15"/>
                <w:szCs w:val="16"/>
              </w:rPr>
            </w:pPr>
            <w:r>
              <w:rPr>
                <w:rFonts w:hint="eastAsia" w:ascii="宋体" w:hAnsi="宋体" w:eastAsia="宋体" w:cs="宋体"/>
                <w:b/>
                <w:color w:val="000000"/>
                <w:kern w:val="0"/>
                <w:sz w:val="15"/>
                <w:szCs w:val="16"/>
                <w:lang w:bidi="ar"/>
              </w:rPr>
              <w:t>本年收入合计</w:t>
            </w: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27</w:t>
            </w:r>
          </w:p>
        </w:tc>
        <w:tc>
          <w:tcPr>
            <w:tcW w:w="1417" w:type="dxa"/>
            <w:tcBorders>
              <w:bottom w:val="single" w:color="000000" w:sz="4" w:space="0"/>
              <w:right w:val="single" w:color="000000" w:sz="4" w:space="0"/>
            </w:tcBorders>
            <w:shd w:val="clear" w:color="auto" w:fill="FFFFFF"/>
            <w:vAlign w:val="center"/>
          </w:tcPr>
          <w:p>
            <w:pPr>
              <w:jc w:val="right"/>
              <w:rPr>
                <w:rFonts w:hint="default" w:ascii="宋体" w:hAnsi="宋体" w:eastAsia="宋体" w:cs="宋体"/>
                <w:color w:val="000000"/>
                <w:sz w:val="15"/>
                <w:szCs w:val="16"/>
                <w:lang w:val="en-US" w:eastAsia="zh-CN"/>
              </w:rPr>
            </w:pPr>
            <w:r>
              <w:rPr>
                <w:rFonts w:hint="eastAsia" w:ascii="宋体" w:hAnsi="宋体" w:eastAsia="宋体" w:cs="宋体"/>
                <w:color w:val="000000"/>
                <w:sz w:val="15"/>
                <w:szCs w:val="16"/>
                <w:lang w:val="en-US" w:eastAsia="zh-CN"/>
              </w:rPr>
              <w:t>5275.10</w:t>
            </w:r>
          </w:p>
        </w:tc>
        <w:tc>
          <w:tcPr>
            <w:tcW w:w="2665"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sz w:val="15"/>
                <w:szCs w:val="16"/>
              </w:rPr>
            </w:pPr>
            <w:r>
              <w:rPr>
                <w:rFonts w:hint="eastAsia" w:ascii="宋体" w:hAnsi="宋体" w:eastAsia="宋体" w:cs="宋体"/>
                <w:b/>
                <w:color w:val="000000"/>
                <w:kern w:val="0"/>
                <w:sz w:val="15"/>
                <w:szCs w:val="16"/>
                <w:lang w:bidi="ar"/>
              </w:rPr>
              <w:t>本年支出合计</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58</w:t>
            </w:r>
          </w:p>
        </w:tc>
        <w:tc>
          <w:tcPr>
            <w:tcW w:w="1604" w:type="dxa"/>
            <w:tcBorders>
              <w:bottom w:val="single" w:color="000000" w:sz="4" w:space="0"/>
              <w:right w:val="single" w:color="000000" w:sz="4" w:space="0"/>
            </w:tcBorders>
            <w:shd w:val="clear" w:color="auto" w:fill="FFFFFF"/>
            <w:vAlign w:val="center"/>
          </w:tcPr>
          <w:p>
            <w:pPr>
              <w:jc w:val="right"/>
              <w:rPr>
                <w:rFonts w:hint="default" w:ascii="宋体" w:hAnsi="宋体" w:eastAsia="宋体" w:cs="宋体"/>
                <w:color w:val="000000"/>
                <w:sz w:val="15"/>
                <w:szCs w:val="16"/>
                <w:lang w:val="en-US" w:eastAsia="zh-CN"/>
              </w:rPr>
            </w:pPr>
            <w:r>
              <w:rPr>
                <w:rFonts w:hint="eastAsia" w:ascii="宋体" w:hAnsi="宋体" w:eastAsia="宋体" w:cs="宋体"/>
                <w:color w:val="000000"/>
                <w:sz w:val="15"/>
                <w:szCs w:val="16"/>
                <w:lang w:val="en-US" w:eastAsia="zh-CN"/>
              </w:rPr>
              <w:t>5918.82</w:t>
            </w: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使用非财政拨款结余</w:t>
            </w: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28</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结余分配</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59</w:t>
            </w:r>
          </w:p>
        </w:tc>
        <w:tc>
          <w:tcPr>
            <w:tcW w:w="1604"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年初结转和结余</w:t>
            </w: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29</w:t>
            </w:r>
          </w:p>
        </w:tc>
        <w:tc>
          <w:tcPr>
            <w:tcW w:w="1417" w:type="dxa"/>
            <w:tcBorders>
              <w:bottom w:val="single" w:color="000000" w:sz="4" w:space="0"/>
              <w:right w:val="single" w:color="000000" w:sz="4" w:space="0"/>
            </w:tcBorders>
            <w:shd w:val="clear" w:color="auto" w:fill="FFFFFF"/>
            <w:vAlign w:val="center"/>
          </w:tcPr>
          <w:p>
            <w:pPr>
              <w:jc w:val="right"/>
              <w:rPr>
                <w:rFonts w:hint="default" w:ascii="宋体" w:hAnsi="宋体" w:eastAsia="宋体" w:cs="宋体"/>
                <w:color w:val="000000"/>
                <w:sz w:val="15"/>
                <w:szCs w:val="16"/>
                <w:lang w:val="en-US" w:eastAsia="zh-CN"/>
              </w:rPr>
            </w:pPr>
            <w:r>
              <w:rPr>
                <w:rFonts w:hint="eastAsia" w:ascii="宋体" w:hAnsi="宋体" w:eastAsia="宋体" w:cs="宋体"/>
                <w:color w:val="000000"/>
                <w:sz w:val="15"/>
                <w:szCs w:val="16"/>
                <w:lang w:val="en-US" w:eastAsia="zh-CN"/>
              </w:rPr>
              <w:t>1035.94</w:t>
            </w:r>
          </w:p>
        </w:tc>
        <w:tc>
          <w:tcPr>
            <w:tcW w:w="2665" w:type="dxa"/>
            <w:tcBorders>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年末结转和结余</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60</w:t>
            </w:r>
          </w:p>
        </w:tc>
        <w:tc>
          <w:tcPr>
            <w:tcW w:w="1604" w:type="dxa"/>
            <w:tcBorders>
              <w:bottom w:val="single" w:color="000000" w:sz="4" w:space="0"/>
              <w:right w:val="single" w:color="000000" w:sz="4" w:space="0"/>
            </w:tcBorders>
            <w:shd w:val="clear" w:color="auto" w:fill="FFFFFF"/>
            <w:vAlign w:val="center"/>
          </w:tcPr>
          <w:p>
            <w:pPr>
              <w:jc w:val="right"/>
              <w:rPr>
                <w:rFonts w:hint="default" w:ascii="宋体" w:hAnsi="宋体" w:eastAsia="宋体" w:cs="宋体"/>
                <w:color w:val="000000"/>
                <w:sz w:val="15"/>
                <w:szCs w:val="16"/>
                <w:lang w:val="en-US" w:eastAsia="zh-CN"/>
              </w:rPr>
            </w:pPr>
            <w:r>
              <w:rPr>
                <w:rFonts w:hint="eastAsia" w:ascii="宋体" w:hAnsi="宋体" w:eastAsia="宋体" w:cs="宋体"/>
                <w:color w:val="000000"/>
                <w:sz w:val="15"/>
                <w:szCs w:val="16"/>
                <w:lang w:val="en-US" w:eastAsia="zh-CN"/>
              </w:rPr>
              <w:t>392.22</w:t>
            </w: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30</w:t>
            </w:r>
          </w:p>
        </w:tc>
        <w:tc>
          <w:tcPr>
            <w:tcW w:w="1417" w:type="dxa"/>
            <w:tcBorders>
              <w:bottom w:val="single" w:color="000000" w:sz="4" w:space="0"/>
              <w:right w:val="single" w:color="000000" w:sz="4" w:space="0"/>
            </w:tcBorders>
            <w:shd w:val="clear" w:color="auto" w:fill="FFFFFF"/>
            <w:vAlign w:val="center"/>
          </w:tcPr>
          <w:p>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61</w:t>
            </w:r>
          </w:p>
        </w:tc>
        <w:tc>
          <w:tcPr>
            <w:tcW w:w="1604" w:type="dxa"/>
            <w:tcBorders>
              <w:bottom w:val="single" w:color="000000" w:sz="4" w:space="0"/>
              <w:right w:val="single" w:color="000000" w:sz="4" w:space="0"/>
            </w:tcBorders>
            <w:shd w:val="clear" w:color="auto" w:fill="FFFFFF"/>
            <w:vAlign w:val="center"/>
          </w:tcPr>
          <w:p>
            <w:pPr>
              <w:jc w:val="left"/>
              <w:rPr>
                <w:rFonts w:ascii="宋体" w:hAnsi="宋体" w:eastAsia="宋体" w:cs="宋体"/>
                <w:color w:val="000000"/>
                <w:sz w:val="15"/>
                <w:szCs w:val="16"/>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eastAsia="宋体" w:cs="宋体"/>
                <w:b/>
                <w:color w:val="000000"/>
                <w:sz w:val="15"/>
                <w:szCs w:val="16"/>
              </w:rPr>
            </w:pPr>
            <w:r>
              <w:rPr>
                <w:rFonts w:hint="eastAsia" w:ascii="宋体" w:hAnsi="宋体" w:eastAsia="宋体" w:cs="宋体"/>
                <w:b/>
                <w:color w:val="000000"/>
                <w:kern w:val="0"/>
                <w:sz w:val="15"/>
                <w:szCs w:val="16"/>
                <w:lang w:bidi="ar"/>
              </w:rPr>
              <w:t>总计</w:t>
            </w:r>
          </w:p>
        </w:tc>
        <w:tc>
          <w:tcPr>
            <w:tcW w:w="425" w:type="dxa"/>
            <w:gridSpan w:val="2"/>
            <w:tcBorders>
              <w:bottom w:val="single" w:color="000000" w:sz="18"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31</w:t>
            </w:r>
          </w:p>
        </w:tc>
        <w:tc>
          <w:tcPr>
            <w:tcW w:w="1417" w:type="dxa"/>
            <w:tcBorders>
              <w:bottom w:val="single" w:color="000000" w:sz="4" w:space="0"/>
              <w:right w:val="single" w:color="000000" w:sz="4" w:space="0"/>
            </w:tcBorders>
            <w:shd w:val="clear" w:color="auto" w:fill="FFFFFF"/>
            <w:vAlign w:val="center"/>
          </w:tcPr>
          <w:p>
            <w:pPr>
              <w:jc w:val="right"/>
              <w:rPr>
                <w:rFonts w:hint="default" w:ascii="宋体" w:hAnsi="宋体" w:eastAsia="宋体" w:cs="宋体"/>
                <w:color w:val="000000"/>
                <w:sz w:val="15"/>
                <w:szCs w:val="16"/>
                <w:lang w:val="en-US" w:eastAsia="zh-CN"/>
              </w:rPr>
            </w:pPr>
            <w:r>
              <w:rPr>
                <w:rFonts w:hint="eastAsia" w:ascii="宋体" w:hAnsi="宋体" w:eastAsia="宋体" w:cs="宋体"/>
                <w:color w:val="000000"/>
                <w:sz w:val="15"/>
                <w:szCs w:val="16"/>
                <w:lang w:val="en-US" w:eastAsia="zh-CN"/>
              </w:rPr>
              <w:t>6311.04</w:t>
            </w:r>
          </w:p>
        </w:tc>
        <w:tc>
          <w:tcPr>
            <w:tcW w:w="2665" w:type="dxa"/>
            <w:tcBorders>
              <w:bottom w:val="single" w:color="000000" w:sz="4" w:space="0"/>
              <w:right w:val="single" w:color="000000" w:sz="4" w:space="0"/>
            </w:tcBorders>
            <w:shd w:val="clear" w:color="auto" w:fill="FFFFFF"/>
            <w:vAlign w:val="center"/>
          </w:tcPr>
          <w:p>
            <w:pPr>
              <w:widowControl/>
              <w:textAlignment w:val="center"/>
              <w:rPr>
                <w:rFonts w:ascii="宋体" w:hAnsi="宋体" w:eastAsia="宋体" w:cs="宋体"/>
                <w:b/>
                <w:color w:val="000000"/>
                <w:sz w:val="15"/>
                <w:szCs w:val="16"/>
              </w:rPr>
            </w:pPr>
            <w:r>
              <w:rPr>
                <w:rFonts w:hint="eastAsia" w:ascii="宋体" w:hAnsi="宋体" w:eastAsia="宋体" w:cs="宋体"/>
                <w:b/>
                <w:color w:val="000000"/>
                <w:kern w:val="0"/>
                <w:sz w:val="15"/>
                <w:szCs w:val="16"/>
                <w:lang w:bidi="ar"/>
              </w:rPr>
              <w:t>总计</w:t>
            </w:r>
          </w:p>
        </w:tc>
        <w:tc>
          <w:tcPr>
            <w:tcW w:w="432" w:type="dxa"/>
            <w:tcBorders>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62</w:t>
            </w:r>
          </w:p>
        </w:tc>
        <w:tc>
          <w:tcPr>
            <w:tcW w:w="1604" w:type="dxa"/>
            <w:tcBorders>
              <w:bottom w:val="single" w:color="000000" w:sz="4" w:space="0"/>
              <w:right w:val="single" w:color="000000" w:sz="4" w:space="0"/>
            </w:tcBorders>
            <w:shd w:val="clear" w:color="auto" w:fill="FFFFFF"/>
            <w:vAlign w:val="center"/>
          </w:tcPr>
          <w:p>
            <w:pPr>
              <w:jc w:val="right"/>
              <w:rPr>
                <w:rFonts w:hint="default" w:ascii="宋体" w:hAnsi="宋体" w:eastAsia="宋体" w:cs="宋体"/>
                <w:color w:val="000000"/>
                <w:sz w:val="15"/>
                <w:szCs w:val="16"/>
                <w:lang w:val="en-US" w:eastAsia="zh-CN"/>
              </w:rPr>
            </w:pPr>
            <w:r>
              <w:rPr>
                <w:rFonts w:hint="eastAsia" w:ascii="宋体" w:hAnsi="宋体" w:eastAsia="宋体" w:cs="宋体"/>
                <w:color w:val="000000"/>
                <w:sz w:val="15"/>
                <w:szCs w:val="16"/>
                <w:lang w:val="en-US" w:eastAsia="zh-CN"/>
              </w:rPr>
              <w:t>6311.04</w:t>
            </w:r>
          </w:p>
        </w:tc>
      </w:tr>
      <w:tr>
        <w:tblPrEx>
          <w:tblCellMar>
            <w:top w:w="15" w:type="dxa"/>
            <w:left w:w="15" w:type="dxa"/>
            <w:bottom w:w="15" w:type="dxa"/>
            <w:right w:w="15" w:type="dxa"/>
          </w:tblCellMar>
        </w:tblPrEx>
        <w:trPr>
          <w:trHeight w:val="340" w:hRule="exact"/>
        </w:trPr>
        <w:tc>
          <w:tcPr>
            <w:tcW w:w="9252" w:type="dxa"/>
            <w:gridSpan w:val="8"/>
            <w:shd w:val="clear" w:color="auto" w:fill="FFFFFF"/>
            <w:vAlign w:val="center"/>
          </w:tcPr>
          <w:p>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lang w:bidi="ar"/>
              </w:rPr>
              <w:t>注：本表反映部门（或单位）本年度的总收支和年末结转结余情况。本套报表金额单位转换时可能存在尾数误差。</w:t>
            </w:r>
          </w:p>
        </w:tc>
      </w:tr>
    </w:tbl>
    <w:p>
      <w:pPr>
        <w:spacing w:line="400" w:lineRule="exact"/>
        <w:jc w:val="center"/>
        <w:rPr>
          <w:rFonts w:ascii="黑体" w:hAnsi="宋体" w:eastAsia="黑体" w:cs="黑体"/>
          <w:color w:val="000000"/>
          <w:kern w:val="0"/>
          <w:sz w:val="28"/>
          <w:szCs w:val="28"/>
          <w:lang w:bidi="ar"/>
        </w:rPr>
      </w:pPr>
    </w:p>
    <w:p>
      <w:pPr>
        <w:rPr>
          <w:rFonts w:ascii="黑体" w:hAnsi="宋体" w:eastAsia="黑体" w:cs="黑体"/>
          <w:color w:val="000000"/>
          <w:kern w:val="0"/>
          <w:sz w:val="28"/>
          <w:szCs w:val="28"/>
          <w:lang w:bidi="ar"/>
        </w:rPr>
        <w:sectPr>
          <w:pgSz w:w="11906" w:h="16838"/>
          <w:pgMar w:top="2098" w:right="1531" w:bottom="1984" w:left="1531" w:header="851" w:footer="992" w:gutter="0"/>
          <w:cols w:space="425" w:num="1"/>
          <w:docGrid w:type="lines" w:linePitch="312" w:charSpace="0"/>
        </w:sectPr>
      </w:pPr>
      <w:r>
        <w:rPr>
          <w:rFonts w:ascii="黑体" w:hAnsi="宋体" w:eastAsia="黑体" w:cs="黑体"/>
          <w:color w:val="000000"/>
          <w:kern w:val="0"/>
          <w:sz w:val="28"/>
          <w:szCs w:val="28"/>
          <w:lang w:bidi="ar"/>
        </w:rPr>
        <w:br w:type="page"/>
      </w:r>
    </w:p>
    <w:tbl>
      <w:tblPr>
        <w:tblStyle w:val="7"/>
        <w:tblW w:w="1278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329"/>
        <w:gridCol w:w="240"/>
        <w:gridCol w:w="240"/>
        <w:gridCol w:w="3089"/>
        <w:gridCol w:w="1545"/>
        <w:gridCol w:w="1095"/>
        <w:gridCol w:w="960"/>
        <w:gridCol w:w="1005"/>
        <w:gridCol w:w="885"/>
        <w:gridCol w:w="1176"/>
        <w:gridCol w:w="122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0" w:hRule="atLeast"/>
        </w:trPr>
        <w:tc>
          <w:tcPr>
            <w:tcW w:w="1329"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000000"/>
                <w:sz w:val="20"/>
                <w:szCs w:val="20"/>
                <w:u w:val="none"/>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3089"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4605" w:type="dxa"/>
            <w:gridSpan w:val="4"/>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收入决算表</w:t>
            </w:r>
          </w:p>
        </w:tc>
        <w:tc>
          <w:tcPr>
            <w:tcW w:w="88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17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2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1329"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3089"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54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9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96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0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88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17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22"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4898" w:type="dxa"/>
            <w:gridSpan w:val="4"/>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部门：石家庄市鹿泉区民政局（本级）</w:t>
            </w:r>
          </w:p>
        </w:tc>
        <w:tc>
          <w:tcPr>
            <w:tcW w:w="154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9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96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0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88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398" w:type="dxa"/>
            <w:gridSpan w:val="2"/>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898" w:type="dxa"/>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54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本年收入合计</w:t>
            </w:r>
          </w:p>
        </w:tc>
        <w:tc>
          <w:tcPr>
            <w:tcW w:w="109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财政拨款收入</w:t>
            </w:r>
          </w:p>
        </w:tc>
        <w:tc>
          <w:tcPr>
            <w:tcW w:w="96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上级补助收入</w:t>
            </w:r>
          </w:p>
        </w:tc>
        <w:tc>
          <w:tcPr>
            <w:tcW w:w="100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事业收入</w:t>
            </w:r>
          </w:p>
        </w:tc>
        <w:tc>
          <w:tcPr>
            <w:tcW w:w="88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经营收入</w:t>
            </w:r>
          </w:p>
        </w:tc>
        <w:tc>
          <w:tcPr>
            <w:tcW w:w="1176"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附属单位上缴收入</w:t>
            </w:r>
          </w:p>
        </w:tc>
        <w:tc>
          <w:tcPr>
            <w:tcW w:w="1222"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3089" w:type="dxa"/>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54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9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8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7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809"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089"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4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9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8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7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089"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4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9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8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7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898" w:type="dxa"/>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5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0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96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00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88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17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22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898" w:type="dxa"/>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5,275.10</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5,221.95</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53.15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4,475.84</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4,422.69</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民政管理事务</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787.80</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771.66</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2080201</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613.00</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596.86</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2080202</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71.60</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71.60</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2080207</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行政区划和地名管理</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9.98</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9.98</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2080208</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基层政权建设和社区治理</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75.32</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75.32</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2080299</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其他民政管理事务支出</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17.91</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17.91</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行政事业单位养老支出</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24.60</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24.60</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2080505</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24.60</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24.60</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20808</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抚恤</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7.50</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7.50</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2080802</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伤残抚恤</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7.50</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7.50</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退役安置</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48.31</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48.31</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2080901</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退役士兵安置</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48.31</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48.31</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20810</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社会福利</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936.08</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936.08</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2081002</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老年福利</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899.81</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899.81</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2081005</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社会福利事业单位</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36.27</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36.27</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20811</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残疾人事业</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425.26</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425.26</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2081107</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残疾人生活和护理补贴</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425.26</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425.26</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20819</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最低生活保障</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1,254.00</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1,234.42</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2081901</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城市最低生活保障金支出</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14.00</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14.00</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2081902</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农村最低生活保障金支出</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1,240.00</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1,220.42</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20820</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临时救助</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101.85</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101.85</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2082001</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临时救助支出</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32.25</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32.25</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2082002</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流浪乞讨人员救助支出</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69.60</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69.60</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20821</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特困人员救助供养</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873.00</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873.00</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2082102</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农村特困人员救助供养支出</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873.00</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873.00</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20899</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其他社会保障和就业支出</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17.43</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2089901</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其他社会保障和就业支出</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17.43</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22.90</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22.90</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22.90</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22.90</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2101101</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行政单位医疗</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22.90</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22.90</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413.00</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413.00</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21305</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扶贫</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413.00</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413.00</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2130506</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社会发展</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3.00</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3.00</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2130599</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其他扶贫支出</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410.00</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410.00</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住房保障支出</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26.41</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26.41</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住房改革支出</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26.41</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26.41</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2210201</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26.41</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26.41</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其他支出</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336.94</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336.94</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22960</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彩票公益金安排的支出</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336.94</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336.94</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2296001</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用于补充全国社会保障基金的彩票公益金支出</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0.74</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0.74</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2296002</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用于社会福利的彩票公益金支出</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323.90</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323.90</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8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2296099</w:t>
            </w:r>
          </w:p>
        </w:tc>
        <w:tc>
          <w:tcPr>
            <w:tcW w:w="30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用于其他社会公益事业的彩票公益金支出</w:t>
            </w:r>
          </w:p>
        </w:tc>
        <w:tc>
          <w:tcPr>
            <w:tcW w:w="1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12.31</w:t>
            </w: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12.31</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2786" w:type="dxa"/>
            <w:gridSpan w:val="11"/>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注：本表反映部门本年度取得的各项收入情况。</w:t>
            </w:r>
          </w:p>
        </w:tc>
      </w:tr>
    </w:tbl>
    <w:p>
      <w:pPr>
        <w:spacing w:line="400" w:lineRule="exact"/>
        <w:jc w:val="both"/>
        <w:rPr>
          <w:rFonts w:ascii="黑体" w:hAnsi="宋体" w:eastAsia="黑体" w:cs="黑体"/>
          <w:color w:val="000000"/>
          <w:kern w:val="0"/>
          <w:sz w:val="28"/>
          <w:szCs w:val="28"/>
          <w:lang w:bidi="ar"/>
        </w:rPr>
        <w:sectPr>
          <w:pgSz w:w="16838" w:h="11906" w:orient="landscape"/>
          <w:pgMar w:top="1531" w:right="2098" w:bottom="1531" w:left="1984" w:header="851" w:footer="992" w:gutter="0"/>
          <w:cols w:space="425" w:num="1"/>
          <w:docGrid w:type="lines" w:linePitch="312" w:charSpace="0"/>
        </w:sectPr>
      </w:pPr>
    </w:p>
    <w:tbl>
      <w:tblPr>
        <w:tblStyle w:val="7"/>
        <w:tblW w:w="1278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968"/>
        <w:gridCol w:w="301"/>
        <w:gridCol w:w="240"/>
        <w:gridCol w:w="2760"/>
        <w:gridCol w:w="1650"/>
        <w:gridCol w:w="1275"/>
        <w:gridCol w:w="1455"/>
        <w:gridCol w:w="1155"/>
        <w:gridCol w:w="1245"/>
        <w:gridCol w:w="173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0" w:hRule="atLeast"/>
        </w:trPr>
        <w:tc>
          <w:tcPr>
            <w:tcW w:w="968"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000000"/>
                <w:sz w:val="20"/>
                <w:szCs w:val="20"/>
                <w:u w:val="none"/>
              </w:rPr>
            </w:pPr>
          </w:p>
        </w:tc>
        <w:tc>
          <w:tcPr>
            <w:tcW w:w="30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76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4380" w:type="dxa"/>
            <w:gridSpan w:val="3"/>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支出决算表</w:t>
            </w:r>
          </w:p>
        </w:tc>
        <w:tc>
          <w:tcPr>
            <w:tcW w:w="115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4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73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96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30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76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65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7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45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15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4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737"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公开03表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5919" w:type="dxa"/>
            <w:gridSpan w:val="5"/>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部门：石家庄市鹿泉区民政局（本级）</w:t>
            </w:r>
          </w:p>
        </w:tc>
        <w:tc>
          <w:tcPr>
            <w:tcW w:w="127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45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15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4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737"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4269" w:type="dxa"/>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65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本年支出合计</w:t>
            </w:r>
          </w:p>
        </w:tc>
        <w:tc>
          <w:tcPr>
            <w:tcW w:w="127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45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c>
          <w:tcPr>
            <w:tcW w:w="115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上缴上级支出</w:t>
            </w:r>
          </w:p>
        </w:tc>
        <w:tc>
          <w:tcPr>
            <w:tcW w:w="124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经营支出</w:t>
            </w:r>
          </w:p>
        </w:tc>
        <w:tc>
          <w:tcPr>
            <w:tcW w:w="1737"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509"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2760" w:type="dxa"/>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65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5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5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4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3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760"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5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5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5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4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3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760"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5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45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5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4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3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4269" w:type="dxa"/>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6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27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4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1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2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73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4269" w:type="dxa"/>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5,918.82</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719.64</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5,199.18</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5,138.28</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667.01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4,471.28</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民政管理事务</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814.33</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639.53</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174.80</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2080201</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639.53</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639.53</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2080202</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71.60</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71.60</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2080207</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行政区划和地名管理</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9.98</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9.98</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2080208</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基层政权建设和社区治理</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75.32</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75.32</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2080299</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其他民政管理事务支出</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17.91</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17.91</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行政事业单位养老支出</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27.48</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27.48</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2080505</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27.48</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27.48</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20808</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抚恤</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7.50</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7.50</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2080802</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伤残抚恤</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7.50</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7.50</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退役安置</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48.31</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48.31</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2080901</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退役士兵安置</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48.31</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48.31</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20810</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社会福利</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1,070.97</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1,070.97</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2081001</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儿童福利</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16.16</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16.16</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2081002</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老年福利</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1,008.54</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1,008.54</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2081005</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社会福利事业单位</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46.27</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46.27</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20811</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残疾人事业</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470.92</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470.92</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2081107</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残疾人生活和护理补贴</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312.97</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312.97</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2081199</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其他残疾人事业支出</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157.95</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157.95</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20819</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最低生活保障</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1,504.00</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1,504.00</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2081901</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城市最低生活保障金支出</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14.00</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14.00</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2081902</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农村最低生活保障金支出</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1,490.00</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1,490.00</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20820</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临时救助</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115.84</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115.84</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2082001</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临时救助支出</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52.45</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52.45</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2082002</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流浪乞讨人员救助支出</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63.39</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63.39</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20821</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特困人员救助供养</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1,061.50</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1,061.50</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2082101</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城市特困人员救助供养支出</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148.00</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148.00</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2082102</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农村特困人员救助供养支出</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913.50</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913.50</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20899</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其他社会保障和就业支出</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17.43</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17.43</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2089901</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其他社会保障和就业支出</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17.43</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17.43</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25.52</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25.52</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25.52</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25.52</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2101101</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行政单位医疗</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25.52</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25.52</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413.00</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413.00</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21305</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扶贫</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413.00</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413.00</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2130506</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社会发展</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3.00</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3.00</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2130599</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其他扶贫支出</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410.00</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410.00</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住房保障支出</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27.12</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27.12</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住房改革支出</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27.12</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27.12</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2210201</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27.12</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27.12</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其他支出</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314.90</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314.90</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22960</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彩票公益金安排的支出</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314.90</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314.90</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2296001</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用于补充全国社会保障基金的彩票公益金支出</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0.74</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0.74</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2296002</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用于社会福利的彩票公益金支出</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301.86</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301.86</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50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2296099</w:t>
            </w:r>
          </w:p>
        </w:tc>
        <w:tc>
          <w:tcPr>
            <w:tcW w:w="27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用于其他社会公益事业的彩票公益金支出</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12.31</w:t>
            </w:r>
          </w:p>
        </w:tc>
        <w:tc>
          <w:tcPr>
            <w:tcW w:w="12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12.31</w:t>
            </w:r>
          </w:p>
        </w:tc>
        <w:tc>
          <w:tcPr>
            <w:tcW w:w="11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2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2786" w:type="dxa"/>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注：本表反映部门本年度各项支出情况。</w:t>
            </w:r>
          </w:p>
        </w:tc>
      </w:tr>
    </w:tbl>
    <w:p>
      <w:pPr>
        <w:rPr>
          <w:rFonts w:hint="eastAsia" w:ascii="Arial" w:hAnsi="Arial" w:cs="Arial"/>
          <w:i w:val="0"/>
          <w:color w:val="000000"/>
          <w:sz w:val="20"/>
          <w:szCs w:val="20"/>
          <w:u w:val="none"/>
        </w:rPr>
        <w:sectPr>
          <w:pgSz w:w="16838" w:h="11906" w:orient="landscape"/>
          <w:pgMar w:top="1531" w:right="2098" w:bottom="1531" w:left="1984" w:header="851" w:footer="992" w:gutter="0"/>
          <w:cols w:space="425" w:num="1"/>
          <w:docGrid w:type="lines" w:linePitch="312" w:charSpace="0"/>
        </w:sectPr>
      </w:pPr>
      <w:r>
        <w:rPr>
          <w:rFonts w:hint="eastAsia" w:ascii="Arial" w:hAnsi="Arial" w:cs="Arial"/>
          <w:i w:val="0"/>
          <w:color w:val="000000"/>
          <w:sz w:val="20"/>
          <w:szCs w:val="20"/>
          <w:u w:val="none"/>
        </w:rPr>
        <w:br w:type="page"/>
      </w:r>
    </w:p>
    <w:p>
      <w:pPr>
        <w:rPr>
          <w:rFonts w:hint="eastAsia" w:ascii="Arial" w:hAnsi="Arial" w:cs="Arial"/>
          <w:i w:val="0"/>
          <w:color w:val="000000"/>
          <w:sz w:val="20"/>
          <w:szCs w:val="20"/>
          <w:u w:val="none"/>
        </w:rPr>
      </w:pPr>
    </w:p>
    <w:tbl>
      <w:tblPr>
        <w:tblStyle w:val="7"/>
        <w:tblW w:w="10000" w:type="dxa"/>
        <w:jc w:val="center"/>
        <w:tblLayout w:type="fixed"/>
        <w:tblCellMar>
          <w:top w:w="0" w:type="dxa"/>
          <w:left w:w="0" w:type="dxa"/>
          <w:bottom w:w="0" w:type="dxa"/>
          <w:right w:w="0" w:type="dxa"/>
        </w:tblCellMar>
      </w:tblPr>
      <w:tblGrid>
        <w:gridCol w:w="10000"/>
      </w:tblGrid>
      <w:tr>
        <w:tblPrEx>
          <w:tblCellMar>
            <w:top w:w="0" w:type="dxa"/>
            <w:left w:w="0" w:type="dxa"/>
            <w:bottom w:w="0" w:type="dxa"/>
            <w:right w:w="0" w:type="dxa"/>
          </w:tblCellMar>
        </w:tblPrEx>
        <w:trPr>
          <w:trHeight w:val="2761" w:hRule="atLeast"/>
          <w:jc w:val="center"/>
        </w:trPr>
        <w:tc>
          <w:tcPr>
            <w:tcW w:w="10000" w:type="dxa"/>
            <w:tcBorders>
              <w:top w:val="nil"/>
              <w:left w:val="nil"/>
              <w:bottom w:val="nil"/>
              <w:right w:val="nil"/>
            </w:tcBorders>
            <w:shd w:val="clear" w:color="auto" w:fill="auto"/>
            <w:tcMar>
              <w:top w:w="15" w:type="dxa"/>
              <w:left w:w="15" w:type="dxa"/>
              <w:right w:w="15" w:type="dxa"/>
            </w:tcMar>
            <w:vAlign w:val="center"/>
          </w:tcPr>
          <w:tbl>
            <w:tblPr>
              <w:tblStyle w:val="7"/>
              <w:tblpPr w:leftFromText="180" w:rightFromText="180" w:vertAnchor="text" w:horzAnchor="page" w:tblpX="315" w:tblpY="345"/>
              <w:tblOverlap w:val="never"/>
              <w:tblW w:w="886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380"/>
              <w:gridCol w:w="660"/>
              <w:gridCol w:w="936"/>
              <w:gridCol w:w="240"/>
              <w:gridCol w:w="1656"/>
              <w:gridCol w:w="573"/>
              <w:gridCol w:w="985"/>
              <w:gridCol w:w="960"/>
              <w:gridCol w:w="587"/>
              <w:gridCol w:w="5"/>
              <w:gridCol w:w="874"/>
              <w:gridCol w:w="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5" w:type="dxa"/>
                <w:trHeight w:val="390" w:hRule="atLeast"/>
              </w:trPr>
              <w:tc>
                <w:tcPr>
                  <w:tcW w:w="1380"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000000"/>
                      <w:sz w:val="20"/>
                      <w:szCs w:val="20"/>
                      <w:u w:val="none"/>
                    </w:rPr>
                  </w:pPr>
                </w:p>
              </w:tc>
              <w:tc>
                <w:tcPr>
                  <w:tcW w:w="6010" w:type="dxa"/>
                  <w:gridSpan w:val="7"/>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财政拨款收入支出决算总表</w:t>
                  </w:r>
                </w:p>
              </w:tc>
              <w:tc>
                <w:tcPr>
                  <w:tcW w:w="58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879"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 w:type="dxa"/>
                <w:trHeight w:val="255" w:hRule="atLeast"/>
              </w:trPr>
              <w:tc>
                <w:tcPr>
                  <w:tcW w:w="138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596"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65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57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98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96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466" w:type="dxa"/>
                  <w:gridSpan w:val="3"/>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5" w:type="dxa"/>
                <w:trHeight w:val="255" w:hRule="atLeast"/>
              </w:trPr>
              <w:tc>
                <w:tcPr>
                  <w:tcW w:w="4872" w:type="dxa"/>
                  <w:gridSpan w:val="5"/>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部门：石家庄市鹿泉区民政局（本级）</w:t>
                  </w:r>
                </w:p>
              </w:tc>
              <w:tc>
                <w:tcPr>
                  <w:tcW w:w="57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98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426" w:type="dxa"/>
                  <w:gridSpan w:val="4"/>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216" w:type="dxa"/>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     入</w:t>
                  </w:r>
                </w:p>
              </w:tc>
              <w:tc>
                <w:tcPr>
                  <w:tcW w:w="5645" w:type="dxa"/>
                  <w:gridSpan w:val="8"/>
                  <w:tcBorders>
                    <w:top w:val="single" w:color="000000" w:sz="4" w:space="0"/>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     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2" w:hRule="atLeast"/>
              </w:trPr>
              <w:tc>
                <w:tcPr>
                  <w:tcW w:w="1380"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66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1176" w:type="dxa"/>
                  <w:gridSpan w:val="2"/>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c>
                <w:tcPr>
                  <w:tcW w:w="1656"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573"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985" w:type="dxa"/>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96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一般公共预算财政拨款</w:t>
                  </w:r>
                </w:p>
              </w:tc>
              <w:tc>
                <w:tcPr>
                  <w:tcW w:w="592" w:type="dxa"/>
                  <w:gridSpan w:val="2"/>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政府性基金预算财政拨款</w:t>
                  </w:r>
                </w:p>
              </w:tc>
              <w:tc>
                <w:tcPr>
                  <w:tcW w:w="879" w:type="dxa"/>
                  <w:gridSpan w:val="2"/>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trPr>
              <w:tc>
                <w:tcPr>
                  <w:tcW w:w="1380"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6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76" w:type="dxa"/>
                  <w:gridSpan w:val="2"/>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56"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7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5"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92" w:type="dxa"/>
                  <w:gridSpan w:val="2"/>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9" w:type="dxa"/>
                  <w:gridSpan w:val="2"/>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6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76" w:type="dxa"/>
                  <w:gridSpan w:val="2"/>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9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592" w:type="dxa"/>
                  <w:gridSpan w:val="2"/>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879" w:type="dxa"/>
                  <w:gridSpan w:val="2"/>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一、一般公共预算财政拨款</w:t>
                  </w:r>
                </w:p>
              </w:tc>
              <w:tc>
                <w:tcPr>
                  <w:tcW w:w="6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1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4,885.00</w:t>
                  </w: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一、一般公共服务支出</w:t>
                  </w: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5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二、政府性基金预算财政拨款</w:t>
                  </w:r>
                </w:p>
              </w:tc>
              <w:tc>
                <w:tcPr>
                  <w:tcW w:w="6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1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336.94</w:t>
                  </w: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二、外交支出</w:t>
                  </w: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5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三、国有资本经营财政拨款</w:t>
                  </w:r>
                </w:p>
              </w:tc>
              <w:tc>
                <w:tcPr>
                  <w:tcW w:w="6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1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三、国防支出</w:t>
                  </w: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5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1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四、公共安全支出</w:t>
                  </w: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5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1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五、教育支出</w:t>
                  </w: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5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1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六、科学技术支出</w:t>
                  </w: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5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1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七、文化旅游体育与传媒支出</w:t>
                  </w: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5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1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八、社会保障和就业支出</w:t>
                  </w: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5,085.13</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5,085.13</w:t>
                  </w:r>
                </w:p>
              </w:tc>
              <w:tc>
                <w:tcPr>
                  <w:tcW w:w="5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11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九、卫生健康支出</w:t>
                  </w: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25.52</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25.52</w:t>
                  </w:r>
                </w:p>
              </w:tc>
              <w:tc>
                <w:tcPr>
                  <w:tcW w:w="5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十、节能环保支出</w:t>
                  </w: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5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11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十一、城乡社区支出</w:t>
                  </w: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5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11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十二、农林水支出</w:t>
                  </w: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413.00</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413.00</w:t>
                  </w:r>
                </w:p>
              </w:tc>
              <w:tc>
                <w:tcPr>
                  <w:tcW w:w="5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w:t>
                  </w:r>
                </w:p>
              </w:tc>
              <w:tc>
                <w:tcPr>
                  <w:tcW w:w="11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十三、交通运输支出</w:t>
                  </w: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45</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5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11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十四、资源勘探工业信息等支出</w:t>
                  </w: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5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1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十五、商业服务业等支出</w:t>
                  </w: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5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11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十六、金融支出</w:t>
                  </w: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5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11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十七、援助其他地区支出</w:t>
                  </w: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5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1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十八、自然资源海洋气象等支出</w:t>
                  </w: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5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11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十九、住房保障支出</w:t>
                  </w: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27.12</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27.12</w:t>
                  </w:r>
                </w:p>
              </w:tc>
              <w:tc>
                <w:tcPr>
                  <w:tcW w:w="5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1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二十、粮油物资储备支出</w:t>
                  </w: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5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w:t>
                  </w:r>
                </w:p>
              </w:tc>
              <w:tc>
                <w:tcPr>
                  <w:tcW w:w="11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二十一、国有资本经营预算支出</w:t>
                  </w: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5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w:t>
                  </w:r>
                </w:p>
              </w:tc>
              <w:tc>
                <w:tcPr>
                  <w:tcW w:w="11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二十二、灾害防治及应急管理支出</w:t>
                  </w: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5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w:t>
                  </w:r>
                </w:p>
              </w:tc>
              <w:tc>
                <w:tcPr>
                  <w:tcW w:w="11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二十三、其他支出</w:t>
                  </w: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314.90</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5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314.90</w:t>
                  </w:r>
                </w:p>
              </w:tc>
              <w:tc>
                <w:tcPr>
                  <w:tcW w:w="8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6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w:t>
                  </w:r>
                </w:p>
              </w:tc>
              <w:tc>
                <w:tcPr>
                  <w:tcW w:w="11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二十四、债务还本支出</w:t>
                  </w: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5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6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11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二十五、债务付息支出</w:t>
                  </w: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57</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5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6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w:t>
                  </w:r>
                </w:p>
              </w:tc>
              <w:tc>
                <w:tcPr>
                  <w:tcW w:w="11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二十六、抗疫特别国债安排的支出</w:t>
                  </w: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5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8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本年收入合计</w:t>
                  </w:r>
                </w:p>
              </w:tc>
              <w:tc>
                <w:tcPr>
                  <w:tcW w:w="6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11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5,221.95</w:t>
                  </w: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本年支出合计</w:t>
                  </w: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59</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5,865.67</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5,550.77</w:t>
                  </w:r>
                </w:p>
              </w:tc>
              <w:tc>
                <w:tcPr>
                  <w:tcW w:w="5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314.90</w:t>
                  </w:r>
                </w:p>
              </w:tc>
              <w:tc>
                <w:tcPr>
                  <w:tcW w:w="8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年初财政拨款结转和结余</w:t>
                  </w:r>
                </w:p>
              </w:tc>
              <w:tc>
                <w:tcPr>
                  <w:tcW w:w="6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w:t>
                  </w:r>
                </w:p>
              </w:tc>
              <w:tc>
                <w:tcPr>
                  <w:tcW w:w="11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1,035.94</w:t>
                  </w: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年末财政拨款结转和结余</w:t>
                  </w: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392.22</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227.84</w:t>
                  </w:r>
                </w:p>
              </w:tc>
              <w:tc>
                <w:tcPr>
                  <w:tcW w:w="5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164.37</w:t>
                  </w:r>
                </w:p>
              </w:tc>
              <w:tc>
                <w:tcPr>
                  <w:tcW w:w="8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一般公共预算财政拨款</w:t>
                  </w:r>
                </w:p>
              </w:tc>
              <w:tc>
                <w:tcPr>
                  <w:tcW w:w="6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w:t>
                  </w:r>
                </w:p>
              </w:tc>
              <w:tc>
                <w:tcPr>
                  <w:tcW w:w="11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893.61</w:t>
                  </w: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5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8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政府性基金预算财政拨款</w:t>
                  </w:r>
                </w:p>
              </w:tc>
              <w:tc>
                <w:tcPr>
                  <w:tcW w:w="6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11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142.33</w:t>
                  </w: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62</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5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8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国有资本经营预算财政拨款</w:t>
                  </w:r>
                </w:p>
              </w:tc>
              <w:tc>
                <w:tcPr>
                  <w:tcW w:w="6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w:t>
                  </w:r>
                </w:p>
              </w:tc>
              <w:tc>
                <w:tcPr>
                  <w:tcW w:w="11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5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8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80"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660" w:type="dxa"/>
                  <w:tcBorders>
                    <w:top w:val="nil"/>
                    <w:left w:val="nil"/>
                    <w:bottom w:val="single" w:color="000000" w:sz="8"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11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6,257.89</w:t>
                  </w:r>
                </w:p>
              </w:tc>
              <w:tc>
                <w:tcPr>
                  <w:tcW w:w="165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5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6,257.89</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5,778.62</w:t>
                  </w:r>
                </w:p>
              </w:tc>
              <w:tc>
                <w:tcPr>
                  <w:tcW w:w="5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479.27</w:t>
                  </w:r>
                </w:p>
              </w:tc>
              <w:tc>
                <w:tcPr>
                  <w:tcW w:w="8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5" w:type="dxa"/>
                <w:trHeight w:val="308" w:hRule="atLeast"/>
              </w:trPr>
              <w:tc>
                <w:tcPr>
                  <w:tcW w:w="7977" w:type="dxa"/>
                  <w:gridSpan w:val="9"/>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注：本表反映部门本年度一般公共预算财政拨款、政府性基金预算财政拨款和国有资本经营预算财政拨款的总收支和年末结转结余情况。</w:t>
                  </w:r>
                </w:p>
              </w:tc>
              <w:tc>
                <w:tcPr>
                  <w:tcW w:w="879" w:type="dxa"/>
                  <w:gridSpan w:val="2"/>
                  <w:tcBorders>
                    <w:top w:val="nil"/>
                    <w:left w:val="nil"/>
                    <w:bottom w:val="nil"/>
                    <w:right w:val="nil"/>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bl>
          <w:p>
            <w:pPr>
              <w:widowControl/>
              <w:jc w:val="center"/>
              <w:textAlignment w:val="center"/>
              <w:rPr>
                <w:rFonts w:hint="eastAsia" w:ascii="黑体" w:hAnsi="宋体" w:eastAsia="黑体" w:cs="黑体"/>
                <w:color w:val="000000"/>
                <w:kern w:val="0"/>
                <w:sz w:val="28"/>
                <w:szCs w:val="28"/>
                <w:lang w:bidi="ar"/>
              </w:rPr>
            </w:pPr>
          </w:p>
          <w:p>
            <w:pPr>
              <w:widowControl/>
              <w:jc w:val="center"/>
              <w:textAlignment w:val="center"/>
              <w:rPr>
                <w:rFonts w:ascii="黑体" w:hAnsi="宋体" w:eastAsia="黑体" w:cs="黑体"/>
                <w:color w:val="000000"/>
                <w:sz w:val="28"/>
                <w:szCs w:val="28"/>
              </w:rPr>
            </w:pPr>
          </w:p>
        </w:tc>
      </w:tr>
    </w:tbl>
    <w:p>
      <w:r>
        <w:br w:type="page"/>
      </w:r>
    </w:p>
    <w:p/>
    <w:tbl>
      <w:tblPr>
        <w:tblStyle w:val="7"/>
        <w:tblW w:w="88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873"/>
        <w:gridCol w:w="240"/>
        <w:gridCol w:w="240"/>
        <w:gridCol w:w="3558"/>
        <w:gridCol w:w="1230"/>
        <w:gridCol w:w="1350"/>
        <w:gridCol w:w="138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0" w:hRule="atLeast"/>
        </w:trPr>
        <w:tc>
          <w:tcPr>
            <w:tcW w:w="873"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000000"/>
                <w:sz w:val="20"/>
                <w:szCs w:val="20"/>
                <w:u w:val="none"/>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6138" w:type="dxa"/>
            <w:gridSpan w:val="3"/>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一般公共预算财政拨款支出决算表</w:t>
            </w:r>
          </w:p>
        </w:tc>
        <w:tc>
          <w:tcPr>
            <w:tcW w:w="138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87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355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3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35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383"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公开05表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4911" w:type="dxa"/>
            <w:gridSpan w:val="4"/>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部门：石家庄市鹿泉区民政局（本级）</w:t>
            </w:r>
          </w:p>
        </w:tc>
        <w:tc>
          <w:tcPr>
            <w:tcW w:w="123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35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383"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911" w:type="dxa"/>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3963"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53"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3558" w:type="dxa"/>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23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35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383"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trPr>
        <w:tc>
          <w:tcPr>
            <w:tcW w:w="1353"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558"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3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5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8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53"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558"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3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5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8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4911" w:type="dxa"/>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23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3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38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4911" w:type="dxa"/>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5,550.77</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703.50</w:t>
            </w: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4,847.27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社会保障和就业支出</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5,085.13</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650.86</w:t>
            </w: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4,434.27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民政管理事务</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798.19</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623.39</w:t>
            </w: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174.80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2080201</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行政运行</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623.39</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623.39</w:t>
            </w: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2080202</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71.60</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71.60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2080207</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行政区划和地名管理</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9.98</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2080208</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基层政权建设和社区治理</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75.32</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2080299</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其他民政管理事务支出</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17.91</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行政事业单位养老支出</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27.48</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27.48</w:t>
            </w: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2080505</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27.48</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27.48</w:t>
            </w: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20808</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抚恤</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7.50</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2080802</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伤残抚恤</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7.50</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退役安置</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48.31</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48.31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2080901</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退役士兵安置</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48.31</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48.31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20810</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社会福利</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1,070.97</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1,070.97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2081001</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儿童福利</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16.16</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2081002</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老年福利</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1,008.54</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1,008.54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2081005</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社会福利事业单位</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46.27</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20811</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残疾人事业</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470.92</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470.92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2081107</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残疾人生活和护理补贴</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312.97</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312.97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2081199</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其他残疾人事业支出</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157.95</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157.95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20819</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最低生活保障</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1,484.42</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1,484.42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2081901</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城市最低生活保障金支出</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14.00</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2081902</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农村最低生活保障金支出</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1,470.42</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1,470.42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20820</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临时救助</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115.84</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2082001</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临时救助支出</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52.45</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2082002</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流浪乞讨人员救助支出</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63.39</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20821</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特困人员救助供养</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1,061.50</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1,061.50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2082101</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城市特困人员救助供养支出</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148.00</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148.00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2082102</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农村特困人员救助供养支出</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913.50</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913.50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卫生健康支出</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25.52</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25.52</w:t>
            </w: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行政事业单位医疗</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25.52</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25.52</w:t>
            </w: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2101101</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行政单位医疗</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25.52</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25.52</w:t>
            </w: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农林水支出</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413.00</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21305</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扶贫</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413.00</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2130506</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社会发展</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3.00</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2130599</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其他扶贫支出</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410.00</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住房保障支出</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27.12</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27.12</w:t>
            </w: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住房改革支出</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27.12</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27.12</w:t>
            </w: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3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2210201</w:t>
            </w:r>
          </w:p>
        </w:tc>
        <w:tc>
          <w:tcPr>
            <w:tcW w:w="3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12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27.12</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27.12</w:t>
            </w:r>
          </w:p>
        </w:tc>
        <w:tc>
          <w:tcPr>
            <w:tcW w:w="13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bl>
    <w:p>
      <w:pPr>
        <w:widowControl/>
        <w:jc w:val="left"/>
        <w:textAlignment w:val="center"/>
        <w:rPr>
          <w:rFonts w:ascii="黑体" w:hAnsi="宋体" w:eastAsia="黑体" w:cs="黑体"/>
          <w:color w:val="000000"/>
          <w:kern w:val="0"/>
          <w:sz w:val="28"/>
          <w:szCs w:val="28"/>
          <w:lang w:bidi="ar"/>
        </w:rPr>
        <w:sectPr>
          <w:pgSz w:w="11906" w:h="16838"/>
          <w:pgMar w:top="2098" w:right="1531" w:bottom="1984" w:left="1531" w:header="851" w:footer="992" w:gutter="0"/>
          <w:cols w:space="425" w:num="1"/>
          <w:docGrid w:type="lines" w:linePitch="312" w:charSpace="0"/>
        </w:sectPr>
      </w:pPr>
      <w:r>
        <w:rPr>
          <w:rFonts w:hint="eastAsia" w:ascii="宋体" w:hAnsi="宋体" w:eastAsia="宋体" w:cs="宋体"/>
          <w:i w:val="0"/>
          <w:color w:val="000000"/>
          <w:kern w:val="0"/>
          <w:sz w:val="22"/>
          <w:szCs w:val="22"/>
          <w:u w:val="none"/>
          <w:lang w:val="en-US" w:eastAsia="zh-CN" w:bidi="ar"/>
        </w:rPr>
        <w:t>注：本表反映部门本年度一般公共预算财政拨款支出情况。</w:t>
      </w:r>
    </w:p>
    <w:tbl>
      <w:tblPr>
        <w:tblStyle w:val="7"/>
        <w:tblW w:w="1278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415"/>
        <w:gridCol w:w="2179"/>
        <w:gridCol w:w="1140"/>
        <w:gridCol w:w="795"/>
        <w:gridCol w:w="1395"/>
        <w:gridCol w:w="1107"/>
        <w:gridCol w:w="1023"/>
        <w:gridCol w:w="2719"/>
        <w:gridCol w:w="101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0" w:hRule="atLeast"/>
        </w:trPr>
        <w:tc>
          <w:tcPr>
            <w:tcW w:w="1415"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000000"/>
                <w:sz w:val="20"/>
                <w:szCs w:val="20"/>
                <w:u w:val="none"/>
              </w:rPr>
            </w:pPr>
          </w:p>
        </w:tc>
        <w:tc>
          <w:tcPr>
            <w:tcW w:w="10358" w:type="dxa"/>
            <w:gridSpan w:val="7"/>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一般公共预算财政拨款基本支出决算表</w:t>
            </w:r>
          </w:p>
        </w:tc>
        <w:tc>
          <w:tcPr>
            <w:tcW w:w="101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141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179"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14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79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39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10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2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719"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13"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公开06表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3594"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部门：石家庄市鹿泉区民政局（本级）</w:t>
            </w:r>
          </w:p>
        </w:tc>
        <w:tc>
          <w:tcPr>
            <w:tcW w:w="114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79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39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107"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23"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3732" w:type="dxa"/>
            <w:gridSpan w:val="2"/>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4734" w:type="dxa"/>
            <w:gridSpan w:val="3"/>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w:t>
            </w:r>
          </w:p>
        </w:tc>
        <w:tc>
          <w:tcPr>
            <w:tcW w:w="8052" w:type="dxa"/>
            <w:gridSpan w:val="6"/>
            <w:tcBorders>
              <w:top w:val="single" w:color="000000" w:sz="4" w:space="0"/>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415"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2179"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14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c>
          <w:tcPr>
            <w:tcW w:w="79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139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107"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c>
          <w:tcPr>
            <w:tcW w:w="1023"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2719"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013"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415"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79"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4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9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9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2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719"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1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4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w:t>
            </w:r>
          </w:p>
        </w:tc>
        <w:tc>
          <w:tcPr>
            <w:tcW w:w="217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工资福利支出</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345.70</w:t>
            </w:r>
          </w:p>
        </w:tc>
        <w:tc>
          <w:tcPr>
            <w:tcW w:w="7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w:t>
            </w:r>
          </w:p>
        </w:tc>
        <w:tc>
          <w:tcPr>
            <w:tcW w:w="13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商品和服务支出</w:t>
            </w:r>
          </w:p>
        </w:tc>
        <w:tc>
          <w:tcPr>
            <w:tcW w:w="11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257.69</w:t>
            </w:r>
          </w:p>
        </w:tc>
        <w:tc>
          <w:tcPr>
            <w:tcW w:w="10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w:t>
            </w:r>
          </w:p>
        </w:tc>
        <w:tc>
          <w:tcPr>
            <w:tcW w:w="27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债务利息及费用支出</w:t>
            </w:r>
          </w:p>
        </w:tc>
        <w:tc>
          <w:tcPr>
            <w:tcW w:w="10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4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30101</w:t>
            </w:r>
          </w:p>
        </w:tc>
        <w:tc>
          <w:tcPr>
            <w:tcW w:w="217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基本工资</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92.32</w:t>
            </w:r>
          </w:p>
        </w:tc>
        <w:tc>
          <w:tcPr>
            <w:tcW w:w="7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30201</w:t>
            </w:r>
          </w:p>
        </w:tc>
        <w:tc>
          <w:tcPr>
            <w:tcW w:w="13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办公费</w:t>
            </w:r>
          </w:p>
        </w:tc>
        <w:tc>
          <w:tcPr>
            <w:tcW w:w="11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26.81</w:t>
            </w:r>
          </w:p>
        </w:tc>
        <w:tc>
          <w:tcPr>
            <w:tcW w:w="10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30701</w:t>
            </w:r>
          </w:p>
        </w:tc>
        <w:tc>
          <w:tcPr>
            <w:tcW w:w="27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国内债务付息</w:t>
            </w:r>
          </w:p>
        </w:tc>
        <w:tc>
          <w:tcPr>
            <w:tcW w:w="10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4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30102</w:t>
            </w:r>
          </w:p>
        </w:tc>
        <w:tc>
          <w:tcPr>
            <w:tcW w:w="217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津贴补贴</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49.71</w:t>
            </w:r>
          </w:p>
        </w:tc>
        <w:tc>
          <w:tcPr>
            <w:tcW w:w="7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30202</w:t>
            </w:r>
          </w:p>
        </w:tc>
        <w:tc>
          <w:tcPr>
            <w:tcW w:w="13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印刷费</w:t>
            </w:r>
          </w:p>
        </w:tc>
        <w:tc>
          <w:tcPr>
            <w:tcW w:w="11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0.77</w:t>
            </w:r>
          </w:p>
        </w:tc>
        <w:tc>
          <w:tcPr>
            <w:tcW w:w="10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30702</w:t>
            </w:r>
          </w:p>
        </w:tc>
        <w:tc>
          <w:tcPr>
            <w:tcW w:w="27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国外债务付息</w:t>
            </w:r>
          </w:p>
        </w:tc>
        <w:tc>
          <w:tcPr>
            <w:tcW w:w="10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4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30103</w:t>
            </w:r>
          </w:p>
        </w:tc>
        <w:tc>
          <w:tcPr>
            <w:tcW w:w="217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奖金</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3.66</w:t>
            </w:r>
          </w:p>
        </w:tc>
        <w:tc>
          <w:tcPr>
            <w:tcW w:w="7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30203</w:t>
            </w:r>
          </w:p>
        </w:tc>
        <w:tc>
          <w:tcPr>
            <w:tcW w:w="13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咨询费</w:t>
            </w:r>
          </w:p>
        </w:tc>
        <w:tc>
          <w:tcPr>
            <w:tcW w:w="11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w:t>
            </w:r>
          </w:p>
        </w:tc>
        <w:tc>
          <w:tcPr>
            <w:tcW w:w="27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资本性支出</w:t>
            </w:r>
          </w:p>
        </w:tc>
        <w:tc>
          <w:tcPr>
            <w:tcW w:w="10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4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30106</w:t>
            </w:r>
          </w:p>
        </w:tc>
        <w:tc>
          <w:tcPr>
            <w:tcW w:w="217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伙食补助费</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30204</w:t>
            </w:r>
          </w:p>
        </w:tc>
        <w:tc>
          <w:tcPr>
            <w:tcW w:w="13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手续费</w:t>
            </w:r>
          </w:p>
        </w:tc>
        <w:tc>
          <w:tcPr>
            <w:tcW w:w="11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31001</w:t>
            </w:r>
          </w:p>
        </w:tc>
        <w:tc>
          <w:tcPr>
            <w:tcW w:w="27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房屋建筑物购建</w:t>
            </w:r>
          </w:p>
        </w:tc>
        <w:tc>
          <w:tcPr>
            <w:tcW w:w="10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4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30107</w:t>
            </w:r>
          </w:p>
        </w:tc>
        <w:tc>
          <w:tcPr>
            <w:tcW w:w="217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绩效工资</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22.79</w:t>
            </w:r>
          </w:p>
        </w:tc>
        <w:tc>
          <w:tcPr>
            <w:tcW w:w="7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30205</w:t>
            </w:r>
          </w:p>
        </w:tc>
        <w:tc>
          <w:tcPr>
            <w:tcW w:w="13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水费</w:t>
            </w:r>
          </w:p>
        </w:tc>
        <w:tc>
          <w:tcPr>
            <w:tcW w:w="11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31002</w:t>
            </w:r>
          </w:p>
        </w:tc>
        <w:tc>
          <w:tcPr>
            <w:tcW w:w="27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办公设备购置</w:t>
            </w:r>
          </w:p>
        </w:tc>
        <w:tc>
          <w:tcPr>
            <w:tcW w:w="10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4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30108</w:t>
            </w:r>
          </w:p>
        </w:tc>
        <w:tc>
          <w:tcPr>
            <w:tcW w:w="217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机关事业单位基本养老保险缴费</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38.72</w:t>
            </w:r>
          </w:p>
        </w:tc>
        <w:tc>
          <w:tcPr>
            <w:tcW w:w="7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30206</w:t>
            </w:r>
          </w:p>
        </w:tc>
        <w:tc>
          <w:tcPr>
            <w:tcW w:w="13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电费</w:t>
            </w:r>
          </w:p>
        </w:tc>
        <w:tc>
          <w:tcPr>
            <w:tcW w:w="11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0.01</w:t>
            </w:r>
          </w:p>
        </w:tc>
        <w:tc>
          <w:tcPr>
            <w:tcW w:w="10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31003</w:t>
            </w:r>
          </w:p>
        </w:tc>
        <w:tc>
          <w:tcPr>
            <w:tcW w:w="27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专用设备购置</w:t>
            </w:r>
          </w:p>
        </w:tc>
        <w:tc>
          <w:tcPr>
            <w:tcW w:w="10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4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30109</w:t>
            </w:r>
          </w:p>
        </w:tc>
        <w:tc>
          <w:tcPr>
            <w:tcW w:w="217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职业年金缴费</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6.46</w:t>
            </w:r>
          </w:p>
        </w:tc>
        <w:tc>
          <w:tcPr>
            <w:tcW w:w="7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30207</w:t>
            </w:r>
          </w:p>
        </w:tc>
        <w:tc>
          <w:tcPr>
            <w:tcW w:w="13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邮电费</w:t>
            </w:r>
          </w:p>
        </w:tc>
        <w:tc>
          <w:tcPr>
            <w:tcW w:w="11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11.20</w:t>
            </w:r>
          </w:p>
        </w:tc>
        <w:tc>
          <w:tcPr>
            <w:tcW w:w="10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31005</w:t>
            </w:r>
          </w:p>
        </w:tc>
        <w:tc>
          <w:tcPr>
            <w:tcW w:w="27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基础设施建设</w:t>
            </w:r>
          </w:p>
        </w:tc>
        <w:tc>
          <w:tcPr>
            <w:tcW w:w="10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4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30110</w:t>
            </w:r>
          </w:p>
        </w:tc>
        <w:tc>
          <w:tcPr>
            <w:tcW w:w="217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职工基本医疗保险缴费</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26.72</w:t>
            </w:r>
          </w:p>
        </w:tc>
        <w:tc>
          <w:tcPr>
            <w:tcW w:w="7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30208</w:t>
            </w:r>
          </w:p>
        </w:tc>
        <w:tc>
          <w:tcPr>
            <w:tcW w:w="13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取暖费</w:t>
            </w:r>
          </w:p>
        </w:tc>
        <w:tc>
          <w:tcPr>
            <w:tcW w:w="11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1.02</w:t>
            </w:r>
          </w:p>
        </w:tc>
        <w:tc>
          <w:tcPr>
            <w:tcW w:w="10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31006</w:t>
            </w:r>
          </w:p>
        </w:tc>
        <w:tc>
          <w:tcPr>
            <w:tcW w:w="27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大型修缮</w:t>
            </w:r>
          </w:p>
        </w:tc>
        <w:tc>
          <w:tcPr>
            <w:tcW w:w="10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4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30111</w:t>
            </w:r>
          </w:p>
        </w:tc>
        <w:tc>
          <w:tcPr>
            <w:tcW w:w="217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公务员医疗补助缴费</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30209</w:t>
            </w:r>
          </w:p>
        </w:tc>
        <w:tc>
          <w:tcPr>
            <w:tcW w:w="13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物业管理费</w:t>
            </w:r>
          </w:p>
        </w:tc>
        <w:tc>
          <w:tcPr>
            <w:tcW w:w="11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31007</w:t>
            </w:r>
          </w:p>
        </w:tc>
        <w:tc>
          <w:tcPr>
            <w:tcW w:w="27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信息网络及软件购置更新</w:t>
            </w:r>
          </w:p>
        </w:tc>
        <w:tc>
          <w:tcPr>
            <w:tcW w:w="10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4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30112</w:t>
            </w:r>
          </w:p>
        </w:tc>
        <w:tc>
          <w:tcPr>
            <w:tcW w:w="217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其他社会保障缴费</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7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30211</w:t>
            </w:r>
          </w:p>
        </w:tc>
        <w:tc>
          <w:tcPr>
            <w:tcW w:w="13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差旅费</w:t>
            </w:r>
          </w:p>
        </w:tc>
        <w:tc>
          <w:tcPr>
            <w:tcW w:w="11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2.16</w:t>
            </w:r>
          </w:p>
        </w:tc>
        <w:tc>
          <w:tcPr>
            <w:tcW w:w="10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31008</w:t>
            </w:r>
          </w:p>
        </w:tc>
        <w:tc>
          <w:tcPr>
            <w:tcW w:w="27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物资储备</w:t>
            </w:r>
          </w:p>
        </w:tc>
        <w:tc>
          <w:tcPr>
            <w:tcW w:w="10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4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30113</w:t>
            </w:r>
          </w:p>
        </w:tc>
        <w:tc>
          <w:tcPr>
            <w:tcW w:w="217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住房公积金</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38.96</w:t>
            </w:r>
          </w:p>
        </w:tc>
        <w:tc>
          <w:tcPr>
            <w:tcW w:w="7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30212</w:t>
            </w:r>
          </w:p>
        </w:tc>
        <w:tc>
          <w:tcPr>
            <w:tcW w:w="13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因公出国（境）费用</w:t>
            </w:r>
          </w:p>
        </w:tc>
        <w:tc>
          <w:tcPr>
            <w:tcW w:w="11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31009</w:t>
            </w:r>
          </w:p>
        </w:tc>
        <w:tc>
          <w:tcPr>
            <w:tcW w:w="27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土地补偿</w:t>
            </w:r>
          </w:p>
        </w:tc>
        <w:tc>
          <w:tcPr>
            <w:tcW w:w="10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4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30114</w:t>
            </w:r>
          </w:p>
        </w:tc>
        <w:tc>
          <w:tcPr>
            <w:tcW w:w="217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医疗费</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30213</w:t>
            </w:r>
          </w:p>
        </w:tc>
        <w:tc>
          <w:tcPr>
            <w:tcW w:w="13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维修（护）费</w:t>
            </w:r>
          </w:p>
        </w:tc>
        <w:tc>
          <w:tcPr>
            <w:tcW w:w="11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5.77</w:t>
            </w:r>
          </w:p>
        </w:tc>
        <w:tc>
          <w:tcPr>
            <w:tcW w:w="10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31010</w:t>
            </w:r>
          </w:p>
        </w:tc>
        <w:tc>
          <w:tcPr>
            <w:tcW w:w="27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安置补助</w:t>
            </w:r>
          </w:p>
        </w:tc>
        <w:tc>
          <w:tcPr>
            <w:tcW w:w="10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4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30199</w:t>
            </w:r>
          </w:p>
        </w:tc>
        <w:tc>
          <w:tcPr>
            <w:tcW w:w="217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其他工资福利支出</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65.36</w:t>
            </w:r>
          </w:p>
        </w:tc>
        <w:tc>
          <w:tcPr>
            <w:tcW w:w="7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30214</w:t>
            </w:r>
          </w:p>
        </w:tc>
        <w:tc>
          <w:tcPr>
            <w:tcW w:w="13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租赁费</w:t>
            </w:r>
          </w:p>
        </w:tc>
        <w:tc>
          <w:tcPr>
            <w:tcW w:w="11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31011</w:t>
            </w:r>
          </w:p>
        </w:tc>
        <w:tc>
          <w:tcPr>
            <w:tcW w:w="27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地上附着物和青苗补偿</w:t>
            </w:r>
          </w:p>
        </w:tc>
        <w:tc>
          <w:tcPr>
            <w:tcW w:w="10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4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w:t>
            </w:r>
          </w:p>
        </w:tc>
        <w:tc>
          <w:tcPr>
            <w:tcW w:w="217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对个人和家庭的补助</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100.12</w:t>
            </w:r>
          </w:p>
        </w:tc>
        <w:tc>
          <w:tcPr>
            <w:tcW w:w="7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30215</w:t>
            </w:r>
          </w:p>
        </w:tc>
        <w:tc>
          <w:tcPr>
            <w:tcW w:w="13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会议费</w:t>
            </w:r>
          </w:p>
        </w:tc>
        <w:tc>
          <w:tcPr>
            <w:tcW w:w="11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31012</w:t>
            </w:r>
          </w:p>
        </w:tc>
        <w:tc>
          <w:tcPr>
            <w:tcW w:w="27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拆迁补偿</w:t>
            </w:r>
          </w:p>
        </w:tc>
        <w:tc>
          <w:tcPr>
            <w:tcW w:w="10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4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30301</w:t>
            </w:r>
          </w:p>
        </w:tc>
        <w:tc>
          <w:tcPr>
            <w:tcW w:w="217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离休费</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13.63</w:t>
            </w:r>
          </w:p>
        </w:tc>
        <w:tc>
          <w:tcPr>
            <w:tcW w:w="7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30216</w:t>
            </w:r>
          </w:p>
        </w:tc>
        <w:tc>
          <w:tcPr>
            <w:tcW w:w="13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培训费</w:t>
            </w:r>
          </w:p>
        </w:tc>
        <w:tc>
          <w:tcPr>
            <w:tcW w:w="11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31013</w:t>
            </w:r>
          </w:p>
        </w:tc>
        <w:tc>
          <w:tcPr>
            <w:tcW w:w="27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公务用车购置</w:t>
            </w:r>
          </w:p>
        </w:tc>
        <w:tc>
          <w:tcPr>
            <w:tcW w:w="10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4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30302</w:t>
            </w:r>
          </w:p>
        </w:tc>
        <w:tc>
          <w:tcPr>
            <w:tcW w:w="217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退休费</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30217</w:t>
            </w:r>
          </w:p>
        </w:tc>
        <w:tc>
          <w:tcPr>
            <w:tcW w:w="13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公务接待费</w:t>
            </w:r>
          </w:p>
        </w:tc>
        <w:tc>
          <w:tcPr>
            <w:tcW w:w="11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31019</w:t>
            </w:r>
          </w:p>
        </w:tc>
        <w:tc>
          <w:tcPr>
            <w:tcW w:w="27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其他交通工具购置</w:t>
            </w:r>
          </w:p>
        </w:tc>
        <w:tc>
          <w:tcPr>
            <w:tcW w:w="10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4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30303</w:t>
            </w:r>
          </w:p>
        </w:tc>
        <w:tc>
          <w:tcPr>
            <w:tcW w:w="217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退职（役）费</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30218</w:t>
            </w:r>
          </w:p>
        </w:tc>
        <w:tc>
          <w:tcPr>
            <w:tcW w:w="13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专用材料费</w:t>
            </w:r>
          </w:p>
        </w:tc>
        <w:tc>
          <w:tcPr>
            <w:tcW w:w="11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31021</w:t>
            </w:r>
          </w:p>
        </w:tc>
        <w:tc>
          <w:tcPr>
            <w:tcW w:w="27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文物和陈列品购置</w:t>
            </w:r>
          </w:p>
        </w:tc>
        <w:tc>
          <w:tcPr>
            <w:tcW w:w="10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4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30304</w:t>
            </w:r>
          </w:p>
        </w:tc>
        <w:tc>
          <w:tcPr>
            <w:tcW w:w="217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抚恤金</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30224</w:t>
            </w:r>
          </w:p>
        </w:tc>
        <w:tc>
          <w:tcPr>
            <w:tcW w:w="13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被装购置费</w:t>
            </w:r>
          </w:p>
        </w:tc>
        <w:tc>
          <w:tcPr>
            <w:tcW w:w="11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31022</w:t>
            </w:r>
          </w:p>
        </w:tc>
        <w:tc>
          <w:tcPr>
            <w:tcW w:w="27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无形资产购置</w:t>
            </w:r>
          </w:p>
        </w:tc>
        <w:tc>
          <w:tcPr>
            <w:tcW w:w="10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4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30305</w:t>
            </w:r>
          </w:p>
        </w:tc>
        <w:tc>
          <w:tcPr>
            <w:tcW w:w="217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生活补助</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86.33</w:t>
            </w:r>
          </w:p>
        </w:tc>
        <w:tc>
          <w:tcPr>
            <w:tcW w:w="7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30225</w:t>
            </w:r>
          </w:p>
        </w:tc>
        <w:tc>
          <w:tcPr>
            <w:tcW w:w="13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专用燃料费</w:t>
            </w:r>
          </w:p>
        </w:tc>
        <w:tc>
          <w:tcPr>
            <w:tcW w:w="11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31099</w:t>
            </w:r>
          </w:p>
        </w:tc>
        <w:tc>
          <w:tcPr>
            <w:tcW w:w="27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其他资本性支出</w:t>
            </w:r>
          </w:p>
        </w:tc>
        <w:tc>
          <w:tcPr>
            <w:tcW w:w="10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4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30306</w:t>
            </w:r>
          </w:p>
        </w:tc>
        <w:tc>
          <w:tcPr>
            <w:tcW w:w="217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救济费</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30226</w:t>
            </w:r>
          </w:p>
        </w:tc>
        <w:tc>
          <w:tcPr>
            <w:tcW w:w="13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劳务费</w:t>
            </w:r>
          </w:p>
        </w:tc>
        <w:tc>
          <w:tcPr>
            <w:tcW w:w="11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86.53</w:t>
            </w:r>
          </w:p>
        </w:tc>
        <w:tc>
          <w:tcPr>
            <w:tcW w:w="10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w:t>
            </w:r>
          </w:p>
        </w:tc>
        <w:tc>
          <w:tcPr>
            <w:tcW w:w="27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其他支出</w:t>
            </w:r>
          </w:p>
        </w:tc>
        <w:tc>
          <w:tcPr>
            <w:tcW w:w="10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4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30307</w:t>
            </w:r>
          </w:p>
        </w:tc>
        <w:tc>
          <w:tcPr>
            <w:tcW w:w="217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医疗费补助</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0.17</w:t>
            </w:r>
          </w:p>
        </w:tc>
        <w:tc>
          <w:tcPr>
            <w:tcW w:w="7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30227</w:t>
            </w:r>
          </w:p>
        </w:tc>
        <w:tc>
          <w:tcPr>
            <w:tcW w:w="13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委托业务费</w:t>
            </w:r>
          </w:p>
        </w:tc>
        <w:tc>
          <w:tcPr>
            <w:tcW w:w="11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108.10</w:t>
            </w:r>
          </w:p>
        </w:tc>
        <w:tc>
          <w:tcPr>
            <w:tcW w:w="10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39906</w:t>
            </w:r>
          </w:p>
        </w:tc>
        <w:tc>
          <w:tcPr>
            <w:tcW w:w="27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赠与</w:t>
            </w:r>
          </w:p>
        </w:tc>
        <w:tc>
          <w:tcPr>
            <w:tcW w:w="10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4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30308</w:t>
            </w:r>
          </w:p>
        </w:tc>
        <w:tc>
          <w:tcPr>
            <w:tcW w:w="217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助学金</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30228</w:t>
            </w:r>
          </w:p>
        </w:tc>
        <w:tc>
          <w:tcPr>
            <w:tcW w:w="13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工会经费</w:t>
            </w:r>
          </w:p>
        </w:tc>
        <w:tc>
          <w:tcPr>
            <w:tcW w:w="11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1.81</w:t>
            </w:r>
          </w:p>
        </w:tc>
        <w:tc>
          <w:tcPr>
            <w:tcW w:w="10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39907</w:t>
            </w:r>
          </w:p>
        </w:tc>
        <w:tc>
          <w:tcPr>
            <w:tcW w:w="27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国家赔偿费用支出</w:t>
            </w:r>
          </w:p>
        </w:tc>
        <w:tc>
          <w:tcPr>
            <w:tcW w:w="10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4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30309</w:t>
            </w:r>
          </w:p>
        </w:tc>
        <w:tc>
          <w:tcPr>
            <w:tcW w:w="217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奖励金</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30229</w:t>
            </w:r>
          </w:p>
        </w:tc>
        <w:tc>
          <w:tcPr>
            <w:tcW w:w="13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福利费</w:t>
            </w:r>
          </w:p>
        </w:tc>
        <w:tc>
          <w:tcPr>
            <w:tcW w:w="11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4.80</w:t>
            </w:r>
          </w:p>
        </w:tc>
        <w:tc>
          <w:tcPr>
            <w:tcW w:w="10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39908</w:t>
            </w:r>
          </w:p>
        </w:tc>
        <w:tc>
          <w:tcPr>
            <w:tcW w:w="27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对民间非营利组织和群众性自治组织补贴</w:t>
            </w:r>
          </w:p>
        </w:tc>
        <w:tc>
          <w:tcPr>
            <w:tcW w:w="10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4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30310</w:t>
            </w:r>
          </w:p>
        </w:tc>
        <w:tc>
          <w:tcPr>
            <w:tcW w:w="217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个人农业生产补贴</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30231</w:t>
            </w:r>
          </w:p>
        </w:tc>
        <w:tc>
          <w:tcPr>
            <w:tcW w:w="13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公务用车运行维护费</w:t>
            </w:r>
          </w:p>
        </w:tc>
        <w:tc>
          <w:tcPr>
            <w:tcW w:w="11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39999</w:t>
            </w:r>
          </w:p>
        </w:tc>
        <w:tc>
          <w:tcPr>
            <w:tcW w:w="27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其他支出</w:t>
            </w:r>
          </w:p>
        </w:tc>
        <w:tc>
          <w:tcPr>
            <w:tcW w:w="10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4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30311</w:t>
            </w:r>
          </w:p>
        </w:tc>
        <w:tc>
          <w:tcPr>
            <w:tcW w:w="217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代缴社会保险费</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30239</w:t>
            </w:r>
          </w:p>
        </w:tc>
        <w:tc>
          <w:tcPr>
            <w:tcW w:w="13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其他交通费用</w:t>
            </w:r>
          </w:p>
        </w:tc>
        <w:tc>
          <w:tcPr>
            <w:tcW w:w="11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8.70</w:t>
            </w:r>
          </w:p>
        </w:tc>
        <w:tc>
          <w:tcPr>
            <w:tcW w:w="10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7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4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30399</w:t>
            </w:r>
          </w:p>
        </w:tc>
        <w:tc>
          <w:tcPr>
            <w:tcW w:w="217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其他对个人和家庭的补助</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30240</w:t>
            </w:r>
          </w:p>
        </w:tc>
        <w:tc>
          <w:tcPr>
            <w:tcW w:w="13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税金及附加费用</w:t>
            </w:r>
          </w:p>
        </w:tc>
        <w:tc>
          <w:tcPr>
            <w:tcW w:w="11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7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415"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17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30299</w:t>
            </w:r>
          </w:p>
        </w:tc>
        <w:tc>
          <w:tcPr>
            <w:tcW w:w="139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其他商品和服务支出</w:t>
            </w:r>
          </w:p>
        </w:tc>
        <w:tc>
          <w:tcPr>
            <w:tcW w:w="11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2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2719"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3594" w:type="dxa"/>
            <w:gridSpan w:val="2"/>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人员经费合计</w:t>
            </w:r>
          </w:p>
        </w:tc>
        <w:tc>
          <w:tcPr>
            <w:tcW w:w="11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445.82</w:t>
            </w:r>
          </w:p>
        </w:tc>
        <w:tc>
          <w:tcPr>
            <w:tcW w:w="7039" w:type="dxa"/>
            <w:gridSpan w:val="5"/>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公用经费合计</w:t>
            </w:r>
          </w:p>
        </w:tc>
        <w:tc>
          <w:tcPr>
            <w:tcW w:w="10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257.69</w:t>
            </w:r>
          </w:p>
        </w:tc>
      </w:tr>
    </w:tbl>
    <w:p>
      <w:pPr>
        <w:widowControl/>
        <w:jc w:val="center"/>
        <w:textAlignment w:val="center"/>
        <w:sectPr>
          <w:pgSz w:w="16838" w:h="11906" w:orient="landscape"/>
          <w:pgMar w:top="1531" w:right="2098" w:bottom="1531" w:left="1984" w:header="851" w:footer="992" w:gutter="0"/>
          <w:cols w:space="425" w:num="1"/>
          <w:docGrid w:type="lines" w:linePitch="312" w:charSpace="0"/>
        </w:sectPr>
      </w:pPr>
    </w:p>
    <w:tbl>
      <w:tblPr>
        <w:tblStyle w:val="7"/>
        <w:tblW w:w="1276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95"/>
        <w:gridCol w:w="1335"/>
        <w:gridCol w:w="1005"/>
        <w:gridCol w:w="1875"/>
        <w:gridCol w:w="1380"/>
        <w:gridCol w:w="1035"/>
        <w:gridCol w:w="780"/>
        <w:gridCol w:w="900"/>
        <w:gridCol w:w="690"/>
        <w:gridCol w:w="975"/>
        <w:gridCol w:w="870"/>
        <w:gridCol w:w="8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095"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000000"/>
                <w:sz w:val="20"/>
                <w:szCs w:val="20"/>
                <w:u w:val="none"/>
              </w:rPr>
            </w:pPr>
          </w:p>
        </w:tc>
        <w:tc>
          <w:tcPr>
            <w:tcW w:w="10845" w:type="dxa"/>
            <w:gridSpan w:val="10"/>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44"/>
                <w:szCs w:val="44"/>
                <w:u w:val="none"/>
                <w:lang w:val="en-US" w:eastAsia="zh-CN" w:bidi="ar"/>
              </w:rPr>
              <w:t>一般公共预算财政拨款“三公”经费支出决算表</w:t>
            </w:r>
          </w:p>
        </w:tc>
        <w:tc>
          <w:tcPr>
            <w:tcW w:w="82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5" w:hRule="atLeast"/>
        </w:trPr>
        <w:tc>
          <w:tcPr>
            <w:tcW w:w="109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33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0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87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38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3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78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90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69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97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695" w:type="dxa"/>
            <w:gridSpan w:val="2"/>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公开07表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5" w:hRule="atLeast"/>
        </w:trPr>
        <w:tc>
          <w:tcPr>
            <w:tcW w:w="5310" w:type="dxa"/>
            <w:gridSpan w:val="4"/>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部门：石家庄市鹿泉区民政局（本级）</w:t>
            </w:r>
          </w:p>
        </w:tc>
        <w:tc>
          <w:tcPr>
            <w:tcW w:w="138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3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78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90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69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670" w:type="dxa"/>
            <w:gridSpan w:val="3"/>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7725" w:type="dxa"/>
            <w:gridSpan w:val="6"/>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5040" w:type="dxa"/>
            <w:gridSpan w:val="6"/>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095"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33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因公出国（境）费</w:t>
            </w:r>
          </w:p>
        </w:tc>
        <w:tc>
          <w:tcPr>
            <w:tcW w:w="426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公务用车购置及运行费</w:t>
            </w:r>
          </w:p>
        </w:tc>
        <w:tc>
          <w:tcPr>
            <w:tcW w:w="103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公务接待费</w:t>
            </w:r>
          </w:p>
        </w:tc>
        <w:tc>
          <w:tcPr>
            <w:tcW w:w="78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90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因公出国（境）费</w:t>
            </w:r>
          </w:p>
        </w:tc>
        <w:tc>
          <w:tcPr>
            <w:tcW w:w="2535"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公务用车购置及运行费</w:t>
            </w:r>
          </w:p>
        </w:tc>
        <w:tc>
          <w:tcPr>
            <w:tcW w:w="82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15" w:hRule="atLeast"/>
        </w:trPr>
        <w:tc>
          <w:tcPr>
            <w:tcW w:w="1095"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33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87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公务用车购置费</w:t>
            </w:r>
          </w:p>
        </w:tc>
        <w:tc>
          <w:tcPr>
            <w:tcW w:w="13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公务用车运行费</w:t>
            </w:r>
          </w:p>
        </w:tc>
        <w:tc>
          <w:tcPr>
            <w:tcW w:w="103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97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公务用车购置费</w:t>
            </w:r>
          </w:p>
        </w:tc>
        <w:tc>
          <w:tcPr>
            <w:tcW w:w="8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公务用车运行费</w:t>
            </w:r>
          </w:p>
        </w:tc>
        <w:tc>
          <w:tcPr>
            <w:tcW w:w="82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09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33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00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87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3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03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7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9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69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97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8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8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abs>
                <w:tab w:val="left" w:pos="218"/>
              </w:tabs>
              <w:jc w:val="left"/>
              <w:rPr>
                <w:rFonts w:hint="default" w:ascii="宋体" w:hAnsi="宋体" w:eastAsia="宋体" w:cs="宋体"/>
                <w:i w:val="0"/>
                <w:color w:val="000000"/>
                <w:sz w:val="22"/>
                <w:szCs w:val="22"/>
                <w:u w:val="none"/>
                <w:lang w:val="en-US" w:eastAsia="zh-CN"/>
              </w:rPr>
            </w:pPr>
            <w:r>
              <w:rPr>
                <w:rFonts w:hint="eastAsia" w:ascii="宋体" w:hAnsi="宋体" w:eastAsia="宋体" w:cs="宋体"/>
                <w:i w:val="0"/>
                <w:color w:val="000000"/>
                <w:sz w:val="22"/>
                <w:szCs w:val="22"/>
                <w:u w:val="none"/>
                <w:lang w:eastAsia="zh-CN"/>
              </w:rPr>
              <w:tab/>
            </w:r>
            <w:r>
              <w:rPr>
                <w:rFonts w:hint="eastAsia" w:ascii="宋体" w:hAnsi="宋体" w:eastAsia="宋体" w:cs="宋体"/>
                <w:i w:val="0"/>
                <w:color w:val="000000"/>
                <w:sz w:val="22"/>
                <w:szCs w:val="22"/>
                <w:u w:val="none"/>
                <w:lang w:val="en-US" w:eastAsia="zh-CN"/>
              </w:rPr>
              <w:t xml:space="preserve">  5.4</w:t>
            </w:r>
          </w:p>
        </w:tc>
        <w:tc>
          <w:tcPr>
            <w:tcW w:w="13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548"/>
              </w:tabs>
              <w:jc w:val="left"/>
              <w:rPr>
                <w:rFonts w:hint="default" w:ascii="宋体" w:hAnsi="宋体" w:eastAsia="宋体" w:cs="宋体"/>
                <w:i w:val="0"/>
                <w:color w:val="000000"/>
                <w:sz w:val="22"/>
                <w:szCs w:val="22"/>
                <w:u w:val="none"/>
                <w:lang w:val="en-US" w:eastAsia="zh-CN"/>
              </w:rPr>
            </w:pPr>
            <w:r>
              <w:rPr>
                <w:rFonts w:hint="eastAsia" w:ascii="宋体" w:hAnsi="宋体" w:eastAsia="宋体" w:cs="宋体"/>
                <w:i w:val="0"/>
                <w:color w:val="000000"/>
                <w:sz w:val="22"/>
                <w:szCs w:val="22"/>
                <w:u w:val="none"/>
                <w:lang w:eastAsia="zh-CN"/>
              </w:rPr>
              <w:tab/>
            </w: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413"/>
              </w:tabs>
              <w:jc w:val="left"/>
              <w:rPr>
                <w:rFonts w:hint="default" w:ascii="宋体" w:hAnsi="宋体" w:eastAsia="宋体" w:cs="宋体"/>
                <w:i w:val="0"/>
                <w:color w:val="000000"/>
                <w:sz w:val="22"/>
                <w:szCs w:val="22"/>
                <w:u w:val="none"/>
                <w:lang w:val="en-US" w:eastAsia="zh-CN"/>
              </w:rPr>
            </w:pPr>
            <w:r>
              <w:rPr>
                <w:rFonts w:hint="eastAsia" w:ascii="宋体" w:hAnsi="宋体" w:eastAsia="宋体" w:cs="宋体"/>
                <w:i w:val="0"/>
                <w:color w:val="000000"/>
                <w:sz w:val="22"/>
                <w:szCs w:val="22"/>
                <w:u w:val="none"/>
                <w:lang w:eastAsia="zh-CN"/>
              </w:rPr>
              <w:tab/>
            </w:r>
            <w:r>
              <w:rPr>
                <w:rFonts w:hint="eastAsia" w:ascii="宋体" w:hAnsi="宋体" w:eastAsia="宋体" w:cs="宋体"/>
                <w:i w:val="0"/>
                <w:color w:val="000000"/>
                <w:sz w:val="22"/>
                <w:szCs w:val="22"/>
                <w:u w:val="none"/>
                <w:lang w:val="en-US" w:eastAsia="zh-CN"/>
              </w:rPr>
              <w:t>5.4</w:t>
            </w:r>
          </w:p>
        </w:tc>
        <w:tc>
          <w:tcPr>
            <w:tcW w:w="18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lang w:val="en-US" w:eastAsia="zh-CN"/>
              </w:rPr>
            </w:pPr>
          </w:p>
        </w:tc>
        <w:tc>
          <w:tcPr>
            <w:tcW w:w="13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518"/>
              </w:tabs>
              <w:jc w:val="left"/>
              <w:rPr>
                <w:rFonts w:hint="default" w:ascii="宋体" w:hAnsi="宋体" w:eastAsia="宋体" w:cs="宋体"/>
                <w:i w:val="0"/>
                <w:color w:val="000000"/>
                <w:sz w:val="22"/>
                <w:szCs w:val="22"/>
                <w:u w:val="none"/>
                <w:lang w:val="en-US" w:eastAsia="zh-CN"/>
              </w:rPr>
            </w:pPr>
            <w:r>
              <w:rPr>
                <w:rFonts w:hint="eastAsia" w:ascii="宋体" w:hAnsi="宋体" w:eastAsia="宋体" w:cs="宋体"/>
                <w:i w:val="0"/>
                <w:color w:val="000000"/>
                <w:sz w:val="22"/>
                <w:szCs w:val="22"/>
                <w:u w:val="none"/>
                <w:lang w:eastAsia="zh-CN"/>
              </w:rPr>
              <w:tab/>
            </w:r>
            <w:r>
              <w:rPr>
                <w:rFonts w:hint="eastAsia" w:ascii="宋体" w:hAnsi="宋体" w:eastAsia="宋体" w:cs="宋体"/>
                <w:i w:val="0"/>
                <w:color w:val="000000"/>
                <w:sz w:val="22"/>
                <w:szCs w:val="22"/>
                <w:u w:val="none"/>
                <w:lang w:val="en-US" w:eastAsia="zh-CN"/>
              </w:rPr>
              <w:t>5.4</w:t>
            </w: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488"/>
              </w:tabs>
              <w:jc w:val="left"/>
              <w:rPr>
                <w:rFonts w:hint="default" w:ascii="宋体" w:hAnsi="宋体" w:eastAsia="宋体" w:cs="宋体"/>
                <w:i w:val="0"/>
                <w:color w:val="000000"/>
                <w:sz w:val="22"/>
                <w:szCs w:val="22"/>
                <w:u w:val="none"/>
                <w:lang w:val="en-US" w:eastAsia="zh-CN"/>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398"/>
              </w:tabs>
              <w:jc w:val="left"/>
              <w:rPr>
                <w:rFonts w:hint="default" w:ascii="宋体" w:hAnsi="宋体" w:eastAsia="宋体" w:cs="宋体"/>
                <w:i w:val="0"/>
                <w:color w:val="000000"/>
                <w:sz w:val="22"/>
                <w:szCs w:val="22"/>
                <w:u w:val="none"/>
                <w:lang w:val="en-US" w:eastAsia="zh-CN"/>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338"/>
              </w:tabs>
              <w:jc w:val="left"/>
              <w:rPr>
                <w:rFonts w:hint="default" w:ascii="宋体" w:hAnsi="宋体" w:eastAsia="宋体" w:cs="宋体"/>
                <w:i w:val="0"/>
                <w:color w:val="000000"/>
                <w:sz w:val="22"/>
                <w:szCs w:val="22"/>
                <w:u w:val="none"/>
                <w:lang w:val="en-US" w:eastAsia="zh-CN"/>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428"/>
              </w:tabs>
              <w:ind w:firstLine="220" w:firstLineChars="100"/>
              <w:jc w:val="left"/>
              <w:rPr>
                <w:rFonts w:hint="default" w:ascii="宋体" w:hAnsi="宋体" w:eastAsia="宋体" w:cs="宋体"/>
                <w:i w:val="0"/>
                <w:color w:val="000000"/>
                <w:sz w:val="22"/>
                <w:szCs w:val="22"/>
                <w:u w:val="none"/>
                <w:lang w:val="en-US" w:eastAsia="zh-CN"/>
              </w:rPr>
            </w:pPr>
          </w:p>
        </w:tc>
        <w:tc>
          <w:tcPr>
            <w:tcW w:w="9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center" w:pos="472"/>
                <w:tab w:val="right" w:pos="1065"/>
              </w:tabs>
              <w:jc w:val="left"/>
              <w:rPr>
                <w:rFonts w:hint="eastAsia" w:ascii="宋体" w:hAnsi="宋体" w:eastAsia="宋体" w:cs="宋体"/>
                <w:i w:val="0"/>
                <w:color w:val="000000"/>
                <w:sz w:val="22"/>
                <w:szCs w:val="22"/>
                <w:u w:val="none"/>
                <w:lang w:val="en-US" w:eastAsia="zh-CN"/>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203"/>
              </w:tabs>
              <w:jc w:val="left"/>
              <w:rPr>
                <w:rFonts w:hint="default" w:ascii="宋体" w:hAnsi="宋体" w:eastAsia="宋体" w:cs="宋体"/>
                <w:i w:val="0"/>
                <w:color w:val="000000"/>
                <w:sz w:val="22"/>
                <w:szCs w:val="22"/>
                <w:u w:val="none"/>
                <w:lang w:val="en-US" w:eastAsia="zh-CN"/>
              </w:rPr>
            </w:pP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368"/>
              </w:tabs>
              <w:jc w:val="left"/>
              <w:rPr>
                <w:rFonts w:hint="default" w:ascii="宋体" w:hAnsi="宋体" w:eastAsia="宋体" w:cs="宋体"/>
                <w:i w:val="0"/>
                <w:color w:val="000000"/>
                <w:sz w:val="22"/>
                <w:szCs w:val="22"/>
                <w:u w:val="none"/>
                <w:lang w:val="en-US" w:eastAsia="zh-CN"/>
              </w:rPr>
            </w:pPr>
          </w:p>
        </w:tc>
      </w:tr>
    </w:tbl>
    <w:p>
      <w:r>
        <w:rPr>
          <w:rFonts w:hint="eastAsia" w:ascii="宋体" w:hAnsi="宋体" w:eastAsia="宋体" w:cs="宋体"/>
          <w:sz w:val="20"/>
          <w:szCs w:val="22"/>
        </w:rPr>
        <w:t>注：本表反映部门本年度“三公”经费支出预决算情况。其中：预算数为“三公”经费</w:t>
      </w:r>
      <w:r>
        <w:rPr>
          <w:rFonts w:hint="eastAsia" w:ascii="宋体" w:hAnsi="宋体" w:eastAsia="宋体" w:cs="宋体"/>
          <w:b/>
          <w:sz w:val="20"/>
          <w:szCs w:val="22"/>
        </w:rPr>
        <w:t>全年预算数</w:t>
      </w:r>
      <w:r>
        <w:rPr>
          <w:rFonts w:hint="eastAsia" w:ascii="宋体" w:hAnsi="宋体" w:eastAsia="宋体" w:cs="宋体"/>
          <w:sz w:val="20"/>
          <w:szCs w:val="22"/>
        </w:rPr>
        <w:t>，反映按规定程序调整后的预算数；决算数是包括当年一般公共预算财政拨款和以前年度结转资金安排的实际支出。</w:t>
      </w:r>
      <w:r>
        <w:rPr>
          <w:rFonts w:hint="eastAsia" w:ascii="仿宋_GB2312" w:hAnsi="仿宋_GB2312" w:eastAsia="仿宋_GB2312" w:cs="仿宋_GB2312"/>
          <w:sz w:val="20"/>
          <w:szCs w:val="22"/>
        </w:rPr>
        <w:tab/>
      </w:r>
      <w:r>
        <w:rPr>
          <w:sz w:val="20"/>
          <w:szCs w:val="22"/>
        </w:rPr>
        <w:tab/>
      </w:r>
      <w:r>
        <w:tab/>
      </w:r>
      <w:r>
        <w:tab/>
      </w:r>
      <w:r>
        <w:tab/>
      </w:r>
      <w:r>
        <w:tab/>
      </w:r>
      <w:r>
        <w:tab/>
      </w:r>
      <w:r>
        <w:tab/>
      </w:r>
      <w:r>
        <w:tab/>
      </w:r>
      <w:r>
        <w:tab/>
      </w:r>
      <w:r>
        <w:tab/>
      </w:r>
      <w:r>
        <w:br w:type="page"/>
      </w:r>
    </w:p>
    <w:tbl>
      <w:tblPr>
        <w:tblStyle w:val="7"/>
        <w:tblW w:w="123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169"/>
        <w:gridCol w:w="240"/>
        <w:gridCol w:w="240"/>
        <w:gridCol w:w="4051"/>
        <w:gridCol w:w="1260"/>
        <w:gridCol w:w="1020"/>
        <w:gridCol w:w="1110"/>
        <w:gridCol w:w="780"/>
        <w:gridCol w:w="945"/>
        <w:gridCol w:w="153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0" w:hRule="atLeast"/>
        </w:trPr>
        <w:tc>
          <w:tcPr>
            <w:tcW w:w="12345" w:type="dxa"/>
            <w:gridSpan w:val="10"/>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i w:val="0"/>
                <w:color w:val="000000"/>
                <w:kern w:val="0"/>
                <w:sz w:val="30"/>
                <w:szCs w:val="30"/>
                <w:u w:val="none"/>
                <w:lang w:val="en-US" w:eastAsia="zh-CN" w:bidi="ar"/>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1169"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405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26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2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11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78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94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530"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公开08表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5700" w:type="dxa"/>
            <w:gridSpan w:val="4"/>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部门：石家庄市鹿泉区民政局（本级）</w:t>
            </w:r>
          </w:p>
        </w:tc>
        <w:tc>
          <w:tcPr>
            <w:tcW w:w="126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2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11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78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94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530"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5700" w:type="dxa"/>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26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年初结转和结余</w:t>
            </w:r>
          </w:p>
        </w:tc>
        <w:tc>
          <w:tcPr>
            <w:tcW w:w="102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w:t>
            </w:r>
          </w:p>
        </w:tc>
        <w:tc>
          <w:tcPr>
            <w:tcW w:w="2835"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w:t>
            </w:r>
          </w:p>
        </w:tc>
        <w:tc>
          <w:tcPr>
            <w:tcW w:w="153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649"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功能分类科目编码</w:t>
            </w:r>
          </w:p>
        </w:tc>
        <w:tc>
          <w:tcPr>
            <w:tcW w:w="4051" w:type="dxa"/>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26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2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1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78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94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c>
          <w:tcPr>
            <w:tcW w:w="153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649"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051"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2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1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3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649"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051"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2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1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3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5700" w:type="dxa"/>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26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02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11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78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9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53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5700" w:type="dxa"/>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2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142.33</w:t>
            </w:r>
          </w:p>
        </w:tc>
        <w:tc>
          <w:tcPr>
            <w:tcW w:w="10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336.94</w:t>
            </w:r>
          </w:p>
        </w:tc>
        <w:tc>
          <w:tcPr>
            <w:tcW w:w="11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314.90</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p>
        </w:tc>
        <w:tc>
          <w:tcPr>
            <w:tcW w:w="9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314.90</w:t>
            </w: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164.37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64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w:t>
            </w:r>
          </w:p>
        </w:tc>
        <w:tc>
          <w:tcPr>
            <w:tcW w:w="40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其他支出</w:t>
            </w:r>
          </w:p>
        </w:tc>
        <w:tc>
          <w:tcPr>
            <w:tcW w:w="12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142.33</w:t>
            </w:r>
          </w:p>
        </w:tc>
        <w:tc>
          <w:tcPr>
            <w:tcW w:w="10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336.94</w:t>
            </w:r>
          </w:p>
        </w:tc>
        <w:tc>
          <w:tcPr>
            <w:tcW w:w="11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314.90</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314.90</w:t>
            </w: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164.37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8" w:hRule="atLeast"/>
        </w:trPr>
        <w:tc>
          <w:tcPr>
            <w:tcW w:w="164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22960</w:t>
            </w:r>
          </w:p>
        </w:tc>
        <w:tc>
          <w:tcPr>
            <w:tcW w:w="40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彩票公益金安排的支出</w:t>
            </w:r>
          </w:p>
        </w:tc>
        <w:tc>
          <w:tcPr>
            <w:tcW w:w="12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142.33</w:t>
            </w:r>
          </w:p>
        </w:tc>
        <w:tc>
          <w:tcPr>
            <w:tcW w:w="10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336.94</w:t>
            </w:r>
          </w:p>
        </w:tc>
        <w:tc>
          <w:tcPr>
            <w:tcW w:w="11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314.90</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314.90</w:t>
            </w: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164.37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64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2296001</w:t>
            </w:r>
          </w:p>
        </w:tc>
        <w:tc>
          <w:tcPr>
            <w:tcW w:w="40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用于补充全国社会保障基金的彩票公益金支出</w:t>
            </w:r>
          </w:p>
        </w:tc>
        <w:tc>
          <w:tcPr>
            <w:tcW w:w="12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0.74</w:t>
            </w:r>
          </w:p>
        </w:tc>
        <w:tc>
          <w:tcPr>
            <w:tcW w:w="11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0.74</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0.74</w:t>
            </w: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64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2296002</w:t>
            </w:r>
          </w:p>
        </w:tc>
        <w:tc>
          <w:tcPr>
            <w:tcW w:w="40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用于社会福利的彩票公益金支出</w:t>
            </w:r>
          </w:p>
        </w:tc>
        <w:tc>
          <w:tcPr>
            <w:tcW w:w="12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142.33</w:t>
            </w:r>
          </w:p>
        </w:tc>
        <w:tc>
          <w:tcPr>
            <w:tcW w:w="10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323.90</w:t>
            </w:r>
          </w:p>
        </w:tc>
        <w:tc>
          <w:tcPr>
            <w:tcW w:w="11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301.86</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301.86</w:t>
            </w: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164.37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64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2296099</w:t>
            </w:r>
          </w:p>
        </w:tc>
        <w:tc>
          <w:tcPr>
            <w:tcW w:w="40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用于其他社会公益事业的彩票公益金支出</w:t>
            </w:r>
          </w:p>
        </w:tc>
        <w:tc>
          <w:tcPr>
            <w:tcW w:w="12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10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12.31</w:t>
            </w:r>
          </w:p>
        </w:tc>
        <w:tc>
          <w:tcPr>
            <w:tcW w:w="11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12.31</w:t>
            </w: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9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12.31</w:t>
            </w: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64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0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2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0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1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64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0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2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0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1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64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40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2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0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1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7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9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1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r>
    </w:tbl>
    <w:p>
      <w:pPr>
        <w:rPr>
          <w:b/>
          <w:sz w:val="20"/>
          <w:szCs w:val="22"/>
          <w:highlight w:val="yellow"/>
        </w:rPr>
      </w:pPr>
      <w:r>
        <w:rPr>
          <w:rFonts w:hint="eastAsia" w:ascii="宋体" w:hAnsi="宋体" w:eastAsia="宋体" w:cs="宋体"/>
          <w:sz w:val="20"/>
          <w:szCs w:val="22"/>
        </w:rPr>
        <w:t>注：本表反映部门本年度政府性基金预算财政拨款收入、支出及结转结余情况。</w:t>
      </w:r>
      <w:r>
        <w:rPr>
          <w:b/>
          <w:sz w:val="20"/>
          <w:szCs w:val="22"/>
          <w:highlight w:val="yellow"/>
        </w:rPr>
        <w:br w:type="page"/>
      </w:r>
    </w:p>
    <w:tbl>
      <w:tblPr>
        <w:tblStyle w:val="7"/>
        <w:tblW w:w="12698" w:type="dxa"/>
        <w:tblInd w:w="0" w:type="dxa"/>
        <w:tblLayout w:type="fixed"/>
        <w:tblCellMar>
          <w:top w:w="0" w:type="dxa"/>
          <w:left w:w="0" w:type="dxa"/>
          <w:bottom w:w="0" w:type="dxa"/>
          <w:right w:w="0" w:type="dxa"/>
        </w:tblCellMar>
      </w:tblPr>
      <w:tblGrid>
        <w:gridCol w:w="882"/>
        <w:gridCol w:w="926"/>
        <w:gridCol w:w="248"/>
        <w:gridCol w:w="3896"/>
        <w:gridCol w:w="1593"/>
        <w:gridCol w:w="416"/>
        <w:gridCol w:w="1991"/>
        <w:gridCol w:w="1985"/>
        <w:gridCol w:w="761"/>
      </w:tblGrid>
      <w:tr>
        <w:tblPrEx>
          <w:tblCellMar>
            <w:top w:w="0" w:type="dxa"/>
            <w:left w:w="0" w:type="dxa"/>
            <w:bottom w:w="0" w:type="dxa"/>
            <w:right w:w="0" w:type="dxa"/>
          </w:tblCellMar>
        </w:tblPrEx>
        <w:trPr>
          <w:gridAfter w:val="1"/>
          <w:wAfter w:w="761" w:type="dxa"/>
          <w:trHeight w:val="860" w:hRule="atLeast"/>
        </w:trPr>
        <w:tc>
          <w:tcPr>
            <w:tcW w:w="11937" w:type="dxa"/>
            <w:gridSpan w:val="8"/>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28"/>
                <w:szCs w:val="28"/>
              </w:rPr>
            </w:pPr>
            <w:r>
              <w:rPr>
                <w:rFonts w:hint="eastAsia" w:ascii="黑体" w:hAnsi="宋体" w:eastAsia="黑体" w:cs="黑体"/>
                <w:color w:val="000000"/>
                <w:kern w:val="0"/>
                <w:sz w:val="28"/>
                <w:szCs w:val="28"/>
                <w:lang w:bidi="ar"/>
              </w:rPr>
              <w:t>国有资本经营预算财政拨款支出决算表</w:t>
            </w:r>
          </w:p>
        </w:tc>
      </w:tr>
      <w:tr>
        <w:tblPrEx>
          <w:tblCellMar>
            <w:top w:w="0" w:type="dxa"/>
            <w:left w:w="0" w:type="dxa"/>
            <w:bottom w:w="0" w:type="dxa"/>
            <w:right w:w="0" w:type="dxa"/>
          </w:tblCellMar>
        </w:tblPrEx>
        <w:trPr>
          <w:trHeight w:val="335" w:hRule="atLeast"/>
        </w:trPr>
        <w:tc>
          <w:tcPr>
            <w:tcW w:w="88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2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489"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153" w:type="dxa"/>
            <w:gridSpan w:val="4"/>
            <w:vMerge w:val="restart"/>
            <w:tcBorders>
              <w:top w:val="nil"/>
              <w:left w:val="nil"/>
              <w:right w:val="nil"/>
            </w:tcBorders>
            <w:shd w:val="clear" w:color="auto" w:fill="auto"/>
            <w:tcMar>
              <w:top w:w="15" w:type="dxa"/>
              <w:left w:w="15" w:type="dxa"/>
              <w:right w:w="15" w:type="dxa"/>
            </w:tcMar>
            <w:vAlign w:val="bottom"/>
          </w:tcPr>
          <w:p>
            <w:pPr>
              <w:widowControl/>
              <w:ind w:firstLine="1800" w:firstLineChars="900"/>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p>
            <w:pPr>
              <w:ind w:right="400" w:firstLine="1300" w:firstLineChars="650"/>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35" w:hRule="atLeast"/>
        </w:trPr>
        <w:tc>
          <w:tcPr>
            <w:tcW w:w="7545" w:type="dxa"/>
            <w:gridSpan w:val="5"/>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石家庄市鹿泉区民政局（本级）</w:t>
            </w:r>
          </w:p>
        </w:tc>
        <w:tc>
          <w:tcPr>
            <w:tcW w:w="5153" w:type="dxa"/>
            <w:gridSpan w:val="4"/>
            <w:vMerge w:val="continue"/>
            <w:tcBorders>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p>
        </w:tc>
      </w:tr>
      <w:tr>
        <w:tblPrEx>
          <w:tblCellMar>
            <w:top w:w="0" w:type="dxa"/>
            <w:left w:w="0" w:type="dxa"/>
            <w:bottom w:w="0" w:type="dxa"/>
            <w:right w:w="0" w:type="dxa"/>
          </w:tblCellMar>
        </w:tblPrEx>
        <w:trPr>
          <w:gridAfter w:val="1"/>
          <w:wAfter w:w="761" w:type="dxa"/>
          <w:trHeight w:val="345" w:hRule="atLeast"/>
        </w:trPr>
        <w:tc>
          <w:tcPr>
            <w:tcW w:w="595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科目</w:t>
            </w:r>
          </w:p>
        </w:tc>
        <w:tc>
          <w:tcPr>
            <w:tcW w:w="5985"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本年支出</w:t>
            </w:r>
          </w:p>
        </w:tc>
      </w:tr>
      <w:tr>
        <w:tblPrEx>
          <w:tblCellMar>
            <w:top w:w="0" w:type="dxa"/>
            <w:left w:w="0" w:type="dxa"/>
            <w:bottom w:w="0" w:type="dxa"/>
            <w:right w:w="0" w:type="dxa"/>
          </w:tblCellMar>
        </w:tblPrEx>
        <w:trPr>
          <w:gridAfter w:val="1"/>
          <w:wAfter w:w="761" w:type="dxa"/>
          <w:trHeight w:val="655" w:hRule="atLeast"/>
        </w:trPr>
        <w:tc>
          <w:tcPr>
            <w:tcW w:w="180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功能分类科目编码</w:t>
            </w:r>
          </w:p>
        </w:tc>
        <w:tc>
          <w:tcPr>
            <w:tcW w:w="414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科目名称</w:t>
            </w:r>
          </w:p>
        </w:tc>
        <w:tc>
          <w:tcPr>
            <w:tcW w:w="20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小计</w:t>
            </w:r>
          </w:p>
        </w:tc>
        <w:tc>
          <w:tcPr>
            <w:tcW w:w="19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基本支出</w:t>
            </w: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项目支出</w:t>
            </w:r>
          </w:p>
        </w:tc>
      </w:tr>
      <w:tr>
        <w:tblPrEx>
          <w:tblCellMar>
            <w:top w:w="0" w:type="dxa"/>
            <w:left w:w="0" w:type="dxa"/>
            <w:bottom w:w="0" w:type="dxa"/>
            <w:right w:w="0" w:type="dxa"/>
          </w:tblCellMar>
        </w:tblPrEx>
        <w:trPr>
          <w:gridAfter w:val="1"/>
          <w:wAfter w:w="761" w:type="dxa"/>
          <w:trHeight w:val="335" w:hRule="atLeast"/>
        </w:trPr>
        <w:tc>
          <w:tcPr>
            <w:tcW w:w="59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20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9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gridAfter w:val="1"/>
          <w:wAfter w:w="761" w:type="dxa"/>
          <w:trHeight w:val="335" w:hRule="atLeast"/>
        </w:trPr>
        <w:tc>
          <w:tcPr>
            <w:tcW w:w="59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20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9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gridAfter w:val="1"/>
          <w:wAfter w:w="761" w:type="dxa"/>
          <w:trHeight w:val="335" w:hRule="atLeast"/>
        </w:trPr>
        <w:tc>
          <w:tcPr>
            <w:tcW w:w="180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14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0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9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61" w:type="dxa"/>
          <w:trHeight w:val="335" w:hRule="atLeast"/>
        </w:trPr>
        <w:tc>
          <w:tcPr>
            <w:tcW w:w="180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14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0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9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61" w:type="dxa"/>
          <w:trHeight w:val="335" w:hRule="atLeast"/>
        </w:trPr>
        <w:tc>
          <w:tcPr>
            <w:tcW w:w="180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14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0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9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61" w:type="dxa"/>
          <w:trHeight w:val="335" w:hRule="atLeast"/>
        </w:trPr>
        <w:tc>
          <w:tcPr>
            <w:tcW w:w="180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14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0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9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761" w:type="dxa"/>
          <w:trHeight w:val="345" w:hRule="atLeast"/>
        </w:trPr>
        <w:tc>
          <w:tcPr>
            <w:tcW w:w="180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14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0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9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9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pPr>
        <w:rPr>
          <w:lang w:val="en-US" w:eastAsia="zh-CN"/>
        </w:rPr>
      </w:pPr>
      <w:r>
        <w:rPr>
          <w:rFonts w:hint="eastAsia" w:ascii="宋体" w:hAnsi="宋体" w:eastAsia="宋体" w:cs="宋体"/>
          <w:sz w:val="20"/>
          <w:szCs w:val="22"/>
          <w:lang w:eastAsia="zh-CN"/>
        </w:rPr>
        <w:t>注：本部门本年度无相关收入（或支出、收支及结转结余等）情况，按要求空表列式。</w:t>
      </w:r>
    </w:p>
    <w:sectPr>
      <w:pgSz w:w="16838" w:h="11906" w:orient="landscape"/>
      <w:pgMar w:top="1531" w:right="2098" w:bottom="1531" w:left="198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Black">
    <w:panose1 w:val="020B0A04020102020204"/>
    <w:charset w:val="00"/>
    <w:family w:val="swiss"/>
    <w:pitch w:val="default"/>
    <w:sig w:usb0="A00002AF" w:usb1="400078FB" w:usb2="00000000" w:usb3="00000000" w:csb0="6000009F" w:csb1="DFD70000"/>
  </w:font>
  <w:font w:name="Cambria">
    <w:panose1 w:val="02040503050406030204"/>
    <w:charset w:val="00"/>
    <w:family w:val="roman"/>
    <w:pitch w:val="default"/>
    <w:sig w:usb0="E00006FF" w:usb1="420024FF" w:usb2="02000000" w:usb3="00000000" w:csb0="2000019F" w:csb1="00000000"/>
  </w:font>
  <w:font w:name="Mongolian Baiti">
    <w:panose1 w:val="03000500000000000000"/>
    <w:charset w:val="00"/>
    <w:family w:val="script"/>
    <w:pitch w:val="default"/>
    <w:sig w:usb0="80000023" w:usb1="00000000" w:usb2="00020000" w:usb3="00000000" w:csb0="0000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9950409"/>
    <w:multiLevelType w:val="singleLevel"/>
    <w:tmpl w:val="59950409"/>
    <w:lvl w:ilvl="0" w:tentative="0">
      <w:start w:val="1"/>
      <w:numFmt w:val="decimal"/>
      <w:suff w:val="space"/>
      <w:lvlText w:val="%1."/>
      <w:lvlJc w:val="left"/>
    </w:lvl>
  </w:abstractNum>
  <w:abstractNum w:abstractNumId="2">
    <w:nsid w:val="78C1413D"/>
    <w:multiLevelType w:val="singleLevel"/>
    <w:tmpl w:val="78C1413D"/>
    <w:lvl w:ilvl="0" w:tentative="0">
      <w:start w:val="1"/>
      <w:numFmt w:val="decimal"/>
      <w:suff w:val="space"/>
      <w:lvlText w:val="%1."/>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NlNzEwZjRjNDcyMjMwMDMyNjZhMDQ4ZTQyM2QyNGQifQ=="/>
  </w:docVars>
  <w:rsids>
    <w:rsidRoot w:val="34C45458"/>
    <w:rsid w:val="00061A05"/>
    <w:rsid w:val="00061B93"/>
    <w:rsid w:val="00147453"/>
    <w:rsid w:val="0018668E"/>
    <w:rsid w:val="001B73D2"/>
    <w:rsid w:val="001E62BF"/>
    <w:rsid w:val="0027064E"/>
    <w:rsid w:val="00293E7B"/>
    <w:rsid w:val="002D1F4F"/>
    <w:rsid w:val="002E167A"/>
    <w:rsid w:val="002F1DA9"/>
    <w:rsid w:val="00310EBF"/>
    <w:rsid w:val="00366D90"/>
    <w:rsid w:val="003D2226"/>
    <w:rsid w:val="003D678E"/>
    <w:rsid w:val="00461FAF"/>
    <w:rsid w:val="004C5480"/>
    <w:rsid w:val="004D1EA2"/>
    <w:rsid w:val="005E0E86"/>
    <w:rsid w:val="006C01AE"/>
    <w:rsid w:val="007620A2"/>
    <w:rsid w:val="00791C72"/>
    <w:rsid w:val="007920FC"/>
    <w:rsid w:val="007B4876"/>
    <w:rsid w:val="00801F66"/>
    <w:rsid w:val="00812C39"/>
    <w:rsid w:val="009334BF"/>
    <w:rsid w:val="00995AAE"/>
    <w:rsid w:val="009D1193"/>
    <w:rsid w:val="00A61E3E"/>
    <w:rsid w:val="00B0223F"/>
    <w:rsid w:val="00BA1219"/>
    <w:rsid w:val="00BB2584"/>
    <w:rsid w:val="00BE2400"/>
    <w:rsid w:val="00E54963"/>
    <w:rsid w:val="00EB3F98"/>
    <w:rsid w:val="00F13004"/>
    <w:rsid w:val="00F217C2"/>
    <w:rsid w:val="00FD5E00"/>
    <w:rsid w:val="01B30988"/>
    <w:rsid w:val="01D31CDD"/>
    <w:rsid w:val="01F53E3E"/>
    <w:rsid w:val="03A52520"/>
    <w:rsid w:val="03BB77F9"/>
    <w:rsid w:val="03DC703A"/>
    <w:rsid w:val="04C90C6B"/>
    <w:rsid w:val="050A0EDF"/>
    <w:rsid w:val="052356A1"/>
    <w:rsid w:val="05847380"/>
    <w:rsid w:val="05E70CCA"/>
    <w:rsid w:val="0629554B"/>
    <w:rsid w:val="06784533"/>
    <w:rsid w:val="06B65C81"/>
    <w:rsid w:val="073A738B"/>
    <w:rsid w:val="07A01658"/>
    <w:rsid w:val="082C595B"/>
    <w:rsid w:val="08E62245"/>
    <w:rsid w:val="08F10EBB"/>
    <w:rsid w:val="08FE47F9"/>
    <w:rsid w:val="0A871348"/>
    <w:rsid w:val="0A8B5822"/>
    <w:rsid w:val="0B3F623B"/>
    <w:rsid w:val="0B78068B"/>
    <w:rsid w:val="0B9054A5"/>
    <w:rsid w:val="0B950DB0"/>
    <w:rsid w:val="0CD34774"/>
    <w:rsid w:val="0CEB0B24"/>
    <w:rsid w:val="0D2D6943"/>
    <w:rsid w:val="0E6E2159"/>
    <w:rsid w:val="0EA325C9"/>
    <w:rsid w:val="0EE17C1A"/>
    <w:rsid w:val="0F3B7977"/>
    <w:rsid w:val="10196967"/>
    <w:rsid w:val="119076ED"/>
    <w:rsid w:val="11C04E78"/>
    <w:rsid w:val="13171DD1"/>
    <w:rsid w:val="14E13F9A"/>
    <w:rsid w:val="14F55DDC"/>
    <w:rsid w:val="157E60BA"/>
    <w:rsid w:val="16D13C4B"/>
    <w:rsid w:val="17271150"/>
    <w:rsid w:val="173502EB"/>
    <w:rsid w:val="175F2B42"/>
    <w:rsid w:val="181800A9"/>
    <w:rsid w:val="190D306A"/>
    <w:rsid w:val="195519A4"/>
    <w:rsid w:val="19FA7443"/>
    <w:rsid w:val="1ACF43EB"/>
    <w:rsid w:val="1C8325B5"/>
    <w:rsid w:val="1CC63DB8"/>
    <w:rsid w:val="1CEA6592"/>
    <w:rsid w:val="1CF90E26"/>
    <w:rsid w:val="1E3E6B63"/>
    <w:rsid w:val="1E7C4445"/>
    <w:rsid w:val="20694284"/>
    <w:rsid w:val="2130353B"/>
    <w:rsid w:val="21B8285C"/>
    <w:rsid w:val="222E2C14"/>
    <w:rsid w:val="22993CCA"/>
    <w:rsid w:val="22B0796F"/>
    <w:rsid w:val="22E46C89"/>
    <w:rsid w:val="22E73E48"/>
    <w:rsid w:val="23B250EB"/>
    <w:rsid w:val="25CC2527"/>
    <w:rsid w:val="26A92497"/>
    <w:rsid w:val="296E2ED9"/>
    <w:rsid w:val="2A882D5B"/>
    <w:rsid w:val="2BA22CD3"/>
    <w:rsid w:val="2CA71390"/>
    <w:rsid w:val="2D1267F2"/>
    <w:rsid w:val="2E8C4F49"/>
    <w:rsid w:val="2E920C2A"/>
    <w:rsid w:val="2F760EEE"/>
    <w:rsid w:val="300D3573"/>
    <w:rsid w:val="31330934"/>
    <w:rsid w:val="32434251"/>
    <w:rsid w:val="34402463"/>
    <w:rsid w:val="34C45458"/>
    <w:rsid w:val="35664BB3"/>
    <w:rsid w:val="35C83C42"/>
    <w:rsid w:val="36456970"/>
    <w:rsid w:val="369D21A4"/>
    <w:rsid w:val="37364F97"/>
    <w:rsid w:val="373E7426"/>
    <w:rsid w:val="37445DC3"/>
    <w:rsid w:val="37484B67"/>
    <w:rsid w:val="38C671C0"/>
    <w:rsid w:val="38C96DCB"/>
    <w:rsid w:val="39663A9E"/>
    <w:rsid w:val="3A631E02"/>
    <w:rsid w:val="3AAA49AD"/>
    <w:rsid w:val="3AB916D4"/>
    <w:rsid w:val="3BE477E6"/>
    <w:rsid w:val="3C65127C"/>
    <w:rsid w:val="3DFE5A90"/>
    <w:rsid w:val="40C13699"/>
    <w:rsid w:val="40FA5B64"/>
    <w:rsid w:val="41537136"/>
    <w:rsid w:val="415A2AFD"/>
    <w:rsid w:val="418420DF"/>
    <w:rsid w:val="429F2F54"/>
    <w:rsid w:val="432C0241"/>
    <w:rsid w:val="438D4F79"/>
    <w:rsid w:val="459D30EA"/>
    <w:rsid w:val="45D3196E"/>
    <w:rsid w:val="45D80093"/>
    <w:rsid w:val="461D2C2B"/>
    <w:rsid w:val="48151D07"/>
    <w:rsid w:val="48524C0C"/>
    <w:rsid w:val="4A791A96"/>
    <w:rsid w:val="4A9A39F8"/>
    <w:rsid w:val="4AA46A40"/>
    <w:rsid w:val="4B05131E"/>
    <w:rsid w:val="4B254900"/>
    <w:rsid w:val="4DD109BA"/>
    <w:rsid w:val="4F5C413A"/>
    <w:rsid w:val="50A51686"/>
    <w:rsid w:val="51AA6D57"/>
    <w:rsid w:val="520F537D"/>
    <w:rsid w:val="532C5C5F"/>
    <w:rsid w:val="53E72B19"/>
    <w:rsid w:val="559D4816"/>
    <w:rsid w:val="561F60E3"/>
    <w:rsid w:val="5664635B"/>
    <w:rsid w:val="577546E3"/>
    <w:rsid w:val="57F2714F"/>
    <w:rsid w:val="5A9F1A52"/>
    <w:rsid w:val="5AF45574"/>
    <w:rsid w:val="5B0962C2"/>
    <w:rsid w:val="5B4D770B"/>
    <w:rsid w:val="5B6146D3"/>
    <w:rsid w:val="5C622C08"/>
    <w:rsid w:val="5D3C3EB0"/>
    <w:rsid w:val="5D4A47BF"/>
    <w:rsid w:val="5E0F2B13"/>
    <w:rsid w:val="5F210CB7"/>
    <w:rsid w:val="60154311"/>
    <w:rsid w:val="60F654DD"/>
    <w:rsid w:val="622E4969"/>
    <w:rsid w:val="6293023C"/>
    <w:rsid w:val="630E1953"/>
    <w:rsid w:val="63C67A86"/>
    <w:rsid w:val="64B30422"/>
    <w:rsid w:val="65F176D7"/>
    <w:rsid w:val="66A444BE"/>
    <w:rsid w:val="672808D6"/>
    <w:rsid w:val="676A4C9D"/>
    <w:rsid w:val="6810629B"/>
    <w:rsid w:val="681F50E0"/>
    <w:rsid w:val="683C56B3"/>
    <w:rsid w:val="695B26FD"/>
    <w:rsid w:val="69EF0954"/>
    <w:rsid w:val="69F307EF"/>
    <w:rsid w:val="6ACC3EB4"/>
    <w:rsid w:val="6AD11F26"/>
    <w:rsid w:val="6AF77BA8"/>
    <w:rsid w:val="6B166190"/>
    <w:rsid w:val="6B6273A0"/>
    <w:rsid w:val="6C4C64A4"/>
    <w:rsid w:val="6DAC1F7E"/>
    <w:rsid w:val="6DCC4D33"/>
    <w:rsid w:val="6E2D234A"/>
    <w:rsid w:val="6F2562F5"/>
    <w:rsid w:val="6F9C1B7F"/>
    <w:rsid w:val="6FAE7991"/>
    <w:rsid w:val="70764FB5"/>
    <w:rsid w:val="71F13120"/>
    <w:rsid w:val="720925F1"/>
    <w:rsid w:val="73BF68B1"/>
    <w:rsid w:val="73D824BD"/>
    <w:rsid w:val="74077EBA"/>
    <w:rsid w:val="74E05526"/>
    <w:rsid w:val="75A633C5"/>
    <w:rsid w:val="7645262E"/>
    <w:rsid w:val="764B3663"/>
    <w:rsid w:val="76A84007"/>
    <w:rsid w:val="787561A4"/>
    <w:rsid w:val="7973249D"/>
    <w:rsid w:val="7C0A00EF"/>
    <w:rsid w:val="7D3B1D70"/>
    <w:rsid w:val="7D8B7B0E"/>
    <w:rsid w:val="7DB40A06"/>
    <w:rsid w:val="7E2231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paragraph" w:styleId="3">
    <w:name w:val="heading 2"/>
    <w:basedOn w:val="1"/>
    <w:next w:val="1"/>
    <w:unhideWhenUsed/>
    <w:qFormat/>
    <w:uiPriority w:val="0"/>
    <w:pPr>
      <w:keepNext/>
      <w:keepLines/>
      <w:spacing w:line="413" w:lineRule="auto"/>
      <w:outlineLvl w:val="1"/>
    </w:pPr>
    <w:rPr>
      <w:rFonts w:ascii="Arial" w:hAnsi="Arial" w:eastAsia="黑体"/>
      <w:b/>
      <w:sz w:val="32"/>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11"/>
    <w:qFormat/>
    <w:uiPriority w:val="0"/>
    <w:rPr>
      <w:sz w:val="18"/>
      <w:szCs w:val="18"/>
    </w:rPr>
  </w:style>
  <w:style w:type="paragraph" w:styleId="5">
    <w:name w:val="footer"/>
    <w:basedOn w:val="1"/>
    <w:unhideWhenUsed/>
    <w:qFormat/>
    <w:uiPriority w:val="99"/>
    <w:pPr>
      <w:tabs>
        <w:tab w:val="center" w:pos="4153"/>
        <w:tab w:val="right" w:pos="8306"/>
      </w:tabs>
      <w:snapToGrid w:val="0"/>
      <w:jc w:val="left"/>
    </w:pPr>
    <w:rPr>
      <w:sz w:val="18"/>
      <w:szCs w:val="18"/>
    </w:rPr>
  </w:style>
  <w:style w:type="paragraph" w:styleId="6">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styleId="10">
    <w:name w:val="List Paragraph"/>
    <w:basedOn w:val="1"/>
    <w:unhideWhenUsed/>
    <w:qFormat/>
    <w:uiPriority w:val="99"/>
    <w:pPr>
      <w:ind w:firstLine="420" w:firstLineChars="200"/>
    </w:pPr>
  </w:style>
  <w:style w:type="character" w:customStyle="1" w:styleId="11">
    <w:name w:val="批注框文本 Char"/>
    <w:basedOn w:val="9"/>
    <w:link w:val="4"/>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4.xml"/><Relationship Id="rId18" Type="http://schemas.openxmlformats.org/officeDocument/2006/relationships/chart" Target="charts/chart3.xml"/><Relationship Id="rId17" Type="http://schemas.openxmlformats.org/officeDocument/2006/relationships/chart" Target="charts/chart2.xml"/><Relationship Id="rId16" Type="http://schemas.openxmlformats.org/officeDocument/2006/relationships/chart" Target="charts/chart1.xml"/><Relationship Id="rId15" Type="http://schemas.openxmlformats.org/officeDocument/2006/relationships/image" Target="media/image2.bmp"/><Relationship Id="rId14" Type="http://schemas.openxmlformats.org/officeDocument/2006/relationships/image" Target="media/image1.jpeg"/><Relationship Id="rId13" Type="http://schemas.openxmlformats.org/officeDocument/2006/relationships/theme" Target="theme/theme1.xml"/><Relationship Id="rId12" Type="http://schemas.openxmlformats.org/officeDocument/2006/relationships/header" Target="header6.xml"/><Relationship Id="rId11" Type="http://schemas.openxmlformats.org/officeDocument/2006/relationships/header" Target="header5.xml"/><Relationship Id="rId10" Type="http://schemas.openxmlformats.org/officeDocument/2006/relationships/footer" Target="footer4.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2019-2020</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年收支总计对比情况（图</a:t>
            </a: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1</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a:t>
            </a:r>
            <a:endPar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endParaRPr>
          </a:p>
        </c:rich>
      </c:tx>
      <c:layout>
        <c:manualLayout>
          <c:xMode val="edge"/>
          <c:yMode val="edge"/>
          <c:x val="0.209718361608105"/>
          <c:y val="0.846648044692737"/>
        </c:manualLayout>
      </c:layout>
      <c:overlay val="0"/>
      <c:spPr>
        <a:noFill/>
        <a:ln>
          <a:noFill/>
        </a:ln>
        <a:effectLst/>
      </c:spPr>
    </c:title>
    <c:autoTitleDeleted val="0"/>
    <c:plotArea>
      <c:layout>
        <c:manualLayout>
          <c:layoutTarget val="inner"/>
          <c:xMode val="edge"/>
          <c:yMode val="edge"/>
          <c:x val="0.119211973121564"/>
          <c:y val="0.109776536312849"/>
          <c:w val="0.778772144166158"/>
          <c:h val="0.619106145251397"/>
        </c:manualLayout>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r>
                      <a:rPr lang="en-US" altLang="zh-CN"/>
                      <a:t>6972.85</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15:layout>
                    <c:manualLayout>
                      <c:w val="0.146304215027489"/>
                      <c:h val="0.10195530726257"/>
                    </c:manualLayout>
                  </c15:layout>
                </c:ext>
              </c:extLst>
            </c:dLbl>
            <c:dLbl>
              <c:idx val="1"/>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r>
                      <a:rPr lang="en-US" altLang="zh-CN"/>
                      <a:t>6311.04</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15:layout>
                    <c:manualLayout>
                      <c:w val="0.127519853390348"/>
                      <c:h val="0.0994413407821229"/>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2019年</c:v>
                </c:pt>
                <c:pt idx="1">
                  <c:v>2020年</c:v>
                </c:pt>
              </c:strCache>
            </c:strRef>
          </c:cat>
          <c:val>
            <c:numRef>
              <c:f>Sheet1!$B$2:$B$3</c:f>
              <c:numCache>
                <c:formatCode>General</c:formatCode>
                <c:ptCount val="2"/>
                <c:pt idx="0">
                  <c:v>6972.85</c:v>
                </c:pt>
                <c:pt idx="1">
                  <c:v>6311.04</c:v>
                </c:pt>
              </c:numCache>
            </c:numRef>
          </c:val>
        </c:ser>
        <c:dLbls>
          <c:showLegendKey val="0"/>
          <c:showVal val="1"/>
          <c:showCatName val="0"/>
          <c:showSerName val="0"/>
          <c:showPercent val="0"/>
          <c:showBubbleSize val="0"/>
        </c:dLbls>
        <c:gapWidth val="219"/>
        <c:overlap val="-27"/>
        <c:axId val="325272704"/>
        <c:axId val="325275648"/>
      </c:barChart>
      <c:catAx>
        <c:axId val="32527270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325275648"/>
        <c:crosses val="autoZero"/>
        <c:auto val="1"/>
        <c:lblAlgn val="ctr"/>
        <c:lblOffset val="100"/>
        <c:noMultiLvlLbl val="0"/>
      </c:catAx>
      <c:valAx>
        <c:axId val="325275648"/>
        <c:scaling>
          <c:orientation val="minMax"/>
        </c:scaling>
        <c:delete val="0"/>
        <c:axPos val="l"/>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325272704"/>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Entry>
      <c:layout>
        <c:manualLayout>
          <c:xMode val="edge"/>
          <c:yMode val="edge"/>
          <c:x val="0.830312807730552"/>
          <c:y val="0.36317316982804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
    <c:plotVisOnly val="1"/>
    <c:dispBlanksAs val="gap"/>
    <c:showDLblsOverMax val="0"/>
  </c:chart>
  <c:spPr>
    <a:solidFill>
      <a:schemeClr val="bg1"/>
    </a:solidFill>
    <a:ln w="9525" cap="flat" cmpd="sng" algn="ctr">
      <a:noFill/>
      <a:prstDash val="solid"/>
      <a:round/>
    </a:ln>
    <a:effectLst/>
  </c:spPr>
  <c:txPr>
    <a:bodyPr/>
    <a:lstStyle/>
    <a:p>
      <a:pPr>
        <a:defRPr 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800" b="1" i="0" u="none" strike="noStrike" kern="1200" baseline="0">
                <a:solidFill>
                  <a:schemeClr val="dk1">
                    <a:lumMod val="75000"/>
                    <a:lumOff val="25000"/>
                  </a:schemeClr>
                </a:solidFill>
                <a:latin typeface="+mn-lt"/>
                <a:ea typeface="+mn-ea"/>
                <a:cs typeface="+mn-cs"/>
              </a:defRPr>
            </a:pPr>
            <a:r>
              <a:rPr sz="1400"/>
              <a:t>收入决算构成情况</a:t>
            </a:r>
            <a:endParaRPr sz="1400"/>
          </a:p>
        </c:rich>
      </c:tx>
      <c:layout>
        <c:manualLayout>
          <c:xMode val="edge"/>
          <c:yMode val="edge"/>
          <c:x val="0.371361635529619"/>
          <c:y val="0.0357264375637972"/>
        </c:manualLayout>
      </c:layout>
      <c:overlay val="0"/>
      <c:spPr>
        <a:noFill/>
        <a:ln>
          <a:noFill/>
        </a:ln>
        <a:effectLst/>
      </c:spPr>
    </c:title>
    <c:autoTitleDeleted val="0"/>
    <c:plotArea>
      <c:layout>
        <c:manualLayout>
          <c:layoutTarget val="inner"/>
          <c:xMode val="edge"/>
          <c:yMode val="edge"/>
          <c:x val="0.224625"/>
          <c:y val="0.174666666666667"/>
          <c:w val="0.61525"/>
          <c:h val="0.820333333333333"/>
        </c:manualLayout>
      </c:layout>
      <c:pieChart>
        <c:varyColors val="1"/>
        <c:ser>
          <c:idx val="0"/>
          <c:order val="0"/>
          <c:tx>
            <c:strRef>
              <c:f>Sheet1!$B$1</c:f>
              <c:strCache>
                <c:ptCount val="1"/>
                <c:pt idx="0">
                  <c:v>销售额</c:v>
                </c:pt>
              </c:strCache>
            </c:strRef>
          </c:tx>
          <c:spPr/>
          <c:explosion val="0"/>
          <c:dPt>
            <c:idx val="0"/>
            <c:bubble3D val="0"/>
            <c:explosion val="2"/>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Pt>
            <c:idx val="4"/>
            <c:bubble3D val="0"/>
            <c:spPr>
              <a:solidFill>
                <a:schemeClr val="accent5"/>
              </a:solidFill>
              <a:ln>
                <a:noFill/>
              </a:ln>
              <a:effectLst>
                <a:outerShdw blurRad="254000" sx="102000" sy="102000" algn="ctr" rotWithShape="0">
                  <a:prstClr val="black">
                    <a:alpha val="20000"/>
                  </a:prstClr>
                </a:outerShdw>
              </a:effectLst>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Sheet1!$A$2:$A$6</c:f>
              <c:strCache>
                <c:ptCount val="5"/>
                <c:pt idx="0">
                  <c:v>社会保障和就业支出</c:v>
                </c:pt>
                <c:pt idx="1">
                  <c:v>卫生和健康支出</c:v>
                </c:pt>
                <c:pt idx="2">
                  <c:v>农林水支出</c:v>
                </c:pt>
                <c:pt idx="3">
                  <c:v>住房保障支出</c:v>
                </c:pt>
                <c:pt idx="4">
                  <c:v>其他支出</c:v>
                </c:pt>
              </c:strCache>
            </c:strRef>
          </c:cat>
          <c:val>
            <c:numRef>
              <c:f>Sheet1!$B$2:$B$6</c:f>
              <c:numCache>
                <c:formatCode>General</c:formatCode>
                <c:ptCount val="5"/>
                <c:pt idx="0">
                  <c:v>84.85</c:v>
                </c:pt>
                <c:pt idx="1">
                  <c:v>0.43</c:v>
                </c:pt>
                <c:pt idx="2">
                  <c:v>7.83</c:v>
                </c:pt>
                <c:pt idx="3">
                  <c:v>0.5</c:v>
                </c:pt>
                <c:pt idx="4">
                  <c:v>6.39</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0173263629574309"/>
          <c:y val="0.12753433616743"/>
          <c:w val="0.320687079910381"/>
          <c:h val="0.754414650098103"/>
        </c:manualLayout>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no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928211586901763"/>
          <c:y val="0.186059427936684"/>
          <c:w val="0.86624685138539"/>
          <c:h val="0.528853096362122"/>
        </c:manualLayout>
      </c:layout>
      <c:barChart>
        <c:barDir val="col"/>
        <c:grouping val="clustered"/>
        <c:varyColors val="0"/>
        <c:ser>
          <c:idx val="0"/>
          <c:order val="0"/>
          <c:tx>
            <c:strRef>
              <c:f>Sheet1!$B$1</c:f>
              <c:strCache>
                <c:ptCount val="1"/>
                <c:pt idx="0">
                  <c:v>基本支出</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人员经费</c:v>
                </c:pt>
                <c:pt idx="1">
                  <c:v>公用经费</c:v>
                </c:pt>
                <c:pt idx="2">
                  <c:v>民生保障类支出</c:v>
                </c:pt>
              </c:strCache>
            </c:strRef>
          </c:cat>
          <c:val>
            <c:numRef>
              <c:f>Sheet1!$B$2:$B$4</c:f>
              <c:numCache>
                <c:formatCode>General</c:formatCode>
                <c:ptCount val="3"/>
                <c:pt idx="0">
                  <c:v>445.82</c:v>
                </c:pt>
                <c:pt idx="1">
                  <c:v>273.83</c:v>
                </c:pt>
              </c:numCache>
            </c:numRef>
          </c:val>
        </c:ser>
        <c:ser>
          <c:idx val="1"/>
          <c:order val="1"/>
          <c:tx>
            <c:strRef>
              <c:f>Sheet1!$C$1</c:f>
              <c:strCache>
                <c:ptCount val="1"/>
                <c:pt idx="0">
                  <c:v>项目支出</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人员经费</c:v>
                </c:pt>
                <c:pt idx="1">
                  <c:v>公用经费</c:v>
                </c:pt>
                <c:pt idx="2">
                  <c:v>民生保障类支出</c:v>
                </c:pt>
              </c:strCache>
            </c:strRef>
          </c:cat>
          <c:val>
            <c:numRef>
              <c:f>Sheet1!$C$2:$C$4</c:f>
              <c:numCache>
                <c:formatCode>General</c:formatCode>
                <c:ptCount val="3"/>
                <c:pt idx="2">
                  <c:v>5199.18</c:v>
                </c:pt>
              </c:numCache>
            </c:numRef>
          </c:val>
        </c:ser>
        <c:dLbls>
          <c:showLegendKey val="0"/>
          <c:showVal val="0"/>
          <c:showCatName val="0"/>
          <c:showSerName val="0"/>
          <c:showPercent val="0"/>
          <c:showBubbleSize val="0"/>
        </c:dLbls>
        <c:gapWidth val="219"/>
        <c:overlap val="-27"/>
        <c:axId val="334473987"/>
        <c:axId val="167127179"/>
      </c:barChart>
      <c:catAx>
        <c:axId val="334473987"/>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67127179"/>
        <c:crosses val="autoZero"/>
        <c:auto val="1"/>
        <c:lblAlgn val="ctr"/>
        <c:lblOffset val="100"/>
        <c:noMultiLvlLbl val="0"/>
      </c:catAx>
      <c:valAx>
        <c:axId val="16712717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34473987"/>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2020年财政拨款支出</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elete val="1"/>
          </c:dLbls>
          <c:cat>
            <c:strRef>
              <c:f>Sheet1!$A$2:$A$6</c:f>
              <c:strCache>
                <c:ptCount val="5"/>
                <c:pt idx="0">
                  <c:v>社会保障和就业支出</c:v>
                </c:pt>
                <c:pt idx="1">
                  <c:v>卫生健康支出</c:v>
                </c:pt>
                <c:pt idx="2">
                  <c:v>农林水支出</c:v>
                </c:pt>
                <c:pt idx="3">
                  <c:v>住房保障支出</c:v>
                </c:pt>
                <c:pt idx="4">
                  <c:v>其他支出</c:v>
                </c:pt>
              </c:strCache>
            </c:strRef>
          </c:cat>
          <c:val>
            <c:numRef>
              <c:f>Sheet1!$B$2:$B$6</c:f>
              <c:numCache>
                <c:formatCode>General</c:formatCode>
                <c:ptCount val="5"/>
                <c:pt idx="0">
                  <c:v>86.81</c:v>
                </c:pt>
                <c:pt idx="1">
                  <c:v>0.43</c:v>
                </c:pt>
                <c:pt idx="2">
                  <c:v>6.98</c:v>
                </c:pt>
                <c:pt idx="3">
                  <c:v>0.46</c:v>
                </c:pt>
                <c:pt idx="4">
                  <c:v>5.32</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39</Pages>
  <Words>11120</Words>
  <Characters>16376</Characters>
  <Lines>83</Lines>
  <Paragraphs>23</Paragraphs>
  <TotalTime>6</TotalTime>
  <ScaleCrop>false</ScaleCrop>
  <LinksUpToDate>false</LinksUpToDate>
  <CharactersWithSpaces>16780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Administrator</cp:lastModifiedBy>
  <cp:lastPrinted>2021-08-26T06:52:00Z</cp:lastPrinted>
  <dcterms:modified xsi:type="dcterms:W3CDTF">2023-06-27T04:49:45Z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65FA352BAB5146309CB066C800874C19</vt:lpwstr>
  </property>
</Properties>
</file>