
<file path=[Content_Types].xml><?xml version="1.0" encoding="utf-8"?>
<Types xmlns="http://schemas.openxmlformats.org/package/2006/content-types">
  <Default Extension="xml" ContentType="application/xml"/>
  <Default Extension="xlsx" ContentType="application/vnd.openxmlformats-officedocument.spreadsheetml.sheet"/>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黑体" w:hAnsi="黑体" w:eastAsia="黑体" w:cs="黑体"/>
          <w:sz w:val="72"/>
          <w:szCs w:val="96"/>
        </w:rPr>
      </w:pPr>
    </w:p>
    <w:p>
      <w:pPr>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石家庄市鹿泉区水利局</w:t>
      </w:r>
    </w:p>
    <w:p>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w:t>
      </w:r>
      <w:r>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keepNext w:val="0"/>
        <w:keepLines w:val="0"/>
        <w:pageBreakBefore w:val="0"/>
        <w:widowControl w:val="0"/>
        <w:kinsoku/>
        <w:wordWrap/>
        <w:overflowPunct/>
        <w:topLinePunct w:val="0"/>
        <w:autoSpaceDE/>
        <w:autoSpaceDN/>
        <w:bidi w:val="0"/>
        <w:adjustRightInd/>
        <w:snapToGrid/>
        <w:spacing w:line="1100" w:lineRule="exact"/>
        <w:jc w:val="center"/>
        <w:textAlignment w:val="auto"/>
        <w:rPr>
          <w:rFonts w:hint="eastAsia" w:ascii="黑体" w:hAnsi="黑体" w:eastAsia="黑体" w:cs="黑体"/>
          <w:sz w:val="72"/>
          <w:szCs w:val="96"/>
          <w:lang w:val="en-US" w:eastAsia="zh-CN"/>
        </w:rPr>
      </w:pPr>
      <w:r>
        <w:rPr>
          <w:rFonts w:hint="eastAsia" w:ascii="黑体" w:hAnsi="黑体" w:eastAsia="黑体" w:cs="黑体"/>
          <w:sz w:val="72"/>
          <w:szCs w:val="96"/>
          <w:lang w:val="en-US" w:eastAsia="zh-CN"/>
        </w:rPr>
        <w:t>石家庄市鹿泉区水利局</w:t>
      </w:r>
    </w:p>
    <w:p>
      <w:pPr>
        <w:keepNext w:val="0"/>
        <w:keepLines w:val="0"/>
        <w:pageBreakBefore w:val="0"/>
        <w:widowControl w:val="0"/>
        <w:kinsoku/>
        <w:wordWrap/>
        <w:overflowPunct/>
        <w:topLinePunct w:val="0"/>
        <w:autoSpaceDE/>
        <w:autoSpaceDN/>
        <w:bidi w:val="0"/>
        <w:adjustRightInd/>
        <w:snapToGrid/>
        <w:spacing w:line="1100" w:lineRule="exact"/>
        <w:jc w:val="center"/>
        <w:textAlignment w:val="auto"/>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2098" w:right="1531" w:bottom="1984"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w:t>
      </w:r>
      <w:r>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tabs>
          <w:tab w:val="left" w:pos="2728"/>
        </w:tabs>
        <w:jc w:val="center"/>
        <w:rPr>
          <w:rFonts w:hint="eastAsia"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line="62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line="62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line="62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line="62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line="62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pPr>
        <w:widowControl/>
        <w:spacing w:line="62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type w:val="continuous"/>
          <w:pgSz w:w="11906" w:h="16838"/>
          <w:pgMar w:top="2098" w:right="1531" w:bottom="1984"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60288" behindDoc="0" locked="0" layoutInCell="1" allowOverlap="1">
                <wp:simplePos x="0" y="0"/>
                <wp:positionH relativeFrom="column">
                  <wp:posOffset>-1088390</wp:posOffset>
                </wp:positionH>
                <wp:positionV relativeFrom="paragraph">
                  <wp:posOffset>1024890</wp:posOffset>
                </wp:positionV>
                <wp:extent cx="7793355" cy="3341370"/>
                <wp:effectExtent l="6350" t="6350" r="18415" b="2032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0288;v-text-anchor:middle;mso-width-relative:page;mso-height-relative:page;" fillcolor="#7F7F7F [1612]" filled="t" stroked="t" coordsize="21600,21600" o:gfxdata="UEsDBAoAAAAAAIdO4kAAAAAAAAAAAAAAAAAEAAAAZHJzL1BLAwQUAAAACACHTuJAN/3mCNwAAAAN&#10;AQAADwAAAGRycy9kb3ducmV2LnhtbE2Py07DMBBF90j8gzVIbFBrB9E0hDhdIEDtqmqJBEsnHpKI&#10;eBzZ7uvv66xgN6N7dOdMsTqbgR3R+d6ShGQugCE1VvfUSqg+32cZMB8UaTVYQgkX9LAqb28KlWt7&#10;oh0e96FlsYR8riR0IYw5577p0Cg/tyNSzH6sMyrE1bVcO3WK5Wbgj0Kk3Kie4oVOjfjaYfO7PxgJ&#10;X+ux+n7YZh+bbrur3jaZry/OS3l/l4gXYAHP4Q+GST+qQxmdansg7dkgYZYsk6fIxiSdhgkRi8Uz&#10;sFpCmi1T4GXB/39RXgFQSwMEFAAAAAgAh07iQJXGhJ2FAgAAIwUAAA4AAABkcnMvZTJvRG9jLnht&#10;bK1Uy27UMBTdI/EPlvc08+zQUTPV0GoQUqGVCmLtcZxJJL+wPZOUD4A/YMWGPd/V7+DYyUxb2hUi&#10;kZxr35Pjc+/19elZqyTZCedro3M6PBpQIjQ3Ra03Of30cfXqNSU+MF0wabTI6a3w9Gzx8sVpY+di&#10;ZCojC+EISLSfNzanVQh2nmWeV0Ixf2Ss0HCWxikWMHWbrHCsAbuS2WgwOM4a4wrrDBfeY/Wic9JF&#10;4i9LwcNVWXoRiMwptIU0ujSu45gtTtl845itat7LYP+gQrFaY9MD1QULjGxd/YRK1dwZb8pwxI3K&#10;TFnWXKQYEM1w8Fc0NxWzIsWC5Hh7SJP/f7T8w+7akbpA7SZjSjRTKNLdj+93P3/f/fpG4iJS1Fg/&#10;B/LGAhvaN6YFfL/usRgjb0un4hcxEfiR7NtDgkUbCMfibHYyHk+nlHD4xuPJcDxLJcjuf7fOh7fC&#10;KBKNnDpUMCWW7S59gBRA95C4m2UhrGope7jlYZrg5eZcJlnebdYwyY7hBMxW8U0AuVXvTdEtTwd4&#10;Yjwg7/HJPpCsn2Vbpaf/r4dEeb2kKE9q0iBXoxn4CVcWefZ6kwR4I+siSo+4RyqXx/F9ovI4ynxG&#10;5SOimJsL5qsusOTqf5EaMcVCdgWLVmjXbV/dtSluUVxnug7xlq9qUF0yH66ZQ0tAP9o8XGEopUFQ&#10;prcoqYz7+tx6xOOkwktJgxZD7F+2zAlK5DuNM3wynExiT6bJZDobYeIeetYPPXqrzg1qOMSFYnky&#10;Iz7IvVk6oz7jNljGXeFimmPvnPLg9pPz0LU+7hMulssEQx+iYpf6xvJIHquhzXIbTFmn8xYT1WWn&#10;zx86MZ2O/taIrf5wnlD3d9viD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PoEAABbQ29udGVudF9UeXBlc10ueG1sUEsBAhQACgAAAAAAh07iQAAA&#10;AAAAAAAAAAAAAAYAAAAAAAAAAAAQAAAA3AMAAF9yZWxzL1BLAQIUABQAAAAIAIdO4kCKFGY80QAA&#10;AJQBAAALAAAAAAAAAAEAIAAAAAAEAABfcmVscy8ucmVsc1BLAQIUAAoAAAAAAIdO4kAAAAAAAAAA&#10;AAAAAAAEAAAAAAAAAAAAEAAAAAAAAABkcnMvUEsBAhQAFAAAAAgAh07iQDf95gjcAAAADQEAAA8A&#10;AAAAAAAAAQAgAAAAIgAAAGRycy9kb3ducmV2LnhtbFBLAQIUABQAAAAIAIdO4kCVxoSdhQIAACMF&#10;AAAOAAAAAAAAAAEAIAAAACsBAABkcnMvZTJvRG9jLnhtbFBLBQYAAAAABgAGAFkBAAAiBgAAAAA=&#10;">
                <v:fill type="pattern" on="t" color2="#FFFFFF [3212]" focussize="0,0" r:id="rId10"/>
                <v:stroke weight="1pt" color="#A6A6A6 [2092]"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numPr>
          <w:ilvl w:val="0"/>
          <w:numId w:val="1"/>
        </w:numPr>
        <w:spacing w:before="0" w:after="0" w:line="580" w:lineRule="exact"/>
        <w:ind w:firstLine="640" w:firstLineChars="200"/>
        <w:jc w:val="left"/>
        <w:rPr>
          <w:rFonts w:hint="eastAsia" w:ascii="黑体" w:eastAsia="黑体" w:cs="黑体"/>
          <w:b w:val="0"/>
          <w:bCs w:val="0"/>
          <w:kern w:val="0"/>
          <w:sz w:val="32"/>
          <w:szCs w:val="32"/>
        </w:rPr>
      </w:pPr>
      <w:r>
        <w:rPr>
          <w:rFonts w:hint="eastAsia" w:ascii="黑体" w:eastAsia="黑体" w:cs="黑体"/>
          <w:b w:val="0"/>
          <w:bCs w:val="0"/>
          <w:kern w:val="0"/>
          <w:sz w:val="32"/>
          <w:szCs w:val="32"/>
        </w:rPr>
        <w:t>部门职责</w:t>
      </w:r>
    </w:p>
    <w:p>
      <w:pPr>
        <w:keepNext w:val="0"/>
        <w:keepLines w:val="0"/>
        <w:widowControl/>
        <w:suppressLineNumbers w:val="0"/>
        <w:jc w:val="left"/>
      </w:pPr>
      <w:r>
        <w:rPr>
          <w:rFonts w:hint="eastAsia"/>
          <w:lang w:val="en-US" w:eastAsia="zh-CN"/>
        </w:rPr>
        <w:t xml:space="preserve">     </w:t>
      </w:r>
      <w:r>
        <w:rPr>
          <w:rFonts w:ascii="仿宋" w:hAnsi="仿宋" w:eastAsia="仿宋" w:cs="仿宋"/>
          <w:color w:val="000000"/>
          <w:kern w:val="0"/>
          <w:sz w:val="31"/>
          <w:szCs w:val="31"/>
          <w:lang w:val="en-US" w:eastAsia="zh-CN" w:bidi="ar"/>
        </w:rPr>
        <w:t>（1）贯彻落实国家</w:t>
      </w:r>
      <w:r>
        <w:rPr>
          <w:rFonts w:hint="eastAsia" w:ascii="仿宋" w:hAnsi="仿宋" w:eastAsia="仿宋" w:cs="仿宋"/>
          <w:color w:val="000000"/>
          <w:kern w:val="0"/>
          <w:sz w:val="31"/>
          <w:szCs w:val="31"/>
          <w:lang w:val="en-US" w:eastAsia="zh-CN" w:bidi="ar"/>
        </w:rPr>
        <w:t>、</w:t>
      </w:r>
      <w:r>
        <w:rPr>
          <w:rFonts w:ascii="仿宋" w:hAnsi="仿宋" w:eastAsia="仿宋" w:cs="仿宋"/>
          <w:color w:val="000000"/>
          <w:kern w:val="0"/>
          <w:sz w:val="31"/>
          <w:szCs w:val="31"/>
          <w:lang w:val="en-US" w:eastAsia="zh-CN" w:bidi="ar"/>
        </w:rPr>
        <w:t>省</w:t>
      </w:r>
      <w:r>
        <w:rPr>
          <w:rFonts w:hint="eastAsia" w:ascii="仿宋" w:hAnsi="仿宋" w:eastAsia="仿宋" w:cs="仿宋"/>
          <w:color w:val="000000"/>
          <w:kern w:val="0"/>
          <w:sz w:val="31"/>
          <w:szCs w:val="31"/>
          <w:lang w:val="en-US" w:eastAsia="zh-CN" w:bidi="ar"/>
        </w:rPr>
        <w:t>、市</w:t>
      </w:r>
      <w:r>
        <w:rPr>
          <w:rFonts w:ascii="仿宋" w:hAnsi="仿宋" w:eastAsia="仿宋" w:cs="仿宋"/>
          <w:color w:val="000000"/>
          <w:kern w:val="0"/>
          <w:sz w:val="31"/>
          <w:szCs w:val="31"/>
          <w:lang w:val="en-US" w:eastAsia="zh-CN" w:bidi="ar"/>
        </w:rPr>
        <w:t>关于水利工作方面的法律、法规、</w:t>
      </w:r>
      <w:r>
        <w:rPr>
          <w:rFonts w:hint="eastAsia" w:ascii="仿宋" w:hAnsi="仿宋" w:eastAsia="仿宋" w:cs="仿宋"/>
          <w:color w:val="000000"/>
          <w:kern w:val="0"/>
          <w:sz w:val="31"/>
          <w:szCs w:val="31"/>
          <w:lang w:val="en-US" w:eastAsia="zh-CN" w:bidi="ar"/>
        </w:rPr>
        <w:t xml:space="preserve">规章和政策，起草相关地方性法规、规章草案，拟订水利中长期发展规划和年度计划，并组织实施。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（2）实施水资源的统一监督管理（含空中水、地表水、地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下水）。拟订水中长期供求计划、水量分配方案并监督实施；组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织有关国民经济总体规划、城市规划及重大建设项目的水资源和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防洪论证工作，组织实施取水许可制度；发布全区水资源公告。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（3）负责全区节约用水工作。拟订节约用水政策，编制节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约用水规划，制定有关标准并监督实施；指导和推动节水型社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会建设工作。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（4）负责水资源保护工作。组织编制水资源保护规划；组 </w:t>
      </w:r>
    </w:p>
    <w:p>
      <w:pPr>
        <w:keepNext w:val="0"/>
        <w:keepLines w:val="0"/>
        <w:widowControl/>
        <w:suppressLineNumbers w:val="0"/>
        <w:jc w:val="left"/>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织拟订水功能区的划分及向不同功能区水域排污的控制。</w:t>
      </w:r>
    </w:p>
    <w:p>
      <w:pPr>
        <w:keepNext w:val="0"/>
        <w:keepLines w:val="0"/>
        <w:widowControl/>
        <w:numPr>
          <w:ilvl w:val="0"/>
          <w:numId w:val="2"/>
        </w:numPr>
        <w:suppressLineNumbers w:val="0"/>
        <w:ind w:firstLine="620" w:firstLineChars="200"/>
        <w:jc w:val="left"/>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负责监督协调重要水事案件的查处，协调、仲裁水事纠纷。组织、指导水政监察和水行政执法工作；依法负责水利行业安全生产工作，组织指导水库的安全监管；指导水利建设市场的监督管理；组织实施水利工程建设的监督。</w:t>
      </w:r>
    </w:p>
    <w:p>
      <w:pPr>
        <w:keepNext w:val="0"/>
        <w:keepLines w:val="0"/>
        <w:widowControl/>
        <w:numPr>
          <w:ilvl w:val="0"/>
          <w:numId w:val="0"/>
        </w:numPr>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（6）负责防治水旱灾害，承担区防汛抗旱指挥部的具体工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作。组织、协调、监督、指挥全区防汛抗旱工作，对主要河道和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重要水工程实施防汛抗旱调度和应急水量调度，编制全区防汛抗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旱应急预案并组织实施；指导水利突发公共事件的应急管理工作。</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（7）按照国家有关规定监督管理水利系统国有资产。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（8）负责全区中小型水利基建项目建议书、可行性报告和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初步设计的编制、审查、申报、审批；组织重点水利科学研究和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技术推广；主管水利行业技术质量标准和水利工程规程、规范并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监督实施。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9）组织、指导全区水利设施、水域及其岸线的管理与保护。指导主要河道的治理和开发，管理河道采砂工作；指导水利工程建设与运行管理；组织建设和管理具有控制性的重要水利工程；承担水库移民管理工作。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（10）指导农村水利工作。组织协调农田水利基本建设、城乡供水和农村水利社会化服务体系建设。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（11）主管全区水土保持工作。拟订水土保持规划并监督实施；组织实施水土流失的综合防治。 </w:t>
      </w:r>
    </w:p>
    <w:p>
      <w:pPr>
        <w:keepNext w:val="0"/>
        <w:keepLines w:val="0"/>
        <w:widowControl/>
        <w:numPr>
          <w:ilvl w:val="0"/>
          <w:numId w:val="0"/>
        </w:numPr>
        <w:suppressLineNumbers w:val="0"/>
        <w:ind w:firstLine="620" w:firstLineChars="200"/>
        <w:jc w:val="left"/>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（12）负责水利方面科技工作。指导全区水利队伍建设。</w:t>
      </w:r>
    </w:p>
    <w:p>
      <w:pPr>
        <w:keepNext w:val="0"/>
        <w:keepLines w:val="0"/>
        <w:widowControl/>
        <w:numPr>
          <w:ilvl w:val="0"/>
          <w:numId w:val="0"/>
        </w:numPr>
        <w:suppressLineNumbers w:val="0"/>
        <w:ind w:firstLine="620" w:firstLineChars="200"/>
        <w:jc w:val="left"/>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（13）承办区政府交办的其他事项。</w:t>
      </w:r>
    </w:p>
    <w:p>
      <w:pPr>
        <w:keepNext w:val="0"/>
        <w:keepLines w:val="0"/>
        <w:widowControl/>
        <w:numPr>
          <w:ilvl w:val="0"/>
          <w:numId w:val="0"/>
        </w:numPr>
        <w:suppressLineNumbers w:val="0"/>
        <w:ind w:firstLine="640" w:firstLineChars="200"/>
        <w:jc w:val="left"/>
        <w:rPr>
          <w:rFonts w:hint="eastAsia"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 Black"/>
          <w:kern w:val="0"/>
          <w:sz w:val="32"/>
          <w:szCs w:val="32"/>
        </w:rPr>
      </w:pPr>
      <w:r>
        <w:rPr>
          <w:rFonts w:hint="eastAsia" w:ascii="仿宋_GB2312" w:hAnsi="Calibri" w:eastAsia="仿宋_GB2312" w:cs="Arial Black"/>
          <w:kern w:val="0"/>
          <w:sz w:val="32"/>
          <w:szCs w:val="32"/>
        </w:rPr>
        <w:t>从决算编报单位构成看，纳入20</w:t>
      </w:r>
      <w:r>
        <w:rPr>
          <w:rFonts w:ascii="仿宋_GB2312" w:hAnsi="Calibri" w:eastAsia="仿宋_GB2312" w:cs="Arial Black"/>
          <w:kern w:val="0"/>
          <w:sz w:val="32"/>
          <w:szCs w:val="32"/>
        </w:rPr>
        <w:t>20</w:t>
      </w:r>
      <w:r>
        <w:rPr>
          <w:rFonts w:hint="eastAsia" w:ascii="仿宋_GB2312" w:hAnsi="Calibri" w:eastAsia="仿宋_GB2312" w:cs="Arial Black"/>
          <w:kern w:val="0"/>
          <w:sz w:val="32"/>
          <w:szCs w:val="32"/>
        </w:rPr>
        <w:t>年度</w:t>
      </w:r>
      <w:r>
        <w:rPr>
          <w:rFonts w:hint="eastAsia" w:ascii="仿宋_GB2312" w:hAnsi="Calibri" w:eastAsia="仿宋_GB2312" w:cs="Arial Black"/>
          <w:kern w:val="0"/>
          <w:sz w:val="32"/>
          <w:szCs w:val="32"/>
          <w:lang w:eastAsia="zh-CN"/>
        </w:rPr>
        <w:t>石家庄市鹿泉区水利局部门</w:t>
      </w:r>
      <w:r>
        <w:rPr>
          <w:rFonts w:hint="eastAsia" w:ascii="仿宋_GB2312" w:hAnsi="Calibri" w:eastAsia="仿宋_GB2312" w:cs="Arial Black"/>
          <w:kern w:val="0"/>
          <w:sz w:val="32"/>
          <w:szCs w:val="32"/>
        </w:rPr>
        <w:t>决算汇编范围的独立核算单位（以下简称“单位”）共</w:t>
      </w:r>
      <w:r>
        <w:rPr>
          <w:rFonts w:hint="eastAsia" w:ascii="仿宋_GB2312" w:hAnsi="Calibri" w:eastAsia="仿宋_GB2312" w:cs="Arial Black"/>
          <w:kern w:val="0"/>
          <w:sz w:val="32"/>
          <w:szCs w:val="32"/>
          <w:lang w:val="en-US" w:eastAsia="zh-CN"/>
        </w:rPr>
        <w:t>7</w:t>
      </w:r>
      <w:r>
        <w:rPr>
          <w:rFonts w:hint="eastAsia" w:ascii="仿宋_GB2312" w:hAnsi="Calibri" w:eastAsia="仿宋_GB2312" w:cs="Arial Black"/>
          <w:kern w:val="0"/>
          <w:sz w:val="32"/>
          <w:szCs w:val="32"/>
        </w:rPr>
        <w:t>个，具体情况如下：</w:t>
      </w:r>
    </w:p>
    <w:tbl>
      <w:tblPr>
        <w:tblStyle w:val="5"/>
        <w:tblW w:w="9980" w:type="dxa"/>
        <w:tblInd w:w="10" w:type="dxa"/>
        <w:tblLayout w:type="fixed"/>
        <w:tblCellMar>
          <w:top w:w="0" w:type="dxa"/>
          <w:left w:w="0" w:type="dxa"/>
          <w:bottom w:w="0" w:type="dxa"/>
          <w:right w:w="0" w:type="dxa"/>
        </w:tblCellMar>
      </w:tblPr>
      <w:tblGrid>
        <w:gridCol w:w="1000"/>
        <w:gridCol w:w="3717"/>
        <w:gridCol w:w="2223"/>
        <w:gridCol w:w="2680"/>
        <w:gridCol w:w="360"/>
      </w:tblGrid>
      <w:tr>
        <w:tblPrEx>
          <w:tblCellMar>
            <w:top w:w="0" w:type="dxa"/>
            <w:left w:w="0" w:type="dxa"/>
            <w:bottom w:w="0" w:type="dxa"/>
            <w:right w:w="0" w:type="dxa"/>
          </w:tblCellMar>
        </w:tblPrEx>
        <w:trPr>
          <w:trHeight w:val="629" w:hRule="atLeast"/>
        </w:trPr>
        <w:tc>
          <w:tcPr>
            <w:tcW w:w="1000" w:type="dxa"/>
            <w:tcBorders>
              <w:top w:val="single" w:color="auto" w:sz="8" w:space="0"/>
              <w:left w:val="single" w:color="auto" w:sz="8" w:space="0"/>
              <w:right w:val="single" w:color="auto" w:sz="8" w:space="0"/>
            </w:tcBorders>
            <w:vAlign w:val="bottom"/>
          </w:tcPr>
          <w:p>
            <w:pPr>
              <w:spacing w:after="0" w:line="320" w:lineRule="exact"/>
              <w:jc w:val="center"/>
              <w:rPr>
                <w:rFonts w:eastAsiaTheme="minorEastAsia"/>
                <w:sz w:val="20"/>
                <w:szCs w:val="20"/>
              </w:rPr>
            </w:pPr>
            <w:r>
              <w:rPr>
                <w:rFonts w:ascii="仿宋" w:hAnsi="仿宋" w:eastAsia="仿宋" w:cs="仿宋"/>
                <w:b/>
                <w:bCs/>
                <w:w w:val="99"/>
                <w:sz w:val="28"/>
                <w:szCs w:val="28"/>
              </w:rPr>
              <w:t>序号</w:t>
            </w:r>
          </w:p>
        </w:tc>
        <w:tc>
          <w:tcPr>
            <w:tcW w:w="3717" w:type="dxa"/>
            <w:tcBorders>
              <w:top w:val="single" w:color="auto" w:sz="8" w:space="0"/>
              <w:right w:val="single" w:color="auto" w:sz="8" w:space="0"/>
            </w:tcBorders>
            <w:vAlign w:val="bottom"/>
          </w:tcPr>
          <w:p>
            <w:pPr>
              <w:spacing w:after="0" w:line="320" w:lineRule="exact"/>
              <w:ind w:left="1160"/>
              <w:rPr>
                <w:rFonts w:eastAsiaTheme="minorEastAsia"/>
                <w:sz w:val="20"/>
                <w:szCs w:val="20"/>
              </w:rPr>
            </w:pPr>
            <w:r>
              <w:rPr>
                <w:rFonts w:ascii="仿宋" w:hAnsi="仿宋" w:eastAsia="仿宋" w:cs="仿宋"/>
                <w:b/>
                <w:bCs/>
                <w:sz w:val="28"/>
                <w:szCs w:val="28"/>
              </w:rPr>
              <w:t>单位名称</w:t>
            </w:r>
          </w:p>
        </w:tc>
        <w:tc>
          <w:tcPr>
            <w:tcW w:w="2223" w:type="dxa"/>
            <w:tcBorders>
              <w:top w:val="single" w:color="auto" w:sz="8" w:space="0"/>
              <w:right w:val="single" w:color="auto" w:sz="8" w:space="0"/>
            </w:tcBorders>
            <w:vAlign w:val="bottom"/>
          </w:tcPr>
          <w:p>
            <w:pPr>
              <w:spacing w:after="0" w:line="320" w:lineRule="exact"/>
              <w:jc w:val="center"/>
              <w:rPr>
                <w:rFonts w:eastAsiaTheme="minorEastAsia"/>
                <w:sz w:val="20"/>
                <w:szCs w:val="20"/>
              </w:rPr>
            </w:pPr>
            <w:r>
              <w:rPr>
                <w:rFonts w:ascii="仿宋" w:hAnsi="仿宋" w:eastAsia="仿宋" w:cs="仿宋"/>
                <w:b/>
                <w:bCs/>
                <w:w w:val="99"/>
                <w:sz w:val="28"/>
                <w:szCs w:val="28"/>
              </w:rPr>
              <w:t>单位基本性质</w:t>
            </w:r>
          </w:p>
        </w:tc>
        <w:tc>
          <w:tcPr>
            <w:tcW w:w="2680" w:type="dxa"/>
            <w:tcBorders>
              <w:top w:val="single" w:color="auto" w:sz="8" w:space="0"/>
              <w:right w:val="single" w:color="auto" w:sz="8" w:space="0"/>
            </w:tcBorders>
            <w:vAlign w:val="bottom"/>
          </w:tcPr>
          <w:p>
            <w:pPr>
              <w:spacing w:after="0" w:line="320" w:lineRule="exact"/>
              <w:jc w:val="center"/>
              <w:rPr>
                <w:rFonts w:eastAsiaTheme="minorEastAsia"/>
                <w:sz w:val="20"/>
                <w:szCs w:val="20"/>
              </w:rPr>
            </w:pPr>
            <w:r>
              <w:rPr>
                <w:rFonts w:ascii="仿宋" w:hAnsi="仿宋" w:eastAsia="仿宋" w:cs="仿宋"/>
                <w:b/>
                <w:bCs/>
                <w:sz w:val="28"/>
                <w:szCs w:val="28"/>
              </w:rPr>
              <w:t>经费形式</w:t>
            </w:r>
          </w:p>
        </w:tc>
        <w:tc>
          <w:tcPr>
            <w:tcW w:w="360" w:type="dxa"/>
            <w:vAlign w:val="bottom"/>
          </w:tcPr>
          <w:p>
            <w:pPr>
              <w:spacing w:after="0"/>
              <w:rPr>
                <w:rFonts w:eastAsiaTheme="minorEastAsia"/>
                <w:sz w:val="1"/>
                <w:szCs w:val="1"/>
              </w:rPr>
            </w:pPr>
          </w:p>
        </w:tc>
      </w:tr>
      <w:tr>
        <w:tblPrEx>
          <w:tblCellMar>
            <w:top w:w="0" w:type="dxa"/>
            <w:left w:w="0" w:type="dxa"/>
            <w:bottom w:w="0" w:type="dxa"/>
            <w:right w:w="0" w:type="dxa"/>
          </w:tblCellMar>
        </w:tblPrEx>
        <w:trPr>
          <w:trHeight w:val="192" w:hRule="atLeast"/>
        </w:trPr>
        <w:tc>
          <w:tcPr>
            <w:tcW w:w="1000" w:type="dxa"/>
            <w:tcBorders>
              <w:left w:val="single" w:color="auto" w:sz="8" w:space="0"/>
              <w:bottom w:val="single" w:color="auto" w:sz="8" w:space="0"/>
              <w:right w:val="single" w:color="auto" w:sz="8" w:space="0"/>
            </w:tcBorders>
            <w:vAlign w:val="bottom"/>
          </w:tcPr>
          <w:p>
            <w:pPr>
              <w:spacing w:after="0"/>
              <w:rPr>
                <w:rFonts w:eastAsiaTheme="minorEastAsia"/>
                <w:sz w:val="16"/>
                <w:szCs w:val="16"/>
              </w:rPr>
            </w:pPr>
          </w:p>
        </w:tc>
        <w:tc>
          <w:tcPr>
            <w:tcW w:w="3717" w:type="dxa"/>
            <w:tcBorders>
              <w:bottom w:val="single" w:color="auto" w:sz="8" w:space="0"/>
              <w:right w:val="single" w:color="auto" w:sz="8" w:space="0"/>
            </w:tcBorders>
            <w:vAlign w:val="bottom"/>
          </w:tcPr>
          <w:p>
            <w:pPr>
              <w:spacing w:after="0"/>
              <w:rPr>
                <w:rFonts w:eastAsiaTheme="minorEastAsia"/>
                <w:sz w:val="16"/>
                <w:szCs w:val="16"/>
              </w:rPr>
            </w:pPr>
          </w:p>
        </w:tc>
        <w:tc>
          <w:tcPr>
            <w:tcW w:w="2223" w:type="dxa"/>
            <w:tcBorders>
              <w:bottom w:val="single" w:color="auto" w:sz="8" w:space="0"/>
              <w:right w:val="single" w:color="auto" w:sz="8" w:space="0"/>
            </w:tcBorders>
            <w:vAlign w:val="bottom"/>
          </w:tcPr>
          <w:p>
            <w:pPr>
              <w:spacing w:after="0"/>
              <w:rPr>
                <w:rFonts w:eastAsiaTheme="minorEastAsia"/>
                <w:sz w:val="16"/>
                <w:szCs w:val="16"/>
              </w:rPr>
            </w:pPr>
          </w:p>
        </w:tc>
        <w:tc>
          <w:tcPr>
            <w:tcW w:w="2680" w:type="dxa"/>
            <w:tcBorders>
              <w:bottom w:val="single" w:color="auto" w:sz="8" w:space="0"/>
              <w:right w:val="single" w:color="auto" w:sz="8" w:space="0"/>
            </w:tcBorders>
            <w:vAlign w:val="bottom"/>
          </w:tcPr>
          <w:p>
            <w:pPr>
              <w:spacing w:after="0"/>
              <w:rPr>
                <w:rFonts w:eastAsiaTheme="minorEastAsia"/>
                <w:sz w:val="16"/>
                <w:szCs w:val="16"/>
              </w:rPr>
            </w:pPr>
          </w:p>
        </w:tc>
        <w:tc>
          <w:tcPr>
            <w:tcW w:w="360" w:type="dxa"/>
            <w:vAlign w:val="bottom"/>
          </w:tcPr>
          <w:p>
            <w:pPr>
              <w:spacing w:after="0"/>
              <w:rPr>
                <w:rFonts w:eastAsiaTheme="minorEastAsia"/>
                <w:sz w:val="1"/>
                <w:szCs w:val="1"/>
              </w:rPr>
            </w:pPr>
          </w:p>
        </w:tc>
      </w:tr>
      <w:tr>
        <w:tblPrEx>
          <w:tblCellMar>
            <w:top w:w="0" w:type="dxa"/>
            <w:left w:w="0" w:type="dxa"/>
            <w:bottom w:w="0" w:type="dxa"/>
            <w:right w:w="0" w:type="dxa"/>
          </w:tblCellMar>
        </w:tblPrEx>
        <w:trPr>
          <w:trHeight w:val="484" w:hRule="atLeast"/>
        </w:trPr>
        <w:tc>
          <w:tcPr>
            <w:tcW w:w="1000" w:type="dxa"/>
            <w:tcBorders>
              <w:left w:val="single" w:color="auto" w:sz="8" w:space="0"/>
              <w:right w:val="single" w:color="auto" w:sz="8" w:space="0"/>
            </w:tcBorders>
            <w:vAlign w:val="bottom"/>
          </w:tcPr>
          <w:p>
            <w:pPr>
              <w:spacing w:after="0" w:line="320" w:lineRule="exact"/>
              <w:jc w:val="center"/>
              <w:rPr>
                <w:rFonts w:eastAsiaTheme="minorEastAsia"/>
                <w:sz w:val="20"/>
                <w:szCs w:val="20"/>
              </w:rPr>
            </w:pPr>
            <w:r>
              <w:rPr>
                <w:rFonts w:ascii="仿宋" w:hAnsi="仿宋" w:eastAsia="仿宋" w:cs="仿宋"/>
                <w:w w:val="99"/>
                <w:sz w:val="28"/>
                <w:szCs w:val="28"/>
              </w:rPr>
              <w:t>1</w:t>
            </w:r>
          </w:p>
        </w:tc>
        <w:tc>
          <w:tcPr>
            <w:tcW w:w="3717" w:type="dxa"/>
            <w:tcBorders>
              <w:right w:val="single" w:color="auto" w:sz="8" w:space="0"/>
            </w:tcBorders>
            <w:vAlign w:val="bottom"/>
          </w:tcPr>
          <w:p>
            <w:pPr>
              <w:spacing w:after="0" w:line="251" w:lineRule="exact"/>
              <w:ind w:left="100"/>
              <w:jc w:val="center"/>
              <w:rPr>
                <w:rFonts w:eastAsiaTheme="minorEastAsia"/>
                <w:sz w:val="20"/>
                <w:szCs w:val="20"/>
              </w:rPr>
            </w:pPr>
            <w:r>
              <w:rPr>
                <w:rFonts w:ascii="仿宋" w:hAnsi="仿宋" w:eastAsia="仿宋" w:cs="仿宋"/>
                <w:sz w:val="22"/>
                <w:szCs w:val="22"/>
              </w:rPr>
              <w:t>石家庄市鹿泉区水利局</w:t>
            </w:r>
          </w:p>
        </w:tc>
        <w:tc>
          <w:tcPr>
            <w:tcW w:w="2223" w:type="dxa"/>
            <w:tcBorders>
              <w:right w:val="single" w:color="auto" w:sz="8" w:space="0"/>
            </w:tcBorders>
            <w:vAlign w:val="bottom"/>
          </w:tcPr>
          <w:p>
            <w:pPr>
              <w:spacing w:after="0" w:line="251" w:lineRule="exact"/>
              <w:jc w:val="center"/>
              <w:rPr>
                <w:rFonts w:eastAsiaTheme="minorEastAsia"/>
                <w:sz w:val="20"/>
                <w:szCs w:val="20"/>
              </w:rPr>
            </w:pPr>
            <w:r>
              <w:rPr>
                <w:rFonts w:ascii="仿宋" w:hAnsi="仿宋" w:eastAsia="仿宋" w:cs="仿宋"/>
                <w:w w:val="99"/>
                <w:sz w:val="22"/>
                <w:szCs w:val="22"/>
              </w:rPr>
              <w:t>行政单位</w:t>
            </w:r>
          </w:p>
        </w:tc>
        <w:tc>
          <w:tcPr>
            <w:tcW w:w="2680" w:type="dxa"/>
            <w:tcBorders>
              <w:right w:val="single" w:color="auto" w:sz="8" w:space="0"/>
            </w:tcBorders>
            <w:vAlign w:val="bottom"/>
          </w:tcPr>
          <w:p>
            <w:pPr>
              <w:spacing w:after="0" w:line="251" w:lineRule="exact"/>
              <w:jc w:val="center"/>
              <w:rPr>
                <w:rFonts w:eastAsiaTheme="minorEastAsia"/>
                <w:sz w:val="20"/>
                <w:szCs w:val="20"/>
              </w:rPr>
            </w:pPr>
            <w:r>
              <w:rPr>
                <w:rFonts w:ascii="仿宋" w:hAnsi="仿宋" w:eastAsia="仿宋" w:cs="仿宋"/>
                <w:w w:val="99"/>
                <w:sz w:val="22"/>
                <w:szCs w:val="22"/>
              </w:rPr>
              <w:t>财政拨款</w:t>
            </w:r>
          </w:p>
        </w:tc>
        <w:tc>
          <w:tcPr>
            <w:tcW w:w="360" w:type="dxa"/>
            <w:vAlign w:val="bottom"/>
          </w:tcPr>
          <w:p>
            <w:pPr>
              <w:spacing w:after="0"/>
              <w:rPr>
                <w:rFonts w:eastAsiaTheme="minorEastAsia"/>
                <w:sz w:val="1"/>
                <w:szCs w:val="1"/>
              </w:rPr>
            </w:pPr>
          </w:p>
        </w:tc>
      </w:tr>
      <w:tr>
        <w:tblPrEx>
          <w:tblCellMar>
            <w:top w:w="0" w:type="dxa"/>
            <w:left w:w="0" w:type="dxa"/>
            <w:bottom w:w="0" w:type="dxa"/>
            <w:right w:w="0" w:type="dxa"/>
          </w:tblCellMar>
        </w:tblPrEx>
        <w:trPr>
          <w:trHeight w:val="290" w:hRule="atLeast"/>
        </w:trPr>
        <w:tc>
          <w:tcPr>
            <w:tcW w:w="1000" w:type="dxa"/>
            <w:tcBorders>
              <w:left w:val="single" w:color="auto" w:sz="8" w:space="0"/>
              <w:bottom w:val="single" w:color="auto" w:sz="8" w:space="0"/>
              <w:right w:val="single" w:color="auto" w:sz="8" w:space="0"/>
            </w:tcBorders>
            <w:vAlign w:val="bottom"/>
          </w:tcPr>
          <w:p>
            <w:pPr>
              <w:spacing w:after="0"/>
              <w:jc w:val="center"/>
              <w:rPr>
                <w:rFonts w:eastAsiaTheme="minorEastAsia"/>
              </w:rPr>
            </w:pPr>
          </w:p>
        </w:tc>
        <w:tc>
          <w:tcPr>
            <w:tcW w:w="3717" w:type="dxa"/>
            <w:tcBorders>
              <w:bottom w:val="single" w:color="auto" w:sz="8" w:space="0"/>
              <w:right w:val="single" w:color="auto" w:sz="8" w:space="0"/>
            </w:tcBorders>
            <w:vAlign w:val="bottom"/>
          </w:tcPr>
          <w:p>
            <w:pPr>
              <w:spacing w:after="0"/>
              <w:jc w:val="center"/>
              <w:rPr>
                <w:rFonts w:eastAsiaTheme="minorEastAsia"/>
              </w:rPr>
            </w:pPr>
          </w:p>
        </w:tc>
        <w:tc>
          <w:tcPr>
            <w:tcW w:w="2223" w:type="dxa"/>
            <w:tcBorders>
              <w:bottom w:val="single" w:color="auto" w:sz="8" w:space="0"/>
              <w:right w:val="single" w:color="auto" w:sz="8" w:space="0"/>
            </w:tcBorders>
            <w:vAlign w:val="bottom"/>
          </w:tcPr>
          <w:p>
            <w:pPr>
              <w:spacing w:after="0"/>
              <w:jc w:val="center"/>
              <w:rPr>
                <w:rFonts w:eastAsiaTheme="minorEastAsia"/>
              </w:rPr>
            </w:pPr>
          </w:p>
        </w:tc>
        <w:tc>
          <w:tcPr>
            <w:tcW w:w="2680" w:type="dxa"/>
            <w:tcBorders>
              <w:bottom w:val="single" w:color="auto" w:sz="8" w:space="0"/>
              <w:right w:val="single" w:color="auto" w:sz="8" w:space="0"/>
            </w:tcBorders>
            <w:vAlign w:val="bottom"/>
          </w:tcPr>
          <w:p>
            <w:pPr>
              <w:spacing w:after="0"/>
              <w:jc w:val="center"/>
              <w:rPr>
                <w:rFonts w:eastAsiaTheme="minorEastAsia"/>
              </w:rPr>
            </w:pPr>
          </w:p>
        </w:tc>
        <w:tc>
          <w:tcPr>
            <w:tcW w:w="360" w:type="dxa"/>
            <w:vAlign w:val="bottom"/>
          </w:tcPr>
          <w:p>
            <w:pPr>
              <w:spacing w:after="0"/>
              <w:rPr>
                <w:rFonts w:eastAsiaTheme="minorEastAsia"/>
                <w:sz w:val="1"/>
                <w:szCs w:val="1"/>
              </w:rPr>
            </w:pPr>
          </w:p>
        </w:tc>
      </w:tr>
      <w:tr>
        <w:tblPrEx>
          <w:tblCellMar>
            <w:top w:w="0" w:type="dxa"/>
            <w:left w:w="0" w:type="dxa"/>
            <w:bottom w:w="0" w:type="dxa"/>
            <w:right w:w="0" w:type="dxa"/>
          </w:tblCellMar>
        </w:tblPrEx>
        <w:trPr>
          <w:trHeight w:val="934" w:hRule="atLeast"/>
        </w:trPr>
        <w:tc>
          <w:tcPr>
            <w:tcW w:w="1000" w:type="dxa"/>
            <w:tcBorders>
              <w:left w:val="single" w:color="auto" w:sz="8" w:space="0"/>
              <w:right w:val="single" w:color="auto" w:sz="8" w:space="0"/>
            </w:tcBorders>
            <w:vAlign w:val="bottom"/>
          </w:tcPr>
          <w:p>
            <w:pPr>
              <w:spacing w:after="0" w:line="320" w:lineRule="exact"/>
              <w:jc w:val="center"/>
              <w:rPr>
                <w:rFonts w:eastAsiaTheme="minorEastAsia"/>
                <w:sz w:val="20"/>
                <w:szCs w:val="20"/>
              </w:rPr>
            </w:pPr>
            <w:r>
              <w:rPr>
                <w:rFonts w:ascii="仿宋" w:hAnsi="仿宋" w:eastAsia="仿宋" w:cs="仿宋"/>
                <w:w w:val="99"/>
                <w:sz w:val="28"/>
                <w:szCs w:val="28"/>
              </w:rPr>
              <w:t>2</w:t>
            </w:r>
          </w:p>
        </w:tc>
        <w:tc>
          <w:tcPr>
            <w:tcW w:w="3717" w:type="dxa"/>
            <w:tcBorders>
              <w:right w:val="single" w:color="auto" w:sz="8" w:space="0"/>
            </w:tcBorders>
            <w:vAlign w:val="bottom"/>
          </w:tcPr>
          <w:p>
            <w:pPr>
              <w:spacing w:after="0" w:line="251" w:lineRule="exact"/>
              <w:ind w:left="100"/>
              <w:jc w:val="center"/>
              <w:rPr>
                <w:rFonts w:hint="eastAsia" w:eastAsia="仿宋"/>
                <w:sz w:val="20"/>
                <w:szCs w:val="20"/>
                <w:lang w:eastAsia="zh-CN"/>
              </w:rPr>
            </w:pPr>
            <w:r>
              <w:rPr>
                <w:rFonts w:ascii="仿宋" w:hAnsi="仿宋" w:eastAsia="仿宋" w:cs="仿宋"/>
                <w:sz w:val="22"/>
                <w:szCs w:val="22"/>
              </w:rPr>
              <w:t>石家庄市鹿泉区水资源综合服务</w:t>
            </w:r>
            <w:r>
              <w:rPr>
                <w:rFonts w:hint="eastAsia" w:ascii="仿宋" w:hAnsi="仿宋" w:eastAsia="仿宋" w:cs="仿宋"/>
                <w:sz w:val="22"/>
                <w:szCs w:val="22"/>
                <w:lang w:eastAsia="zh-CN"/>
              </w:rPr>
              <w:t>中心</w:t>
            </w:r>
          </w:p>
        </w:tc>
        <w:tc>
          <w:tcPr>
            <w:tcW w:w="2223" w:type="dxa"/>
            <w:tcBorders>
              <w:right w:val="single" w:color="auto" w:sz="8" w:space="0"/>
            </w:tcBorders>
            <w:vAlign w:val="bottom"/>
          </w:tcPr>
          <w:p>
            <w:pPr>
              <w:spacing w:after="0"/>
              <w:jc w:val="center"/>
              <w:rPr>
                <w:rFonts w:eastAsiaTheme="minorEastAsia"/>
              </w:rPr>
            </w:pPr>
            <w:r>
              <w:rPr>
                <w:rFonts w:ascii="仿宋" w:hAnsi="仿宋" w:eastAsia="仿宋" w:cs="仿宋"/>
                <w:w w:val="99"/>
                <w:sz w:val="22"/>
                <w:szCs w:val="22"/>
              </w:rPr>
              <w:t>事业单位</w:t>
            </w:r>
          </w:p>
        </w:tc>
        <w:tc>
          <w:tcPr>
            <w:tcW w:w="2680" w:type="dxa"/>
            <w:tcBorders>
              <w:right w:val="single" w:color="auto" w:sz="8" w:space="0"/>
            </w:tcBorders>
            <w:vAlign w:val="bottom"/>
          </w:tcPr>
          <w:p>
            <w:pPr>
              <w:spacing w:after="0" w:line="251" w:lineRule="exact"/>
              <w:jc w:val="center"/>
              <w:rPr>
                <w:rFonts w:eastAsiaTheme="minorEastAsia"/>
                <w:sz w:val="20"/>
                <w:szCs w:val="20"/>
              </w:rPr>
            </w:pPr>
            <w:r>
              <w:rPr>
                <w:rFonts w:ascii="仿宋" w:hAnsi="仿宋" w:eastAsia="仿宋" w:cs="仿宋"/>
                <w:w w:val="99"/>
                <w:sz w:val="22"/>
                <w:szCs w:val="22"/>
              </w:rPr>
              <w:t>财政性资金基本保证</w:t>
            </w:r>
          </w:p>
        </w:tc>
        <w:tc>
          <w:tcPr>
            <w:tcW w:w="360" w:type="dxa"/>
            <w:vAlign w:val="bottom"/>
          </w:tcPr>
          <w:p>
            <w:pPr>
              <w:spacing w:after="0"/>
              <w:rPr>
                <w:rFonts w:eastAsiaTheme="minorEastAsia"/>
                <w:sz w:val="1"/>
                <w:szCs w:val="1"/>
              </w:rPr>
            </w:pPr>
          </w:p>
        </w:tc>
      </w:tr>
      <w:tr>
        <w:tblPrEx>
          <w:tblCellMar>
            <w:top w:w="0" w:type="dxa"/>
            <w:left w:w="0" w:type="dxa"/>
            <w:bottom w:w="0" w:type="dxa"/>
            <w:right w:w="0" w:type="dxa"/>
          </w:tblCellMar>
        </w:tblPrEx>
        <w:trPr>
          <w:trHeight w:val="90" w:hRule="atLeast"/>
        </w:trPr>
        <w:tc>
          <w:tcPr>
            <w:tcW w:w="1000" w:type="dxa"/>
            <w:tcBorders>
              <w:left w:val="single" w:color="auto" w:sz="8" w:space="0"/>
              <w:bottom w:val="single" w:color="auto" w:sz="8" w:space="0"/>
              <w:right w:val="single" w:color="auto" w:sz="8" w:space="0"/>
            </w:tcBorders>
            <w:vAlign w:val="bottom"/>
          </w:tcPr>
          <w:p>
            <w:pPr>
              <w:spacing w:after="0"/>
              <w:jc w:val="center"/>
              <w:rPr>
                <w:rFonts w:eastAsiaTheme="minorEastAsia"/>
              </w:rPr>
            </w:pPr>
          </w:p>
        </w:tc>
        <w:tc>
          <w:tcPr>
            <w:tcW w:w="3717" w:type="dxa"/>
            <w:tcBorders>
              <w:bottom w:val="single" w:color="auto" w:sz="8" w:space="0"/>
              <w:right w:val="single" w:color="auto" w:sz="8" w:space="0"/>
            </w:tcBorders>
            <w:vAlign w:val="bottom"/>
          </w:tcPr>
          <w:p>
            <w:pPr>
              <w:spacing w:after="0"/>
              <w:jc w:val="center"/>
              <w:rPr>
                <w:rFonts w:eastAsiaTheme="minorEastAsia"/>
              </w:rPr>
            </w:pPr>
          </w:p>
        </w:tc>
        <w:tc>
          <w:tcPr>
            <w:tcW w:w="2223" w:type="dxa"/>
            <w:tcBorders>
              <w:bottom w:val="single" w:color="auto" w:sz="8" w:space="0"/>
              <w:right w:val="single" w:color="auto" w:sz="8" w:space="0"/>
            </w:tcBorders>
            <w:vAlign w:val="bottom"/>
          </w:tcPr>
          <w:p>
            <w:pPr>
              <w:spacing w:after="0"/>
              <w:jc w:val="center"/>
              <w:rPr>
                <w:rFonts w:eastAsiaTheme="minorEastAsia"/>
              </w:rPr>
            </w:pPr>
          </w:p>
        </w:tc>
        <w:tc>
          <w:tcPr>
            <w:tcW w:w="2680" w:type="dxa"/>
            <w:tcBorders>
              <w:bottom w:val="single" w:color="auto" w:sz="8" w:space="0"/>
              <w:right w:val="single" w:color="auto" w:sz="8" w:space="0"/>
            </w:tcBorders>
            <w:vAlign w:val="bottom"/>
          </w:tcPr>
          <w:p>
            <w:pPr>
              <w:spacing w:after="0"/>
              <w:jc w:val="center"/>
              <w:rPr>
                <w:rFonts w:eastAsiaTheme="minorEastAsia"/>
              </w:rPr>
            </w:pPr>
          </w:p>
        </w:tc>
        <w:tc>
          <w:tcPr>
            <w:tcW w:w="360" w:type="dxa"/>
            <w:vAlign w:val="bottom"/>
          </w:tcPr>
          <w:p>
            <w:pPr>
              <w:spacing w:after="0"/>
              <w:rPr>
                <w:rFonts w:eastAsiaTheme="minorEastAsia"/>
                <w:sz w:val="1"/>
                <w:szCs w:val="1"/>
              </w:rPr>
            </w:pPr>
          </w:p>
        </w:tc>
      </w:tr>
      <w:tr>
        <w:tblPrEx>
          <w:tblCellMar>
            <w:top w:w="0" w:type="dxa"/>
            <w:left w:w="0" w:type="dxa"/>
            <w:bottom w:w="0" w:type="dxa"/>
            <w:right w:w="0" w:type="dxa"/>
          </w:tblCellMar>
        </w:tblPrEx>
        <w:trPr>
          <w:trHeight w:val="765" w:hRule="atLeast"/>
        </w:trPr>
        <w:tc>
          <w:tcPr>
            <w:tcW w:w="1000" w:type="dxa"/>
            <w:tcBorders>
              <w:left w:val="single" w:color="auto" w:sz="8" w:space="0"/>
              <w:right w:val="single" w:color="auto" w:sz="8" w:space="0"/>
            </w:tcBorders>
            <w:vAlign w:val="bottom"/>
          </w:tcPr>
          <w:p>
            <w:pPr>
              <w:spacing w:after="0" w:line="320" w:lineRule="exact"/>
              <w:jc w:val="center"/>
              <w:rPr>
                <w:rFonts w:eastAsiaTheme="minorEastAsia"/>
                <w:sz w:val="20"/>
                <w:szCs w:val="20"/>
              </w:rPr>
            </w:pPr>
            <w:r>
              <w:rPr>
                <w:rFonts w:ascii="仿宋" w:hAnsi="仿宋" w:eastAsia="仿宋" w:cs="仿宋"/>
                <w:w w:val="99"/>
                <w:sz w:val="28"/>
                <w:szCs w:val="28"/>
              </w:rPr>
              <w:t>3</w:t>
            </w:r>
          </w:p>
        </w:tc>
        <w:tc>
          <w:tcPr>
            <w:tcW w:w="3717" w:type="dxa"/>
            <w:tcBorders>
              <w:right w:val="single" w:color="auto" w:sz="8" w:space="0"/>
            </w:tcBorders>
            <w:vAlign w:val="bottom"/>
          </w:tcPr>
          <w:p>
            <w:pPr>
              <w:spacing w:after="0" w:line="251" w:lineRule="exact"/>
              <w:ind w:left="100"/>
              <w:jc w:val="center"/>
              <w:rPr>
                <w:rFonts w:eastAsiaTheme="minorEastAsia"/>
                <w:sz w:val="20"/>
                <w:szCs w:val="20"/>
              </w:rPr>
            </w:pPr>
            <w:r>
              <w:rPr>
                <w:rFonts w:ascii="仿宋" w:hAnsi="仿宋" w:eastAsia="仿宋" w:cs="仿宋"/>
                <w:sz w:val="22"/>
                <w:szCs w:val="22"/>
              </w:rPr>
              <w:t>石家庄市鹿泉区水土保持工作站</w:t>
            </w:r>
          </w:p>
        </w:tc>
        <w:tc>
          <w:tcPr>
            <w:tcW w:w="2223" w:type="dxa"/>
            <w:tcBorders>
              <w:right w:val="single" w:color="auto" w:sz="8" w:space="0"/>
            </w:tcBorders>
            <w:vAlign w:val="bottom"/>
          </w:tcPr>
          <w:p>
            <w:pPr>
              <w:spacing w:after="0" w:line="251" w:lineRule="exact"/>
              <w:jc w:val="center"/>
              <w:rPr>
                <w:rFonts w:eastAsiaTheme="minorEastAsia"/>
                <w:sz w:val="20"/>
                <w:szCs w:val="20"/>
              </w:rPr>
            </w:pPr>
            <w:r>
              <w:rPr>
                <w:rFonts w:ascii="仿宋" w:hAnsi="仿宋" w:eastAsia="仿宋" w:cs="仿宋"/>
                <w:w w:val="99"/>
                <w:sz w:val="22"/>
                <w:szCs w:val="22"/>
              </w:rPr>
              <w:t>事业单位</w:t>
            </w:r>
          </w:p>
        </w:tc>
        <w:tc>
          <w:tcPr>
            <w:tcW w:w="2680" w:type="dxa"/>
            <w:tcBorders>
              <w:right w:val="single" w:color="auto" w:sz="8" w:space="0"/>
            </w:tcBorders>
            <w:vAlign w:val="bottom"/>
          </w:tcPr>
          <w:p>
            <w:pPr>
              <w:spacing w:after="0" w:line="251" w:lineRule="exact"/>
              <w:jc w:val="center"/>
              <w:rPr>
                <w:rFonts w:eastAsiaTheme="minorEastAsia"/>
                <w:sz w:val="20"/>
                <w:szCs w:val="20"/>
              </w:rPr>
            </w:pPr>
            <w:r>
              <w:rPr>
                <w:rFonts w:ascii="仿宋" w:hAnsi="仿宋" w:eastAsia="仿宋" w:cs="仿宋"/>
                <w:w w:val="99"/>
                <w:sz w:val="22"/>
                <w:szCs w:val="22"/>
              </w:rPr>
              <w:t>财政性资金基本保证</w:t>
            </w:r>
          </w:p>
        </w:tc>
        <w:tc>
          <w:tcPr>
            <w:tcW w:w="360" w:type="dxa"/>
            <w:vAlign w:val="bottom"/>
          </w:tcPr>
          <w:p>
            <w:pPr>
              <w:spacing w:after="0"/>
              <w:rPr>
                <w:rFonts w:eastAsiaTheme="minorEastAsia"/>
                <w:sz w:val="1"/>
                <w:szCs w:val="1"/>
              </w:rPr>
            </w:pPr>
          </w:p>
        </w:tc>
      </w:tr>
      <w:tr>
        <w:tblPrEx>
          <w:tblCellMar>
            <w:top w:w="0" w:type="dxa"/>
            <w:left w:w="0" w:type="dxa"/>
            <w:bottom w:w="0" w:type="dxa"/>
            <w:right w:w="0" w:type="dxa"/>
          </w:tblCellMar>
        </w:tblPrEx>
        <w:trPr>
          <w:trHeight w:val="234" w:hRule="atLeast"/>
        </w:trPr>
        <w:tc>
          <w:tcPr>
            <w:tcW w:w="1000" w:type="dxa"/>
            <w:tcBorders>
              <w:left w:val="single" w:color="auto" w:sz="8" w:space="0"/>
              <w:bottom w:val="single" w:color="auto" w:sz="8" w:space="0"/>
              <w:right w:val="single" w:color="auto" w:sz="8" w:space="0"/>
            </w:tcBorders>
            <w:vAlign w:val="bottom"/>
          </w:tcPr>
          <w:p>
            <w:pPr>
              <w:spacing w:after="0"/>
              <w:jc w:val="center"/>
              <w:rPr>
                <w:rFonts w:eastAsiaTheme="minorEastAsia"/>
              </w:rPr>
            </w:pPr>
          </w:p>
        </w:tc>
        <w:tc>
          <w:tcPr>
            <w:tcW w:w="3717" w:type="dxa"/>
            <w:tcBorders>
              <w:bottom w:val="single" w:color="auto" w:sz="8" w:space="0"/>
              <w:right w:val="single" w:color="auto" w:sz="8" w:space="0"/>
            </w:tcBorders>
            <w:vAlign w:val="bottom"/>
          </w:tcPr>
          <w:p>
            <w:pPr>
              <w:spacing w:after="0"/>
              <w:jc w:val="center"/>
              <w:rPr>
                <w:rFonts w:eastAsiaTheme="minorEastAsia"/>
              </w:rPr>
            </w:pPr>
          </w:p>
        </w:tc>
        <w:tc>
          <w:tcPr>
            <w:tcW w:w="2223" w:type="dxa"/>
            <w:tcBorders>
              <w:bottom w:val="single" w:color="auto" w:sz="8" w:space="0"/>
              <w:right w:val="single" w:color="auto" w:sz="8" w:space="0"/>
            </w:tcBorders>
            <w:vAlign w:val="bottom"/>
          </w:tcPr>
          <w:p>
            <w:pPr>
              <w:spacing w:after="0"/>
              <w:jc w:val="center"/>
              <w:rPr>
                <w:rFonts w:eastAsiaTheme="minorEastAsia"/>
              </w:rPr>
            </w:pPr>
          </w:p>
        </w:tc>
        <w:tc>
          <w:tcPr>
            <w:tcW w:w="2680" w:type="dxa"/>
            <w:tcBorders>
              <w:bottom w:val="single" w:color="auto" w:sz="8" w:space="0"/>
              <w:right w:val="single" w:color="auto" w:sz="8" w:space="0"/>
            </w:tcBorders>
            <w:vAlign w:val="bottom"/>
          </w:tcPr>
          <w:p>
            <w:pPr>
              <w:spacing w:after="0"/>
              <w:jc w:val="center"/>
              <w:rPr>
                <w:rFonts w:eastAsiaTheme="minorEastAsia"/>
              </w:rPr>
            </w:pPr>
          </w:p>
        </w:tc>
        <w:tc>
          <w:tcPr>
            <w:tcW w:w="360" w:type="dxa"/>
            <w:vAlign w:val="bottom"/>
          </w:tcPr>
          <w:p>
            <w:pPr>
              <w:spacing w:after="0"/>
              <w:rPr>
                <w:rFonts w:eastAsiaTheme="minorEastAsia"/>
                <w:sz w:val="1"/>
                <w:szCs w:val="1"/>
              </w:rPr>
            </w:pPr>
          </w:p>
        </w:tc>
      </w:tr>
      <w:tr>
        <w:tblPrEx>
          <w:tblCellMar>
            <w:top w:w="0" w:type="dxa"/>
            <w:left w:w="0" w:type="dxa"/>
            <w:bottom w:w="0" w:type="dxa"/>
            <w:right w:w="0" w:type="dxa"/>
          </w:tblCellMar>
        </w:tblPrEx>
        <w:trPr>
          <w:trHeight w:val="546" w:hRule="atLeast"/>
        </w:trPr>
        <w:tc>
          <w:tcPr>
            <w:tcW w:w="1000" w:type="dxa"/>
            <w:tcBorders>
              <w:left w:val="single" w:color="auto" w:sz="8" w:space="0"/>
              <w:right w:val="single" w:color="auto" w:sz="8" w:space="0"/>
            </w:tcBorders>
            <w:vAlign w:val="bottom"/>
          </w:tcPr>
          <w:p>
            <w:pPr>
              <w:spacing w:after="0" w:line="320" w:lineRule="exact"/>
              <w:jc w:val="center"/>
              <w:rPr>
                <w:rFonts w:eastAsiaTheme="minorEastAsia"/>
                <w:sz w:val="20"/>
                <w:szCs w:val="20"/>
              </w:rPr>
            </w:pPr>
            <w:r>
              <w:rPr>
                <w:rFonts w:ascii="仿宋" w:hAnsi="仿宋" w:eastAsia="仿宋" w:cs="仿宋"/>
                <w:w w:val="99"/>
                <w:sz w:val="28"/>
                <w:szCs w:val="28"/>
              </w:rPr>
              <w:t>4</w:t>
            </w:r>
          </w:p>
        </w:tc>
        <w:tc>
          <w:tcPr>
            <w:tcW w:w="3717" w:type="dxa"/>
            <w:tcBorders>
              <w:right w:val="single" w:color="auto" w:sz="8" w:space="0"/>
            </w:tcBorders>
            <w:vAlign w:val="bottom"/>
          </w:tcPr>
          <w:p>
            <w:pPr>
              <w:spacing w:after="0" w:line="251" w:lineRule="exact"/>
              <w:ind w:left="100"/>
              <w:jc w:val="center"/>
              <w:rPr>
                <w:rFonts w:hint="eastAsia" w:eastAsia="仿宋"/>
                <w:sz w:val="20"/>
                <w:szCs w:val="20"/>
                <w:lang w:eastAsia="zh-CN"/>
              </w:rPr>
            </w:pPr>
            <w:r>
              <w:rPr>
                <w:rFonts w:ascii="仿宋" w:hAnsi="仿宋" w:eastAsia="仿宋" w:cs="仿宋"/>
                <w:sz w:val="22"/>
                <w:szCs w:val="22"/>
              </w:rPr>
              <w:t>石家庄市鹿泉区源泉灌区</w:t>
            </w:r>
            <w:r>
              <w:rPr>
                <w:rFonts w:hint="eastAsia" w:ascii="仿宋" w:hAnsi="仿宋" w:eastAsia="仿宋" w:cs="仿宋"/>
                <w:sz w:val="22"/>
                <w:szCs w:val="22"/>
                <w:lang w:eastAsia="zh-CN"/>
              </w:rPr>
              <w:t>服务中心</w:t>
            </w:r>
          </w:p>
        </w:tc>
        <w:tc>
          <w:tcPr>
            <w:tcW w:w="2223" w:type="dxa"/>
            <w:tcBorders>
              <w:right w:val="single" w:color="auto" w:sz="8" w:space="0"/>
            </w:tcBorders>
            <w:vAlign w:val="bottom"/>
          </w:tcPr>
          <w:p>
            <w:pPr>
              <w:spacing w:after="0" w:line="251" w:lineRule="exact"/>
              <w:jc w:val="center"/>
              <w:rPr>
                <w:rFonts w:eastAsiaTheme="minorEastAsia"/>
                <w:sz w:val="20"/>
                <w:szCs w:val="20"/>
              </w:rPr>
            </w:pPr>
            <w:r>
              <w:rPr>
                <w:rFonts w:ascii="仿宋" w:hAnsi="仿宋" w:eastAsia="仿宋" w:cs="仿宋"/>
                <w:w w:val="99"/>
                <w:sz w:val="22"/>
                <w:szCs w:val="22"/>
              </w:rPr>
              <w:t>事业单位</w:t>
            </w:r>
          </w:p>
        </w:tc>
        <w:tc>
          <w:tcPr>
            <w:tcW w:w="2680" w:type="dxa"/>
            <w:tcBorders>
              <w:right w:val="single" w:color="auto" w:sz="8" w:space="0"/>
            </w:tcBorders>
            <w:vAlign w:val="bottom"/>
          </w:tcPr>
          <w:p>
            <w:pPr>
              <w:spacing w:after="0" w:line="251" w:lineRule="exact"/>
              <w:jc w:val="center"/>
              <w:rPr>
                <w:rFonts w:hint="eastAsia" w:eastAsia="仿宋"/>
                <w:sz w:val="20"/>
                <w:szCs w:val="20"/>
                <w:lang w:eastAsia="zh-CN"/>
              </w:rPr>
            </w:pPr>
            <w:r>
              <w:rPr>
                <w:rFonts w:ascii="仿宋" w:hAnsi="仿宋" w:eastAsia="仿宋" w:cs="仿宋"/>
                <w:w w:val="99"/>
                <w:sz w:val="22"/>
                <w:szCs w:val="22"/>
              </w:rPr>
              <w:t>财政性资金定额或定项</w:t>
            </w:r>
            <w:r>
              <w:rPr>
                <w:rFonts w:hint="eastAsia" w:ascii="仿宋" w:hAnsi="仿宋" w:eastAsia="仿宋" w:cs="仿宋"/>
                <w:w w:val="99"/>
                <w:sz w:val="22"/>
                <w:szCs w:val="22"/>
                <w:lang w:eastAsia="zh-CN"/>
              </w:rPr>
              <w:t>补助</w:t>
            </w:r>
          </w:p>
        </w:tc>
        <w:tc>
          <w:tcPr>
            <w:tcW w:w="360" w:type="dxa"/>
            <w:vAlign w:val="bottom"/>
          </w:tcPr>
          <w:p>
            <w:pPr>
              <w:spacing w:after="0"/>
              <w:rPr>
                <w:rFonts w:eastAsiaTheme="minorEastAsia"/>
                <w:sz w:val="1"/>
                <w:szCs w:val="1"/>
              </w:rPr>
            </w:pPr>
          </w:p>
        </w:tc>
      </w:tr>
      <w:tr>
        <w:tblPrEx>
          <w:tblCellMar>
            <w:top w:w="0" w:type="dxa"/>
            <w:left w:w="0" w:type="dxa"/>
            <w:bottom w:w="0" w:type="dxa"/>
            <w:right w:w="0" w:type="dxa"/>
          </w:tblCellMar>
        </w:tblPrEx>
        <w:trPr>
          <w:trHeight w:val="75" w:hRule="atLeast"/>
        </w:trPr>
        <w:tc>
          <w:tcPr>
            <w:tcW w:w="1000" w:type="dxa"/>
            <w:tcBorders>
              <w:left w:val="single" w:color="auto" w:sz="8" w:space="0"/>
              <w:bottom w:val="single" w:color="auto" w:sz="8" w:space="0"/>
              <w:right w:val="single" w:color="auto" w:sz="8" w:space="0"/>
            </w:tcBorders>
            <w:vAlign w:val="bottom"/>
          </w:tcPr>
          <w:p>
            <w:pPr>
              <w:spacing w:after="0"/>
              <w:jc w:val="center"/>
              <w:rPr>
                <w:rFonts w:eastAsiaTheme="minorEastAsia"/>
                <w:sz w:val="6"/>
                <w:szCs w:val="6"/>
              </w:rPr>
            </w:pPr>
          </w:p>
        </w:tc>
        <w:tc>
          <w:tcPr>
            <w:tcW w:w="3717" w:type="dxa"/>
            <w:tcBorders>
              <w:bottom w:val="single" w:color="auto" w:sz="8" w:space="0"/>
              <w:right w:val="single" w:color="auto" w:sz="8" w:space="0"/>
            </w:tcBorders>
            <w:vAlign w:val="bottom"/>
          </w:tcPr>
          <w:p>
            <w:pPr>
              <w:spacing w:after="0"/>
              <w:jc w:val="center"/>
              <w:rPr>
                <w:rFonts w:eastAsiaTheme="minorEastAsia"/>
                <w:sz w:val="6"/>
                <w:szCs w:val="6"/>
              </w:rPr>
            </w:pPr>
          </w:p>
        </w:tc>
        <w:tc>
          <w:tcPr>
            <w:tcW w:w="2223" w:type="dxa"/>
            <w:tcBorders>
              <w:bottom w:val="single" w:color="auto" w:sz="8" w:space="0"/>
              <w:right w:val="single" w:color="auto" w:sz="8" w:space="0"/>
            </w:tcBorders>
            <w:vAlign w:val="bottom"/>
          </w:tcPr>
          <w:p>
            <w:pPr>
              <w:spacing w:after="0"/>
              <w:jc w:val="center"/>
              <w:rPr>
                <w:rFonts w:eastAsiaTheme="minorEastAsia"/>
                <w:sz w:val="6"/>
                <w:szCs w:val="6"/>
              </w:rPr>
            </w:pPr>
          </w:p>
        </w:tc>
        <w:tc>
          <w:tcPr>
            <w:tcW w:w="2680" w:type="dxa"/>
            <w:tcBorders>
              <w:bottom w:val="single" w:color="auto" w:sz="8" w:space="0"/>
              <w:right w:val="single" w:color="auto" w:sz="8" w:space="0"/>
            </w:tcBorders>
            <w:vAlign w:val="bottom"/>
          </w:tcPr>
          <w:p>
            <w:pPr>
              <w:spacing w:after="0"/>
              <w:jc w:val="center"/>
              <w:rPr>
                <w:rFonts w:eastAsiaTheme="minorEastAsia"/>
                <w:sz w:val="6"/>
                <w:szCs w:val="6"/>
              </w:rPr>
            </w:pPr>
          </w:p>
        </w:tc>
        <w:tc>
          <w:tcPr>
            <w:tcW w:w="360" w:type="dxa"/>
            <w:vAlign w:val="bottom"/>
          </w:tcPr>
          <w:p>
            <w:pPr>
              <w:spacing w:after="0"/>
              <w:rPr>
                <w:rFonts w:eastAsiaTheme="minorEastAsia"/>
                <w:sz w:val="1"/>
                <w:szCs w:val="1"/>
              </w:rPr>
            </w:pPr>
          </w:p>
        </w:tc>
      </w:tr>
      <w:tr>
        <w:tblPrEx>
          <w:tblCellMar>
            <w:top w:w="0" w:type="dxa"/>
            <w:left w:w="0" w:type="dxa"/>
            <w:bottom w:w="0" w:type="dxa"/>
            <w:right w:w="0" w:type="dxa"/>
          </w:tblCellMar>
        </w:tblPrEx>
        <w:trPr>
          <w:trHeight w:val="486" w:hRule="atLeast"/>
        </w:trPr>
        <w:tc>
          <w:tcPr>
            <w:tcW w:w="1000" w:type="dxa"/>
            <w:tcBorders>
              <w:left w:val="single" w:color="auto" w:sz="8" w:space="0"/>
              <w:right w:val="single" w:color="auto" w:sz="8" w:space="0"/>
            </w:tcBorders>
            <w:vAlign w:val="bottom"/>
          </w:tcPr>
          <w:p>
            <w:pPr>
              <w:spacing w:after="0" w:line="320" w:lineRule="exact"/>
              <w:jc w:val="center"/>
              <w:rPr>
                <w:rFonts w:eastAsiaTheme="minorEastAsia"/>
                <w:sz w:val="20"/>
                <w:szCs w:val="20"/>
              </w:rPr>
            </w:pPr>
            <w:r>
              <w:rPr>
                <w:rFonts w:ascii="仿宋" w:hAnsi="仿宋" w:eastAsia="仿宋" w:cs="仿宋"/>
                <w:w w:val="99"/>
                <w:sz w:val="28"/>
                <w:szCs w:val="28"/>
              </w:rPr>
              <w:t>5</w:t>
            </w:r>
          </w:p>
        </w:tc>
        <w:tc>
          <w:tcPr>
            <w:tcW w:w="3717" w:type="dxa"/>
            <w:tcBorders>
              <w:right w:val="single" w:color="auto" w:sz="8" w:space="0"/>
            </w:tcBorders>
            <w:vAlign w:val="bottom"/>
          </w:tcPr>
          <w:p>
            <w:pPr>
              <w:spacing w:after="0" w:line="251" w:lineRule="exact"/>
              <w:ind w:left="100"/>
              <w:jc w:val="center"/>
              <w:rPr>
                <w:rFonts w:eastAsiaTheme="minorEastAsia"/>
                <w:sz w:val="20"/>
                <w:szCs w:val="20"/>
              </w:rPr>
            </w:pPr>
            <w:r>
              <w:rPr>
                <w:rFonts w:ascii="仿宋" w:hAnsi="仿宋" w:eastAsia="仿宋" w:cs="仿宋"/>
                <w:sz w:val="22"/>
                <w:szCs w:val="22"/>
              </w:rPr>
              <w:t>石家庄市鹿泉区计三灌区</w:t>
            </w:r>
            <w:r>
              <w:rPr>
                <w:rFonts w:hint="eastAsia" w:ascii="仿宋" w:hAnsi="仿宋" w:eastAsia="仿宋" w:cs="仿宋"/>
                <w:sz w:val="22"/>
                <w:szCs w:val="22"/>
                <w:lang w:eastAsia="zh-CN"/>
              </w:rPr>
              <w:t>服务中心</w:t>
            </w:r>
          </w:p>
        </w:tc>
        <w:tc>
          <w:tcPr>
            <w:tcW w:w="2223" w:type="dxa"/>
            <w:tcBorders>
              <w:right w:val="single" w:color="auto" w:sz="8" w:space="0"/>
            </w:tcBorders>
            <w:vAlign w:val="bottom"/>
          </w:tcPr>
          <w:p>
            <w:pPr>
              <w:spacing w:after="0" w:line="251" w:lineRule="exact"/>
              <w:jc w:val="center"/>
              <w:rPr>
                <w:rFonts w:eastAsiaTheme="minorEastAsia"/>
                <w:sz w:val="20"/>
                <w:szCs w:val="20"/>
              </w:rPr>
            </w:pPr>
            <w:r>
              <w:rPr>
                <w:rFonts w:ascii="仿宋" w:hAnsi="仿宋" w:eastAsia="仿宋" w:cs="仿宋"/>
                <w:w w:val="99"/>
                <w:sz w:val="22"/>
                <w:szCs w:val="22"/>
              </w:rPr>
              <w:t>事业单位</w:t>
            </w:r>
          </w:p>
        </w:tc>
        <w:tc>
          <w:tcPr>
            <w:tcW w:w="2680" w:type="dxa"/>
            <w:tcBorders>
              <w:right w:val="single" w:color="auto" w:sz="8" w:space="0"/>
            </w:tcBorders>
            <w:vAlign w:val="bottom"/>
          </w:tcPr>
          <w:p>
            <w:pPr>
              <w:spacing w:after="0" w:line="251" w:lineRule="exact"/>
              <w:jc w:val="center"/>
              <w:rPr>
                <w:rFonts w:hint="eastAsia" w:eastAsia="仿宋"/>
                <w:sz w:val="20"/>
                <w:szCs w:val="20"/>
                <w:lang w:eastAsia="zh-CN"/>
              </w:rPr>
            </w:pPr>
            <w:r>
              <w:rPr>
                <w:rFonts w:ascii="仿宋" w:hAnsi="仿宋" w:eastAsia="仿宋" w:cs="仿宋"/>
                <w:w w:val="99"/>
                <w:sz w:val="22"/>
                <w:szCs w:val="22"/>
              </w:rPr>
              <w:t>财政性资金定额或定项补</w:t>
            </w:r>
            <w:r>
              <w:rPr>
                <w:rFonts w:hint="eastAsia" w:ascii="仿宋" w:hAnsi="仿宋" w:eastAsia="仿宋" w:cs="仿宋"/>
                <w:w w:val="99"/>
                <w:sz w:val="22"/>
                <w:szCs w:val="22"/>
                <w:lang w:eastAsia="zh-CN"/>
              </w:rPr>
              <w:t>助</w:t>
            </w:r>
          </w:p>
        </w:tc>
        <w:tc>
          <w:tcPr>
            <w:tcW w:w="360" w:type="dxa"/>
            <w:vAlign w:val="bottom"/>
          </w:tcPr>
          <w:p>
            <w:pPr>
              <w:spacing w:after="0"/>
              <w:rPr>
                <w:rFonts w:eastAsiaTheme="minorEastAsia"/>
                <w:sz w:val="1"/>
                <w:szCs w:val="1"/>
              </w:rPr>
            </w:pPr>
          </w:p>
        </w:tc>
      </w:tr>
      <w:tr>
        <w:tblPrEx>
          <w:tblCellMar>
            <w:top w:w="0" w:type="dxa"/>
            <w:left w:w="0" w:type="dxa"/>
            <w:bottom w:w="0" w:type="dxa"/>
            <w:right w:w="0" w:type="dxa"/>
          </w:tblCellMar>
        </w:tblPrEx>
        <w:trPr>
          <w:trHeight w:val="75" w:hRule="atLeast"/>
        </w:trPr>
        <w:tc>
          <w:tcPr>
            <w:tcW w:w="1000" w:type="dxa"/>
            <w:tcBorders>
              <w:left w:val="single" w:color="auto" w:sz="8" w:space="0"/>
              <w:bottom w:val="single" w:color="auto" w:sz="8" w:space="0"/>
              <w:right w:val="single" w:color="auto" w:sz="8" w:space="0"/>
            </w:tcBorders>
            <w:vAlign w:val="bottom"/>
          </w:tcPr>
          <w:p>
            <w:pPr>
              <w:spacing w:after="0"/>
              <w:jc w:val="center"/>
              <w:rPr>
                <w:rFonts w:eastAsiaTheme="minorEastAsia"/>
                <w:sz w:val="6"/>
                <w:szCs w:val="6"/>
              </w:rPr>
            </w:pPr>
          </w:p>
        </w:tc>
        <w:tc>
          <w:tcPr>
            <w:tcW w:w="3717" w:type="dxa"/>
            <w:tcBorders>
              <w:bottom w:val="single" w:color="auto" w:sz="8" w:space="0"/>
              <w:right w:val="single" w:color="auto" w:sz="8" w:space="0"/>
            </w:tcBorders>
            <w:vAlign w:val="bottom"/>
          </w:tcPr>
          <w:p>
            <w:pPr>
              <w:spacing w:after="0"/>
              <w:jc w:val="center"/>
              <w:rPr>
                <w:rFonts w:eastAsiaTheme="minorEastAsia"/>
                <w:sz w:val="6"/>
                <w:szCs w:val="6"/>
              </w:rPr>
            </w:pPr>
          </w:p>
        </w:tc>
        <w:tc>
          <w:tcPr>
            <w:tcW w:w="2223" w:type="dxa"/>
            <w:tcBorders>
              <w:bottom w:val="single" w:color="auto" w:sz="8" w:space="0"/>
              <w:right w:val="single" w:color="auto" w:sz="8" w:space="0"/>
            </w:tcBorders>
            <w:vAlign w:val="bottom"/>
          </w:tcPr>
          <w:p>
            <w:pPr>
              <w:spacing w:after="0"/>
              <w:jc w:val="center"/>
              <w:rPr>
                <w:rFonts w:eastAsiaTheme="minorEastAsia"/>
                <w:sz w:val="6"/>
                <w:szCs w:val="6"/>
              </w:rPr>
            </w:pPr>
          </w:p>
        </w:tc>
        <w:tc>
          <w:tcPr>
            <w:tcW w:w="2680" w:type="dxa"/>
            <w:tcBorders>
              <w:bottom w:val="single" w:color="auto" w:sz="8" w:space="0"/>
              <w:right w:val="single" w:color="auto" w:sz="8" w:space="0"/>
            </w:tcBorders>
            <w:vAlign w:val="bottom"/>
          </w:tcPr>
          <w:p>
            <w:pPr>
              <w:spacing w:after="0"/>
              <w:jc w:val="center"/>
              <w:rPr>
                <w:rFonts w:eastAsiaTheme="minorEastAsia"/>
                <w:sz w:val="6"/>
                <w:szCs w:val="6"/>
              </w:rPr>
            </w:pPr>
          </w:p>
        </w:tc>
        <w:tc>
          <w:tcPr>
            <w:tcW w:w="360" w:type="dxa"/>
            <w:vAlign w:val="bottom"/>
          </w:tcPr>
          <w:p>
            <w:pPr>
              <w:spacing w:after="0"/>
              <w:rPr>
                <w:rFonts w:eastAsiaTheme="minorEastAsia"/>
                <w:sz w:val="1"/>
                <w:szCs w:val="1"/>
              </w:rPr>
            </w:pPr>
          </w:p>
        </w:tc>
      </w:tr>
      <w:tr>
        <w:tblPrEx>
          <w:tblCellMar>
            <w:top w:w="0" w:type="dxa"/>
            <w:left w:w="0" w:type="dxa"/>
            <w:bottom w:w="0" w:type="dxa"/>
            <w:right w:w="0" w:type="dxa"/>
          </w:tblCellMar>
        </w:tblPrEx>
        <w:trPr>
          <w:trHeight w:val="574" w:hRule="atLeast"/>
        </w:trPr>
        <w:tc>
          <w:tcPr>
            <w:tcW w:w="1000" w:type="dxa"/>
            <w:tcBorders>
              <w:left w:val="single" w:color="auto" w:sz="8" w:space="0"/>
              <w:right w:val="single" w:color="auto" w:sz="8" w:space="0"/>
            </w:tcBorders>
            <w:vAlign w:val="bottom"/>
          </w:tcPr>
          <w:p>
            <w:pPr>
              <w:spacing w:after="0" w:line="320" w:lineRule="exact"/>
              <w:jc w:val="center"/>
              <w:rPr>
                <w:rFonts w:eastAsiaTheme="minorEastAsia"/>
                <w:sz w:val="20"/>
                <w:szCs w:val="20"/>
              </w:rPr>
            </w:pPr>
            <w:r>
              <w:rPr>
                <w:rFonts w:ascii="仿宋" w:hAnsi="仿宋" w:eastAsia="仿宋" w:cs="仿宋"/>
                <w:w w:val="99"/>
                <w:sz w:val="28"/>
                <w:szCs w:val="28"/>
              </w:rPr>
              <w:t>6</w:t>
            </w:r>
          </w:p>
        </w:tc>
        <w:tc>
          <w:tcPr>
            <w:tcW w:w="3717" w:type="dxa"/>
            <w:tcBorders>
              <w:right w:val="single" w:color="auto" w:sz="8" w:space="0"/>
            </w:tcBorders>
            <w:vAlign w:val="bottom"/>
          </w:tcPr>
          <w:p>
            <w:pPr>
              <w:spacing w:after="0" w:line="251" w:lineRule="exact"/>
              <w:ind w:left="100"/>
              <w:jc w:val="center"/>
              <w:rPr>
                <w:rFonts w:hint="eastAsia" w:eastAsia="仿宋"/>
                <w:sz w:val="20"/>
                <w:szCs w:val="20"/>
                <w:lang w:eastAsia="zh-CN"/>
              </w:rPr>
            </w:pPr>
            <w:r>
              <w:rPr>
                <w:rFonts w:ascii="仿宋" w:hAnsi="仿宋" w:eastAsia="仿宋" w:cs="仿宋"/>
                <w:sz w:val="22"/>
                <w:szCs w:val="22"/>
              </w:rPr>
              <w:t>石家庄市鹿泉区水利技术推广中</w:t>
            </w:r>
            <w:r>
              <w:rPr>
                <w:rFonts w:hint="eastAsia" w:ascii="仿宋" w:hAnsi="仿宋" w:eastAsia="仿宋" w:cs="仿宋"/>
                <w:sz w:val="22"/>
                <w:szCs w:val="22"/>
                <w:lang w:eastAsia="zh-CN"/>
              </w:rPr>
              <w:t>心</w:t>
            </w:r>
          </w:p>
        </w:tc>
        <w:tc>
          <w:tcPr>
            <w:tcW w:w="2223" w:type="dxa"/>
            <w:tcBorders>
              <w:right w:val="single" w:color="auto" w:sz="8" w:space="0"/>
            </w:tcBorders>
            <w:vAlign w:val="bottom"/>
          </w:tcPr>
          <w:p>
            <w:pPr>
              <w:spacing w:after="0"/>
              <w:jc w:val="center"/>
              <w:rPr>
                <w:rFonts w:eastAsiaTheme="minorEastAsia"/>
              </w:rPr>
            </w:pPr>
            <w:r>
              <w:rPr>
                <w:rFonts w:ascii="仿宋" w:hAnsi="仿宋" w:eastAsia="仿宋" w:cs="仿宋"/>
                <w:w w:val="99"/>
                <w:sz w:val="22"/>
                <w:szCs w:val="22"/>
              </w:rPr>
              <w:t>事业单位</w:t>
            </w:r>
          </w:p>
        </w:tc>
        <w:tc>
          <w:tcPr>
            <w:tcW w:w="2680" w:type="dxa"/>
            <w:tcBorders>
              <w:right w:val="single" w:color="auto" w:sz="8" w:space="0"/>
            </w:tcBorders>
            <w:vAlign w:val="bottom"/>
          </w:tcPr>
          <w:p>
            <w:pPr>
              <w:spacing w:after="0" w:line="251" w:lineRule="exact"/>
              <w:jc w:val="center"/>
              <w:rPr>
                <w:rFonts w:eastAsiaTheme="minorEastAsia"/>
                <w:sz w:val="20"/>
                <w:szCs w:val="20"/>
              </w:rPr>
            </w:pPr>
            <w:r>
              <w:rPr>
                <w:rFonts w:ascii="仿宋" w:hAnsi="仿宋" w:eastAsia="仿宋" w:cs="仿宋"/>
                <w:w w:val="99"/>
                <w:sz w:val="22"/>
                <w:szCs w:val="22"/>
              </w:rPr>
              <w:t>财政性资金基本保证</w:t>
            </w:r>
          </w:p>
        </w:tc>
        <w:tc>
          <w:tcPr>
            <w:tcW w:w="360" w:type="dxa"/>
            <w:vAlign w:val="bottom"/>
          </w:tcPr>
          <w:p>
            <w:pPr>
              <w:spacing w:after="0"/>
              <w:rPr>
                <w:rFonts w:eastAsiaTheme="minorEastAsia"/>
                <w:sz w:val="1"/>
                <w:szCs w:val="1"/>
              </w:rPr>
            </w:pPr>
          </w:p>
        </w:tc>
      </w:tr>
      <w:tr>
        <w:tblPrEx>
          <w:tblCellMar>
            <w:top w:w="0" w:type="dxa"/>
            <w:left w:w="0" w:type="dxa"/>
            <w:bottom w:w="0" w:type="dxa"/>
            <w:right w:w="0" w:type="dxa"/>
          </w:tblCellMar>
        </w:tblPrEx>
        <w:trPr>
          <w:trHeight w:val="355" w:hRule="atLeast"/>
        </w:trPr>
        <w:tc>
          <w:tcPr>
            <w:tcW w:w="1000" w:type="dxa"/>
            <w:tcBorders>
              <w:left w:val="single" w:color="auto" w:sz="8" w:space="0"/>
              <w:bottom w:val="single" w:color="auto" w:sz="8" w:space="0"/>
              <w:right w:val="single" w:color="auto" w:sz="8" w:space="0"/>
            </w:tcBorders>
            <w:vAlign w:val="bottom"/>
          </w:tcPr>
          <w:p>
            <w:pPr>
              <w:spacing w:after="0"/>
              <w:jc w:val="center"/>
              <w:rPr>
                <w:rFonts w:eastAsiaTheme="minorEastAsia"/>
              </w:rPr>
            </w:pPr>
          </w:p>
        </w:tc>
        <w:tc>
          <w:tcPr>
            <w:tcW w:w="3717" w:type="dxa"/>
            <w:tcBorders>
              <w:bottom w:val="single" w:color="auto" w:sz="8" w:space="0"/>
              <w:right w:val="single" w:color="auto" w:sz="8" w:space="0"/>
            </w:tcBorders>
            <w:vAlign w:val="bottom"/>
          </w:tcPr>
          <w:p>
            <w:pPr>
              <w:spacing w:after="0"/>
              <w:jc w:val="center"/>
              <w:rPr>
                <w:rFonts w:eastAsiaTheme="minorEastAsia"/>
              </w:rPr>
            </w:pPr>
          </w:p>
        </w:tc>
        <w:tc>
          <w:tcPr>
            <w:tcW w:w="2223" w:type="dxa"/>
            <w:tcBorders>
              <w:bottom w:val="single" w:color="auto" w:sz="8" w:space="0"/>
              <w:right w:val="single" w:color="auto" w:sz="8" w:space="0"/>
            </w:tcBorders>
            <w:vAlign w:val="bottom"/>
          </w:tcPr>
          <w:p>
            <w:pPr>
              <w:spacing w:after="0"/>
              <w:jc w:val="center"/>
              <w:rPr>
                <w:rFonts w:eastAsiaTheme="minorEastAsia"/>
              </w:rPr>
            </w:pPr>
          </w:p>
        </w:tc>
        <w:tc>
          <w:tcPr>
            <w:tcW w:w="2680" w:type="dxa"/>
            <w:tcBorders>
              <w:bottom w:val="single" w:color="auto" w:sz="8" w:space="0"/>
              <w:right w:val="single" w:color="auto" w:sz="8" w:space="0"/>
            </w:tcBorders>
            <w:vAlign w:val="bottom"/>
          </w:tcPr>
          <w:p>
            <w:pPr>
              <w:spacing w:after="0"/>
              <w:jc w:val="center"/>
              <w:rPr>
                <w:rFonts w:eastAsiaTheme="minorEastAsia"/>
              </w:rPr>
            </w:pPr>
          </w:p>
        </w:tc>
        <w:tc>
          <w:tcPr>
            <w:tcW w:w="360" w:type="dxa"/>
            <w:vAlign w:val="bottom"/>
          </w:tcPr>
          <w:p>
            <w:pPr>
              <w:spacing w:after="0"/>
              <w:rPr>
                <w:rFonts w:eastAsiaTheme="minorEastAsia"/>
                <w:sz w:val="1"/>
                <w:szCs w:val="1"/>
              </w:rPr>
            </w:pPr>
          </w:p>
        </w:tc>
      </w:tr>
      <w:tr>
        <w:tblPrEx>
          <w:tblCellMar>
            <w:top w:w="0" w:type="dxa"/>
            <w:left w:w="0" w:type="dxa"/>
            <w:bottom w:w="0" w:type="dxa"/>
            <w:right w:w="0" w:type="dxa"/>
          </w:tblCellMar>
        </w:tblPrEx>
        <w:trPr>
          <w:trHeight w:val="484" w:hRule="atLeast"/>
        </w:trPr>
        <w:tc>
          <w:tcPr>
            <w:tcW w:w="1000" w:type="dxa"/>
            <w:tcBorders>
              <w:left w:val="single" w:color="auto" w:sz="8" w:space="0"/>
              <w:right w:val="single" w:color="auto" w:sz="8" w:space="0"/>
            </w:tcBorders>
            <w:vAlign w:val="bottom"/>
          </w:tcPr>
          <w:p>
            <w:pPr>
              <w:spacing w:after="0" w:line="320" w:lineRule="exact"/>
              <w:jc w:val="center"/>
              <w:rPr>
                <w:rFonts w:eastAsiaTheme="minorEastAsia"/>
                <w:sz w:val="20"/>
                <w:szCs w:val="20"/>
              </w:rPr>
            </w:pPr>
            <w:r>
              <w:rPr>
                <w:rFonts w:ascii="仿宋" w:hAnsi="仿宋" w:eastAsia="仿宋" w:cs="仿宋"/>
                <w:w w:val="99"/>
                <w:sz w:val="28"/>
                <w:szCs w:val="28"/>
              </w:rPr>
              <w:t>7</w:t>
            </w:r>
          </w:p>
        </w:tc>
        <w:tc>
          <w:tcPr>
            <w:tcW w:w="3717" w:type="dxa"/>
            <w:tcBorders>
              <w:right w:val="single" w:color="auto" w:sz="8" w:space="0"/>
            </w:tcBorders>
            <w:vAlign w:val="bottom"/>
          </w:tcPr>
          <w:p>
            <w:pPr>
              <w:spacing w:after="0" w:line="251" w:lineRule="exact"/>
              <w:ind w:left="100"/>
              <w:jc w:val="center"/>
              <w:rPr>
                <w:rFonts w:eastAsiaTheme="minorEastAsia"/>
                <w:sz w:val="20"/>
                <w:szCs w:val="20"/>
              </w:rPr>
            </w:pPr>
            <w:r>
              <w:rPr>
                <w:rFonts w:ascii="仿宋" w:hAnsi="仿宋" w:eastAsia="仿宋" w:cs="仿宋"/>
                <w:sz w:val="22"/>
                <w:szCs w:val="22"/>
              </w:rPr>
              <w:t>石家庄市鹿泉区移民服务中心</w:t>
            </w:r>
          </w:p>
        </w:tc>
        <w:tc>
          <w:tcPr>
            <w:tcW w:w="2223" w:type="dxa"/>
            <w:tcBorders>
              <w:right w:val="single" w:color="auto" w:sz="8" w:space="0"/>
            </w:tcBorders>
            <w:vAlign w:val="bottom"/>
          </w:tcPr>
          <w:p>
            <w:pPr>
              <w:spacing w:after="0" w:line="251" w:lineRule="exact"/>
              <w:jc w:val="center"/>
              <w:rPr>
                <w:rFonts w:eastAsiaTheme="minorEastAsia"/>
                <w:sz w:val="20"/>
                <w:szCs w:val="20"/>
              </w:rPr>
            </w:pPr>
            <w:r>
              <w:rPr>
                <w:rFonts w:ascii="仿宋" w:hAnsi="仿宋" w:eastAsia="仿宋" w:cs="仿宋"/>
                <w:w w:val="99"/>
                <w:sz w:val="22"/>
                <w:szCs w:val="22"/>
              </w:rPr>
              <w:t>事业单位</w:t>
            </w:r>
          </w:p>
        </w:tc>
        <w:tc>
          <w:tcPr>
            <w:tcW w:w="2680" w:type="dxa"/>
            <w:tcBorders>
              <w:right w:val="single" w:color="auto" w:sz="8" w:space="0"/>
            </w:tcBorders>
            <w:vAlign w:val="bottom"/>
          </w:tcPr>
          <w:p>
            <w:pPr>
              <w:spacing w:after="0" w:line="251" w:lineRule="exact"/>
              <w:jc w:val="center"/>
              <w:rPr>
                <w:rFonts w:eastAsiaTheme="minorEastAsia"/>
                <w:sz w:val="20"/>
                <w:szCs w:val="20"/>
              </w:rPr>
            </w:pPr>
            <w:r>
              <w:rPr>
                <w:rFonts w:ascii="仿宋" w:hAnsi="仿宋" w:eastAsia="仿宋" w:cs="仿宋"/>
                <w:w w:val="99"/>
                <w:sz w:val="22"/>
                <w:szCs w:val="22"/>
              </w:rPr>
              <w:t>财政性资金基本保证</w:t>
            </w:r>
          </w:p>
        </w:tc>
        <w:tc>
          <w:tcPr>
            <w:tcW w:w="360" w:type="dxa"/>
            <w:vAlign w:val="bottom"/>
          </w:tcPr>
          <w:p>
            <w:pPr>
              <w:spacing w:after="0"/>
              <w:rPr>
                <w:rFonts w:eastAsiaTheme="minorEastAsia"/>
                <w:sz w:val="1"/>
                <w:szCs w:val="1"/>
              </w:rPr>
            </w:pPr>
          </w:p>
        </w:tc>
      </w:tr>
      <w:tr>
        <w:tblPrEx>
          <w:tblCellMar>
            <w:top w:w="0" w:type="dxa"/>
            <w:left w:w="0" w:type="dxa"/>
            <w:bottom w:w="0" w:type="dxa"/>
            <w:right w:w="0" w:type="dxa"/>
          </w:tblCellMar>
        </w:tblPrEx>
        <w:trPr>
          <w:trHeight w:val="290" w:hRule="atLeast"/>
        </w:trPr>
        <w:tc>
          <w:tcPr>
            <w:tcW w:w="1000" w:type="dxa"/>
            <w:tcBorders>
              <w:left w:val="single" w:color="auto" w:sz="8" w:space="0"/>
              <w:bottom w:val="single" w:color="auto" w:sz="8" w:space="0"/>
              <w:right w:val="single" w:color="auto" w:sz="8" w:space="0"/>
            </w:tcBorders>
            <w:vAlign w:val="bottom"/>
          </w:tcPr>
          <w:p>
            <w:pPr>
              <w:spacing w:after="0"/>
              <w:jc w:val="center"/>
              <w:rPr>
                <w:rFonts w:eastAsiaTheme="minorEastAsia"/>
              </w:rPr>
            </w:pPr>
          </w:p>
        </w:tc>
        <w:tc>
          <w:tcPr>
            <w:tcW w:w="3717" w:type="dxa"/>
            <w:tcBorders>
              <w:bottom w:val="single" w:color="auto" w:sz="8" w:space="0"/>
              <w:right w:val="single" w:color="auto" w:sz="8" w:space="0"/>
            </w:tcBorders>
            <w:vAlign w:val="bottom"/>
          </w:tcPr>
          <w:p>
            <w:pPr>
              <w:spacing w:after="0"/>
              <w:jc w:val="center"/>
              <w:rPr>
                <w:rFonts w:eastAsiaTheme="minorEastAsia"/>
              </w:rPr>
            </w:pPr>
          </w:p>
        </w:tc>
        <w:tc>
          <w:tcPr>
            <w:tcW w:w="2223" w:type="dxa"/>
            <w:tcBorders>
              <w:bottom w:val="single" w:color="auto" w:sz="8" w:space="0"/>
              <w:right w:val="single" w:color="auto" w:sz="8" w:space="0"/>
            </w:tcBorders>
            <w:vAlign w:val="bottom"/>
          </w:tcPr>
          <w:p>
            <w:pPr>
              <w:spacing w:after="0"/>
              <w:jc w:val="center"/>
              <w:rPr>
                <w:rFonts w:eastAsiaTheme="minorEastAsia"/>
              </w:rPr>
            </w:pPr>
          </w:p>
        </w:tc>
        <w:tc>
          <w:tcPr>
            <w:tcW w:w="2680" w:type="dxa"/>
            <w:tcBorders>
              <w:bottom w:val="single" w:color="auto" w:sz="8" w:space="0"/>
              <w:right w:val="single" w:color="auto" w:sz="8" w:space="0"/>
            </w:tcBorders>
            <w:vAlign w:val="bottom"/>
          </w:tcPr>
          <w:p>
            <w:pPr>
              <w:spacing w:after="0"/>
              <w:jc w:val="center"/>
              <w:rPr>
                <w:rFonts w:eastAsiaTheme="minorEastAsia"/>
              </w:rPr>
            </w:pPr>
          </w:p>
        </w:tc>
        <w:tc>
          <w:tcPr>
            <w:tcW w:w="360" w:type="dxa"/>
            <w:vAlign w:val="bottom"/>
          </w:tcPr>
          <w:p>
            <w:pPr>
              <w:spacing w:after="0"/>
              <w:rPr>
                <w:rFonts w:eastAsiaTheme="minorEastAsia"/>
                <w:sz w:val="1"/>
                <w:szCs w:val="1"/>
              </w:rPr>
            </w:pPr>
          </w:p>
        </w:tc>
      </w:tr>
    </w:tbl>
    <w:p/>
    <w:p>
      <w:pPr>
        <w:widowControl/>
        <w:spacing w:after="160" w:line="580" w:lineRule="exact"/>
        <w:ind w:firstLine="1440" w:firstLineChars="200"/>
        <w:rPr>
          <w:rFonts w:ascii="Times New Roman" w:hAnsi="Times New Roman" w:eastAsia="黑体" w:cs="Times New Roman"/>
          <w:sz w:val="32"/>
          <w:szCs w:val="32"/>
        </w:rPr>
        <w:sectPr>
          <w:headerReference r:id="rId7" w:type="default"/>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2336"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2336;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63360" behindDoc="0" locked="0" layoutInCell="1" allowOverlap="1">
                <wp:simplePos x="0" y="0"/>
                <wp:positionH relativeFrom="column">
                  <wp:posOffset>-1028065</wp:posOffset>
                </wp:positionH>
                <wp:positionV relativeFrom="paragraph">
                  <wp:posOffset>-2637155</wp:posOffset>
                </wp:positionV>
                <wp:extent cx="7793355" cy="3341370"/>
                <wp:effectExtent l="6350" t="6350" r="18415" b="20320"/>
                <wp:wrapNone/>
                <wp:docPr id="2" name="文本框 2"/>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5pt;margin-top:-207.65pt;height:263.1pt;width:613.65pt;z-index:251663360;v-text-anchor:middle;mso-width-relative:page;mso-height-relative:page;" fillcolor="#7F7F7F [1612]" filled="t" stroked="t" coordsize="21600,21600" o:gfxdata="UEsDBAoAAAAAAIdO4kAAAAAAAAAAAAAAAAAEAAAAZHJzL1BLAwQUAAAACACHTuJAvBcO0d0AAAAO&#10;AQAADwAAAGRycy9kb3ducmV2LnhtbE2Py07DMBBF90j8gzVIbFBrG9ooTeN0gQDRVdUSCZZO7MYR&#10;sR3Z7uvvma7K7o7m6M6ZcnW2AznqEHvvBPApA6Jd61XvOgH11/skBxKTdEoO3mkBFx1hVd3flbJQ&#10;/uS2+rhLHcESFwspwKQ0FpTG1mgr49SP2uFu74OVCcfQURXkCcvtQJ8Zy6iVvcMLRo761ej2d3ew&#10;Ar4/x/rnaZN/rM1mW7+t89hcQhTi8YGzJZCkz+kGw1Uf1aFCp8YfnIpkEDDhGV8gi2nG5y9ArgzL&#10;5jMgDSbOFkCrkv5/o/oDUEsDBBQAAAAIAIdO4kBTlixyhAIAAB8FAAAOAAAAZHJzL2Uyb0RvYy54&#10;bWytVMtu1DAU3SPxD5b3NPPs0FEz1dBqEFKhlQpi7XGcSSS/sD2TlA+AP2DFhj3f1e/g2MlMW9oV&#10;IpGca9+T63PP9fXpWask2Qnna6NzOjwaUCI0N0WtNzn99HH16jUlPjBdMGm0yOmt8PRs8fLFaWPn&#10;YmQqIwvhCIJoP29sTqsQ7DzLPK+EYv7IWKHhLI1TLGDqNlnhWIPoSmajweA4a4wrrDNceI/Vi85J&#10;Fyl+WQoersrSi0BkTsEtpNGlcR3HbHHK5hvHbFXzngb7BxaK1RqbHkJdsMDI1tVPQqmaO+NNGY64&#10;UZkpy5qLlAOyGQ7+yuamYlakXCCOtweZ/P8Lyz/srh2pi5yOKNFMoUR3P77f/fx99+sbGUV5Guvn&#10;QN1Y4EL7xrQo837dYzFm3ZZOxS/yIfBD6NuDuKINhGNxNjsZj6dTSjh84/FkOJ4l+bP7363z4a0w&#10;ikQjpw7VS6Ky3aUPoALoHhJ3syyEVS1lD7c8TBO83JzLRMu7zRom2TFUf7aKbwLIrXpvim55OsAT&#10;80HwHp/sQ5D1s9FW6en/6yGRXk8p0pOaNNBqNEN8wpWFxl5vEgFvZF1E6hH3iOXyOL5PWB5Hms+w&#10;fBQoanPBfNUlllz9L1Ijp1jIrmDRCu267au7NsUtiutM1x3e8lWNUJfMh2vm0A7gjxYPVxhKaZCU&#10;6S1KKuO+Prce8Til8FLSoL2Q+5ctc4IS+U7j/J4MJ5PYj2kymc5GmLiHnvVDj96qc4MaDnGZWJ7M&#10;iA9yb5bOqM+4CZZxV7iY5tg7pzy4/eQ8dG2Pu4SL5TLB0IOo2KW+sTwGj9XQZrkNpqzTeYtCder0&#10;+qEL0+nob4zY5g/nCXV/ry3+AF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PoEAABbQ29udGVudF9UeXBlc10ueG1sUEsBAhQACgAAAAAAh07iQAAA&#10;AAAAAAAAAAAAAAYAAAAAAAAAAAAQAAAA3AMAAF9yZWxzL1BLAQIUABQAAAAIAIdO4kCKFGY80QAA&#10;AJQBAAALAAAAAAAAAAEAIAAAAAAEAABfcmVscy8ucmVsc1BLAQIUAAoAAAAAAIdO4kAAAAAAAAAA&#10;AAAAAAAEAAAAAAAAAAAAEAAAAAAAAABkcnMvUEsBAhQAFAAAAAgAh07iQLwXDtHdAAAADgEAAA8A&#10;AAAAAAAAAQAgAAAAIgAAAGRycy9kb3ducmV2LnhtbFBLAQIUABQAAAAIAIdO4kBTlixyhAIAAB8F&#10;AAAOAAAAAAAAAAEAIAAAACwBAABkcnMvZTJvRG9jLnhtbFBLBQYAAAAABgAGAFkBAAAiBgAAAAA=&#10;">
                <v:fill type="pattern" on="t" color2="#FFFFFF [3212]" focussize="0,0" r:id="rId10"/>
                <v:stroke weight="1pt" color="#A6A6A6 [2092]"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v:textbox>
              </v:shape>
            </w:pict>
          </mc:Fallback>
        </mc:AlternateContent>
      </w:r>
    </w:p>
    <w:p>
      <w:pPr>
        <w:jc w:val="center"/>
        <w:rPr>
          <w:rFonts w:ascii="黑体" w:hAnsi="黑体" w:eastAsia="黑体" w:cs="黑体"/>
          <w:sz w:val="56"/>
          <w:szCs w:val="72"/>
        </w:rPr>
      </w:pPr>
    </w:p>
    <w:p>
      <w:pPr>
        <w:keepNext/>
        <w:keepLines/>
        <w:snapToGrid w:val="0"/>
        <w:spacing w:line="600" w:lineRule="exact"/>
        <w:ind w:firstLine="420" w:firstLineChars="200"/>
        <w:outlineLvl w:val="1"/>
        <w:rPr>
          <w:rFonts w:ascii="黑体" w:hAnsi="Calibri" w:eastAsia="黑体" w:cs="Times New Roman"/>
          <w:sz w:val="32"/>
          <w:szCs w:val="32"/>
        </w:rPr>
      </w:pPr>
      <w:r>
        <w:br w:type="page"/>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Calibri" w:eastAsia="仿宋_GB2312" w:cs="Arial Black"/>
          <w:kern w:val="0"/>
          <w:sz w:val="32"/>
          <w:szCs w:val="32"/>
          <w:lang w:eastAsia="zh-CN"/>
        </w:rPr>
        <w:t>石家庄市鹿泉区水利局</w:t>
      </w:r>
      <w:r>
        <w:rPr>
          <w:rFonts w:hint="eastAsia" w:ascii="仿宋_GB2312" w:hAnsi="Times New Roman" w:eastAsia="仿宋_GB2312" w:cs="Wingdings"/>
          <w:sz w:val="32"/>
          <w:szCs w:val="32"/>
          <w:lang w:eastAsia="zh-CN"/>
        </w:rPr>
        <w:t>部门</w:t>
      </w:r>
      <w:r>
        <w:rPr>
          <w:rFonts w:hint="eastAsia" w:ascii="仿宋_GB2312" w:hAnsi="Times New Roman" w:eastAsia="仿宋_GB2312" w:cs="Wingdings"/>
          <w:sz w:val="32"/>
          <w:szCs w:val="32"/>
        </w:rPr>
        <w:t>2020年度收、支总计（含结转和结余）</w:t>
      </w:r>
      <w:r>
        <w:rPr>
          <w:rFonts w:hint="eastAsia" w:ascii="仿宋_GB2312" w:hAnsi="Times New Roman" w:eastAsia="仿宋_GB2312" w:cs="Wingdings"/>
          <w:sz w:val="32"/>
          <w:szCs w:val="32"/>
          <w:lang w:val="en-US" w:eastAsia="zh-CN"/>
        </w:rPr>
        <w:t>86294.06</w:t>
      </w:r>
      <w:r>
        <w:rPr>
          <w:rFonts w:hint="eastAsia" w:ascii="仿宋_GB2312" w:hAnsi="Times New Roman" w:eastAsia="仿宋_GB2312" w:cs="Wingdings"/>
          <w:sz w:val="32"/>
          <w:szCs w:val="32"/>
        </w:rPr>
        <w:t>万元。与2019年度决算相比，收支各</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lang w:val="en-US" w:eastAsia="zh-CN"/>
        </w:rPr>
        <w:t>46259.75</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上升</w:t>
      </w:r>
      <w:r>
        <w:rPr>
          <w:rFonts w:hint="eastAsia" w:ascii="仿宋_GB2312" w:hAnsi="Times New Roman" w:eastAsia="仿宋_GB2312" w:cs="Wingdings"/>
          <w:sz w:val="32"/>
          <w:szCs w:val="32"/>
          <w:lang w:val="en-US" w:eastAsia="zh-CN"/>
        </w:rPr>
        <w:t>54</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（如图1）</w:t>
      </w:r>
      <w:r>
        <w:rPr>
          <w:rFonts w:hint="eastAsia" w:ascii="仿宋_GB2312" w:hAnsi="Times New Roman" w:eastAsia="仿宋_GB2312" w:cs="Wingdings"/>
          <w:sz w:val="32"/>
          <w:szCs w:val="32"/>
        </w:rPr>
        <w:t>，主要原因是</w:t>
      </w:r>
      <w:r>
        <w:rPr>
          <w:rFonts w:hint="eastAsia" w:ascii="仿宋_GB2312" w:hAnsi="Times New Roman" w:eastAsia="仿宋_GB2312" w:cs="Wingdings"/>
          <w:sz w:val="32"/>
          <w:szCs w:val="32"/>
          <w:lang w:val="en-US" w:eastAsia="zh-CN"/>
        </w:rPr>
        <w:t>本年承担项目的资金支出规模较上年有所增加，其中滹沱河生态修复三期工程（鹿泉区）项目资金投入32800万元，较上年增加32800万元</w:t>
      </w:r>
      <w:r>
        <w:rPr>
          <w:rFonts w:hint="eastAsia" w:ascii="仿宋_GB2312" w:hAnsi="Times New Roman" w:eastAsia="仿宋_GB2312" w:cs="Wingdings"/>
          <w:sz w:val="32"/>
          <w:szCs w:val="32"/>
        </w:rPr>
        <w:t>。</w:t>
      </w:r>
    </w:p>
    <w:p>
      <w:pPr>
        <w:adjustRightInd w:val="0"/>
        <w:snapToGrid w:val="0"/>
        <w:spacing w:line="600" w:lineRule="exact"/>
        <w:rPr>
          <w:rFonts w:ascii="仿宋_GB2312" w:hAnsi="Times New Roman" w:eastAsia="仿宋_GB2312" w:cs="Wingdings"/>
          <w:sz w:val="32"/>
          <w:szCs w:val="32"/>
        </w:rPr>
      </w:pPr>
      <w:r>
        <w:rPr>
          <w:sz w:val="32"/>
        </w:rPr>
        <mc:AlternateContent>
          <mc:Choice Requires="wpg">
            <w:drawing>
              <wp:anchor distT="0" distB="0" distL="114300" distR="114300" simplePos="0" relativeHeight="251669504" behindDoc="0" locked="0" layoutInCell="1" allowOverlap="1">
                <wp:simplePos x="0" y="0"/>
                <wp:positionH relativeFrom="column">
                  <wp:posOffset>354330</wp:posOffset>
                </wp:positionH>
                <wp:positionV relativeFrom="paragraph">
                  <wp:posOffset>135890</wp:posOffset>
                </wp:positionV>
                <wp:extent cx="5219700" cy="3215640"/>
                <wp:effectExtent l="0" t="0" r="7620" b="15240"/>
                <wp:wrapNone/>
                <wp:docPr id="34" name="组合 34"/>
                <wp:cNvGraphicFramePr/>
                <a:graphic xmlns:a="http://schemas.openxmlformats.org/drawingml/2006/main">
                  <a:graphicData uri="http://schemas.microsoft.com/office/word/2010/wordprocessingGroup">
                    <wpg:wgp>
                      <wpg:cNvGrpSpPr/>
                      <wpg:grpSpPr>
                        <a:xfrm>
                          <a:off x="0" y="0"/>
                          <a:ext cx="5219700" cy="3215640"/>
                          <a:chOff x="6793" y="126042"/>
                          <a:chExt cx="8220" cy="5064"/>
                        </a:xfrm>
                      </wpg:grpSpPr>
                      <wpg:graphicFrame>
                        <wpg:cNvPr id="27" name="图表 27"/>
                        <wpg:cNvFrPr/>
                        <wpg:xfrm>
                          <a:off x="6793" y="126042"/>
                          <a:ext cx="8220" cy="4905"/>
                        </wpg:xfrm>
                        <a:graphic>
                          <a:graphicData uri="http://schemas.openxmlformats.org/drawingml/2006/chart">
                            <c:chart xmlns:c="http://schemas.openxmlformats.org/drawingml/2006/chart" xmlns:r="http://schemas.openxmlformats.org/officeDocument/2006/relationships" r:id="rId11"/>
                          </a:graphicData>
                        </a:graphic>
                      </wpg:graphicFrame>
                      <wps:wsp>
                        <wps:cNvPr id="33" name="文本框 33"/>
                        <wps:cNvSpPr txBox="1"/>
                        <wps:spPr>
                          <a:xfrm>
                            <a:off x="7418" y="130492"/>
                            <a:ext cx="6629" cy="61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1</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2019-2020年收支总计对比情况</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27.9pt;margin-top:10.7pt;height:253.2pt;width:411pt;z-index:251669504;mso-width-relative:page;mso-height-relative:page;" coordorigin="6793,126042" coordsize="8220,5064" o:gfxdata="UEsDBAoAAAAAAIdO4kAAAAAAAAAAAAAAAAAEAAAAZHJzL1BLAwQUAAAACACHTuJArc7dptgAAAAJ&#10;AQAADwAAAGRycy9kb3ducmV2LnhtbE2PwU7DMAyG70i8Q2QkbixNoWzqmk5oAk4TEhsS2s1rvLZa&#10;k1RN1m5vjznBzfZn/f5crC62EyMNofVOg5olIMhV3rSu1vC1e3tYgAgRncHOO9JwpQCr8vamwNz4&#10;yX3SuI214BAXctTQxNjnUoaqIYth5ntyzI5+sBi5HWppBpw43HYyTZJnabF1fKHBntYNVaft2Wp4&#10;n3B6eVSv4+Z0XF/3u+zje6NI6/s7lSxBRLrEv2X41Wd1KNnp4M/OBNFpyDI2jxpS9QSC+WI+58GB&#10;QcqFLAv5/4PyB1BLAwQUAAAACACHTuJA65V6aT8DAABFBwAADgAAAGRycy9lMm9Eb2MueG1snVXN&#10;bhMxEL4j8Q6W73R/8tesmlShJVWlilYqiLPj9WZX2rWN7XRTzgg4cuICl9448AZIvE0Lj8HY603a&#10;NBKlOTj2zOx45ptvxnv7y6pEF0zpQvARjnZCjBinIi34fIRfv5o+28VIG8JTUgrORviSabw/fvpk&#10;r5YJi0UuypQpBE64Tmo5wrkxMgkCTXNWEb0jJOOgzISqiIGjmgepIjV4r8ogDsN+UAuVSiUo0xqk&#10;h40Sj53/LGPUnGaZZgaVIwyxGbcqt87sGoz3SDJXROYF9WGQR0RRkYLDpStXh8QQtFDFPVdVQZXQ&#10;IjM7VFSByLKCMpcDZBOFG9kcKbGQLpd5Us/lCiaAdgOnR7ulLy/OFCrSEe50MeKkghr9/vn++vMn&#10;BAJAp5bzBIyOlDyXZ8oL5s3JJrzMVGX/IRW0dLhernBlS4MoCHtxNByEAD8FXSeOev2uR57mUB77&#10;XX8w7GAE6ijuh924qQvNX3gPu3HsP++FfRdX0F4d2AhXATUHV86pgmxWCfgs40Gb5fXXX3+uviMQ&#10;rLOcqlWKG3ltja/Nbx1ddxj2rD8XVOvC0+sh9Pg332lOlAFO0MTtPCfoPUY81JN3AC2xQaktDhq6&#10;Hgq6qBg3Tf8pVhIDza/zQmqMVGK5pI7TyMFwpyEAltXZQ+ShWZUKhoBe81zfC+q/eH6eE8lc+2hL&#10;4ZbnwLOG5zdfPt58+3Fz9QF1Og0JnJ3lOTLL5wJo6bKopU40CLfQfdCNYMBZ2nbC7tDTtqVFvx8P&#10;G873o4YVLWdJIpU2R0xUyG4AMBhUEClJyMWJNpZAaxMr1qIs0mlRlu6g5rODUqELAkNt6n4e7Dtm&#10;JUc1NFanFzrPXNjvG9clt36Ym4/+vnWSdmeWs6VrC53MRHoJgCjRzE4t6bSAmE+INmdEwbCExoQH&#10;wJzCkpUCrhR+h1Eu1LttcmsPtQUtRjUM3xHWbxdEMYzKYw5VH0ZdmBDIuEO3N7DNr25rZrc1fFEd&#10;CIAigqdGUre19qZst5kS1Rt4Jyb2VlARTuHuETbt9sA0TwK8M5RNJs4I5rMk5oSfS2iuyEM4WRiR&#10;Fa5AFqYGG8dlx1zPapjVroKe3fYxuH12VuvXb/wXUEsDBAoAAAAAAIdO4kAAAAAAAAAAAAAAAAAP&#10;AAAAZHJzL2VtYmVkZGluZ3MvUEsDBBQAAAAIAIdO4kBlPjuRZx0AAIMhAAAdAAAAZHJzL2VtYmVk&#10;ZGluZ3MvV29ya2Jvb2sxLnhsc3iFeQVYVFv3PiElDdIl3Uh3l8AwCEh3dzcM3cJQQ0hJdyMgXaIg&#10;IN0N0ijdiPAHvd/1ynd/3/88z5x9Zmatvc9599prr/O+igDYR4+h7o8whS+iPy/+OiHdtSb2xopO&#10;9g7OzxTvzJ7c/YD402xQXAeaDRoKig8GCgrjn2aGDg4sHrY2b+I65WDZMEL3A/cxnCotI8MTbCKy&#10;vkgxabT2fLMhmgaKm+loZX6MROjkOVibo7vAN+PJ0j5cs6W5HRJZerHmPTZeFhI+2Rz4Aq07PYCj&#10;rdZO9SBt/XIrmYNqV04XhAC3BHPUOLsUH7kFK/nWn0mKl+kile5zsGhNqPSqGERXmYGMCGgZxbhS&#10;2kfIe7rRBv3ciJ+UDGkaowGrT+kCbY3PcXLUTwJgzy/comsnAaN2RBU8Swgszm+qpfE6wamuiQrQ&#10;isimeybqvo43K63yNl8TOdTbxIJM+Qe9uTthdiSzR2nuRLSyt3k/QGQKmr4kZmrzvL5nqBCPHpKx&#10;dOVoQTJ4pgj0kiB0i9IV3ZB5z7IyqozqocrskifiTyuxnEG+apb+lQtqPU2irc2x6YRR+/q68Qrm&#10;T3iblmZF5O/gtb6DF/Of8BrbO5ne4+sD0X/R9fTJxyXgNRrqPvMwQWHe7pfMb73UNIMNF9LLFZS4&#10;WgGNu3OAuXK3kQvEzXmyzfnYgbOmiLYOftU04pHgLERwUT67abTe6+MLeKlBZ0pPVaJPI9DEqTiv&#10;8VIskouYBeeaoL/iNNDFgo1zeke6v4cafvsAz+ku65D8tMK6tBH9ufaX0Eh0PRgFpMZuQsHX887z&#10;MKtmT3MolSOgZ2xsJ6DzOhQD4FdJCpA+iuihqzWLIPCbro33kaUOb+O7f07KwUM4XyzubJjbhSzk&#10;RWIevWzREmx1UTU2ndVFEpWigcPGbai0rX7czKyufdy4TtN3IGNZr+G4iWe4Yg13dKM4L1sOdlp8&#10;l0twY4u4ViETg0AQYlH2zEl5kQY9pp+PQVm80siJaGwbMs8qTkC+v/vd/Nh2/Eac7OU1QN4SIC/w&#10;xaSPjgTzhX9Ov8+NUIT9n9DPjvCW0t5Bj3YHPfYf0Ls6u9jb3oOfHwcEdIneB/ct+TefGjLbWRtZ&#10;5SOkL2KdqSAZbtunzURuPBMUN+714wykLVuOHmHmGSmv3lUanUTrpIn14mOQwcb0q7kGzfcse6p3&#10;Ynh0c7+1lqb2RFGY97d1AmELWXE52iLYCYbF0sAjWBeiihcIOYzgL30cpW4dzamuGAflXflaeGbP&#10;ajpYYn70CJmd0aBePgmBxVvcsLiN+KYCesdxusfJt0B1FZzZojedHdmpjbkmhbkMNQpZjzWAiL0z&#10;sA6XAFtKH0fkrwscFDhzwGXYBGv/uNnuNGxurJsRBOsO1EmQ7Zql64EnkD5ChwRf7IUKdyK/BQ+7&#10;42eXdonY4qqnNbfcsAkPdDnpVmgkV7sQqOCUTppKPRZ/6xISlHUxAP/mhaunyRH0Pa7/nlhg73D1&#10;sPmZUv7dAO2Xgbu9k7Wzhampy8P0k/IlaPl+bWDBQUHh/5ftTxe2+5mKSrC1T2PF6Fl6Metedd0m&#10;Kp7KrZS1E1QCnM2zWpicQiPuLOnM8EHaFfYZohl22c7bgOt079m/OX9ayZJB+NHN4M24bTet0nuC&#10;2hAW0+bei8rMetrNdL4ntvQJduSrQ8sXUjeXYyVjZyMTUJ/Ch5vAU+FmBD0VRdmYLKPwWkcqs9ww&#10;2xY81Ry4kgTCViqCQIjnPOLMUUZVLZnhVgkEbn7LaE40UuhDIJbMlS5zFJHFi/Uwj3wckgn+Lb5Y&#10;jzGQ9KKJW15lXMiEgjo+TtMrkGWPKsuXj2n8aV8QTxRqCA3J6jeCO0IjtAHUh3wJAogw3usuuniu&#10;3VJSzeqOw1m9migera5FaUQBgZulrAECRJulysp4P7ZSQhhWX8evq/b1klL4ArbmOwUkqtsQ4ODE&#10;ZUvfp+gH1E3GCB8wpmANoUFn0D1OEGiAz2dXUNm4CSb2CfT4HFuptxRmU29oucfEmI2lHTKlJfQJ&#10;6yv42YXB9+zmZ095uCAJnPzr8vZKvbhtnWhP+DiEfawpw9WBEzhaSjReb6VHR1/qUGa896sfwso3&#10;LxRm35MI0lhq8TZ17bGoLvIyD9b/3uskZ4q36CGrBlndaumPV2059m/d3xnmIfBhO5SmQ/JEkJvE&#10;5CcRQUGq9N7RFQZAXHDzb7OvJskA1F9lgLfZBQFewpksZkrsZG9aJ321fDjA0x3uhjxvXeXFpDqo&#10;Up/hWjrxX2+kz/jK7HsoEt3C1aWWc436ohWmViBlhdJg9pbVdq+IUh7y7UPXhxIYdiz2t7swjmhZ&#10;MG6LI56Ldke9swiRFOkidSOik6drtCSjmgTNJFB+9mwZOML7v6P9fhu9i3YXC1Nb0wfbaJyUC97m&#10;XQzTEvxKNn+b/TT+GcK7mkMxRFxP2igPRcAbCvHfNp7XWL2bBb7V3bLT5rJUihkEc6x2c5DODNo5&#10;S+xiIiEpKT6TCUdGeKRiRR1L5zeQlKOcd4MsCKLBFnCc3i1BEF1opcrYF/Lz3b8Ena2NroOQTqNZ&#10;8YLzSdrdsndAvKgaMqNFq0uEez4OI+fBkpbhdADHnkzDFf1F39tWgAWgm7eTdLrQCNn1WqPPplQZ&#10;ExqF0jHAlDfE3Lgbm2qFMYaB/HnPMk92YpRVnaYshqzPMymkhlZh0ngo0JDf5el6fcz1buO5cAi9&#10;Mv24qOil6GV30qvu0PhU8fCULeU9EvLZQ8OcWBL0Q6Ft0BMkJHR+X9Xby8RdAE6tKr5SY/dk1dyY&#10;X4iuIYYC90m6IGFi/OTXKC/nwpNKaJWKL1flvjVLTD8soR7DaFgOfjyZmbbdPyOEm4RaJyNpA5Uv&#10;mg28J7rhUefd5xxvD5nKmvfzgWuvnwqh0/JA7TuMwvFuXZzdmmRugV+/2HjcprqwPaGNqxdkJDfa&#10;+7hp1sLObbOUmdxY+vzNgVtu29QsXfozRUVUU9di+m6mxK9WzGLuBEuw/jDKVLI7vZqhPXT+7HsU&#10;ctLpHghUEfmp8LaGJoJDYTDV7HlmJ5IdsjQCN88JAqOqD66uZtArM4UO9URA3k63270/Ml+QCvI2&#10;3r7c62eff25pQth2tXfc3nbz4ftxL08lqe92NzL27feYTOHbXWQejLORwJHIStLbw5PDyOeZrdc3&#10;2bBtXSOfgtFlA0PcUclAPJow1mMB1SmrmH4ckYbgcNMAo4Ndh4XX1XAt3BLjIXMf3Q7snGMx8A76&#10;Tio+umIcF1NFp1R2v4ITNAHvse+hdKhyvcZcWeGMmo8/Ln7V/Go4znqPRa58/KyQwILWsfFb93SO&#10;Z1COSg5ioYbXDkGawTeNBRLxsgZSiD9HZ/dos0SLrmQ6OQEkTlUGOdcHIqpnxhIYa8XIHVbfqiut&#10;W7q3QkmERASjhHBJXqCGX5lVLPmqfx2DehzlAhpSHblm0A2LPYWHxU5i2NfiGx7iMKOzWaVHua0u&#10;JjxvKZJX80HaSZaGJRMhnA17xjjeDgz5HEISy8ldTRaBlEB3ZMe6HUjGDgor2o9FSKgAntsGlrtk&#10;sjyqF+UDykXCKL0omI/rZ0zWPBVIHmF7r2UqOs3cqiDjVeKxydESvxvd3vXK+fjbs1en/PN+ijkg&#10;i9TFjipGNe1xgRDfwuGbW73sqd31+sp+ZHr4RLWwzusP5UNLvbOr58mK/LEcEejBwgHIFqIrpCgM&#10;Aj7nH9ZdmSJXcmd7WQNCInlHuUnNj4wpVsXA7LytU97rVFghX2U8CLAdrMe7FJYevyjsJUc+1jYv&#10;L7BLbvRApMJbnZDmQ+OBT8lNK/8ILHGpnJG+6hagzbJZCg5mSwEajYnlcJGpiI2eWyOmBgXrzWgb&#10;jrhVNRTND72sew9TlKgZgA1B2CyJXioKQsLvrENSIi4RXC/OMFenPbY189JlLX9c9L45KgcGN8WO&#10;scL6daHa69ezBOy2cax9AzTZlLmg5HCl8MgdlVzz7MOCRrtnylYjL7PpjAyHLXSvaXE3B7imma1h&#10;gcD8rGL3+cO0NFS6FChTEj+UeveLZBNFAfE3NphRyyQaTz3bVoZymQjw3oZJpiPoRCpUwCPFJYMS&#10;qEj0mdvlYYF1oRZ2dagYwX7Mjdyf+tqjiKkWFNhJYxyfDtQSUTKMXqorXugwpr+ou7zs7IMAyReC&#10;eAXPpF367CnoqqVLC2DwsaArPaw8OSVg7KkB5NrjS8rGDCZT3sxF1nRkzzkjlUaU5NmGVrT6APxX&#10;2gSwq9rVZohFmJAczGiKCYOBLK2F2m+EfGF1uuculDh8Epx4QmPKOBNcCwxmA6z2sIBqQf14Ho0B&#10;CZTd0W8HjS7PAHagClfAZvBbgGhH/wVf0x4BYaCYLVuKFJBNL9Ewf+Zj0YLABrJgyKxmanD21UDj&#10;XH5DotB7PhKUjNLjoAWniffDHr4V43GT7frJ7axVI7oYMaQt/W+U6Z0ChrN2238WS79fr3g+zYxz&#10;3O0bkmJQUKi/tg9nF08bU+f7omZXxzZmTgX3pg3rttPpo6+oAHY7dXxCr0uaPHP5I8RiXSQkxXXZ&#10;dAJAtJC1wMTnCrUd5aYaZIbRElFo8s7ApnVYEr06FSZmvwJZjswLZNBe65lPrw5thiEW8SsKtner&#10;zoPOmcfzzpWV9m99DSv3Gafm6c7eZxXvlKaWNIjRfvPqdHv5YxUHlF/B4PjlkW4POmx98V5ztZfh&#10;avFSWU9v277eouOCJDSe2LyKO8Tk3Dsfy91tvg27MrTZDirz5H3RPpUDoa36l4VPrk1s7DvfcSTG&#10;rBLbVuF2ur1Yt+Z+UKnxrzyVSS2Reka/Fi/ispKTz/BBW+AbTEJpn/0tJ2K8ud/VIQufhzTfebPz&#10;Zq0qsLlEkPHyJDFxOxP7GePaUAjydO9+JYMVdVdP0AhtZ95I9QSHHCGjELbgi3PrjYsBLSndGuTA&#10;c82GKNnbD14QSZSj6efepdE+dB3LRJqyNc3Vi8iwSSYSQUy5jERfDzMTraPRr8YwZ94Mo1NSQxOI&#10;JR0mdmw3r0WvrKTFkC12u+/yKqHsUIYWhFSohjdzOJWQODfCsZlo5O6WF1gV3sZOyHd89CkUTA6Z&#10;34HzXIayxu+jhwKN9WrUjPiFKBo/arDL09wDieGTvyTP1tbpgL9SwejbRiJ08PWEU4bszBbLppYk&#10;SX+X/1Egx2cr7OmVz5n8zjPQe6NAoSeFP3d+PUBY6TR5hKA0cpxQZrcWKT27jtCuh57/SqXdnPpx&#10;xdGYr7m+zpzkfCbXhudlCBKweiUCj3iPlg0cnLE/hhSrJ2VMqTOjseQK+RAFQ6SQcHLRd8MCBkPL&#10;f8IQwHFaAjfXU5rr81Q9iiD4kL3vihmxyy1COqX0qfwkFc9lQQhvw4yL/dpJI/JLHxKsc+sHiZdi&#10;tnWz/n5mrUochK66XczJxt4MbZETkcfRibjFs88mJjlvCCPtYSasJ6xaS3hQAD1B34gbFVbVNa/1&#10;6abeLeil1VQUV9h0cePiIhfkOUcnblR1OjXAE5Z8rfNqXaySJ8EL5bMKP7TStxpoLNcpcwMpVc/W&#10;AWgHySsOWAtsQpTwMnYTT6q9UPv4Gmur95pbHzF4rtnuZ7XLNkTueCVTGZKhNWXUkMBHo4clfqb4&#10;HslkCIQivU2zehtEttRrEj0aP4DEsDXJKS2GDEbooreA6uCYh2OWoTSvx5xlMaaNHHVvXsxCB0O6&#10;C3/4g4OkJEza1jjfgXErnny0zMOVssyDD7lv5+hG6WyrO948kuUhtrncEyweJFWNfAlkjlAGolKh&#10;JmxmaqVHWz3NwDdLfzEs01xqO9Ub7KKVXosiqrTd0OZH4Hr72qv2rQbqp0G9GO2nQSGStShBuHvD&#10;5J/1xiSUpT/1djetgubEllANSHqisCqD1AL4HXYgPbeti8HayJX6A0elvM3NN22oh44uTvAY05rI&#10;6tJuvmxdnSyt+CGv5mQP3tNplfDTq0RD12oks0PFk2RAB56EiPn1R9m0qPRBMeFTyktwxB6ED2Y/&#10;+pQsxtfHx/pczes1RS+uHoLe4yJAwXOPw9heTDTAuDlTi2S7DX0Ykpe0uScAw6uLkoy+QPUpaCSR&#10;xJHP2YZxDv/Ri8v+Dmb1/AbPILSeskeiCOnsT1913RCH0qJRTJX664di2KUEOlTDCvBUIDMp9DQc&#10;KHysbqIy9ZcA08gDJpsNnmiwfzhQlkMjyEAqOOFW6j0uR/Bkp0MXrzCCnl4v0cg3weyz5tOUNDab&#10;7CL/ikLlkku/YNpGIrlZQA5TFCJi4jRBVE6fN6aA7yUn/qQreIcUFq6h0KSybtgVtSI5we0q1xkd&#10;0kFCicW/94QCj89qKx0KLjyr+63omjLqvgsvYX/ecw9bBRA7RSJ1swodwadRo7VR3VlLGB6Sa5zc&#10;eGYDPB2ZMLS4ckMHwaT6iBrhl1pgnUz6XSyisOoWbPWkr/psN2DfgfWm2lUUdZBcpCOBxxpr0rlj&#10;AMDNUywpovfx7ds3LV6bi01fC722K76dKhyckVD6J8+D/A7LRaSKsmybgK4Xy50Xi18ZonJsUAXJ&#10;zpwgyVX0hqMG17utK0HtrWWtqTP+8rxELWz2o93DGWpqCSvoSzHtLWxe5wYet4MjtGTRt5d1MNhi&#10;o4IqQA0DbHvtNyfsvi4gj2M7s4CN2M8wbW8gkVw1okNin2Hsf6SgsLW4rh52aXf5Xf/YCqpvpMm5&#10;hK4p6xXX5EgLh3++8YFK/9UnbnOTmYs9VonIDeA3N4k+RnSeGgl7/RSSmRYRzHxubMYThsFX1LTn&#10;7TwxdiKErVIcgUtXVcOjxMKet5hVAldfdlFYKpg+I+6vCCUl7reRkt14uGwe9CJUxsRI4eRT5rue&#10;DJg/R7Afjs1xgXonyd9ILMZLoXmtMxCbpqwJFhbmvVoTgst7TfhKmQLkRjsn0HabudK+6B/NfnXg&#10;bEXXh2AR708zUvSKjtxjNikZvO/zeBxcsZSGSNtXxDChNMtLB2W5KjmzNYafzSk+tF4HzxiNldA4&#10;k1WNWo2S4sG4SFVNb6DmKrnbMTsmazSWR5iTZSAC/oBaooewZK5CYMQGc8Ie3+UnwtciAZTcxj/C&#10;9fXyORlZWCl3D+WxBwvfBMxG7EB3QBwaVQnBYwzMDCUMu3wQ9iEIc19fwpenquseRJKu0EEQbnAb&#10;P77urX7o1JM6qbYXbPQRKwthJ75KkqEqHc+n9EHXy8JcmNQmMtQJ/Ux5CazI8getHRDpJFbAKfoS&#10;1RoJ/ih/cmRQI6YU/CM5mUGSr8lESvYFKouNFkU68kr2a3OQ+Mt+qa55+SIFLUTqtVF+6CCuFywd&#10;kCoKR1HGR+CsFtjpUBrH2H4EZ8odbDd1ufm1o8758NQQEmUsHsiGYl2OkOr1taicBQvahvR4GXU+&#10;V/0JB0+OGbMlXgJnWBLXlq24c54PbT3f56iiyRLO3sYBQzvJOjVHyEw8nPwuNsKZ+qpQq4sd+tVO&#10;k5D5Mq36VhgwkUQkpr5dYnGsWe+kIgTJbURl5tB56yucybTbOWTT6IIb6loVPm5K5dapuG5yusWE&#10;iNG1XFW/Wr6+abToHbd6iVpzXaMlD6eE9S3ODsGVZ8AxqMn1Gy38lR7t49Wq12Vuy9rIhpWbrvOr&#10;IuzDRZxvMwmgaDeNyfYiRrsLlp/VWAMTBcgP4pIZodKuyXhysMYyRaYvRP6k+GR9iIc/31VVGHc0&#10;333NdffW7Wxh6GRq8tLFydLO/GeRZfoCeEdgP1nEa5HwAKW5xCoDICyPXmQhIHJUvulYM/3c/2TB&#10;M1yvA3lLOviLJ7EXuDsQeW79fKhQfSgbW1v+GyVBMhAHMY+fO4MbnpRsrxLvKa+AlQ4eEmrL064+&#10;PSCnMy41wCZroFFfrtc1svOQ80xGSrPniQ4Lqy3VOdLdBmqE9qYsIbV/WTCgaFV0pgM1POB6zN/d&#10;b9rqTC2TJmm+uUn+NVp3rVSVeL9N3bVruo7bvE9Uc8zh6feDG7cKVSu37zW3LXmMpzFJ63FCD7hl&#10;aukc2nuCc+Hug/7r6e95NiN7e+uflFlcv0IXK4bUucx1EBdoh9NWsThVRdx/C14Vpm/2Q3x3if5b&#10;XeWbDNkc5aSyje1cganS016LsxByBnNAsgK7gYU1beLC64ObM5caKNz4KmUL8+pge3BVRUWl2hvk&#10;sBebaGAo7qThgrXX6T1NUpRfPnjWclrqsFIoEZwJXvmLd+OyEQwcMzWvS9MhUxoS3HQ5AHOtvB1O&#10;R7KAlFRZuK/WetQuESdKlAjdV6XkPW4pULaFLQ20PpzQqYprvgfLTa3kK0EhP/fzU0ktcK9hQtD7&#10;QdqIqnIytffE7XB0HzBJz6h7nm1iBfiEFwkWJAYNFZ3ZUmgfG2WcCt6EseGLlZGzCxR57w6kQFZ9&#10;5mMx+rqUlbC4nfgxBoessr/aGvjg424eUzwLjToeUvkZUf/OXcLfYarvZGrzkLME8bq13N79t3TH&#10;WyL/bcNyb1kOGZL7wIrRfa+WbLQB3XEwZ1yeUXwDmvj4J8vfDtNgQzR321rFlJjGmxBiUi430pa8&#10;TZqJFp7qsRVEtwS6KgWK2n9ya1M68PbQWAiUKWudgPVUcXj/qHnnyOh7cNCGYMIsC1WcrrfyMHuY&#10;AH285ci2iqJopgCXVCGfiDFlEHernaJd35F0dyapIlDw4yJDOKgZ3pE3pOXS3r7k6+CyUEquxBAH&#10;45pK3BtXm1gccJB37nQ7xqkUPDzfkJOrcP++u1xYWbkZM6qUTkjyy4j5dZ12R6aUHh0FsgjqrIFL&#10;0bGxzfedcSPatf0y/MHUOV9vqdh7PqwleQpz6cs4HTGXuv9/qbN/g3P9IAd/9w7Gpjs4Ce/au0X8&#10;y+yfwfwfdK26WFG694Nag0Z8HEej2KTf6HVnTZWDoIwZ/SyMEADaafWZn7I1s1xe66BkBrfv0/bP&#10;LTTuj6PTWBmzKprw0aGwXHGPw7eh7aM/ywq3PXgXCY0Klqli3N9/RzatmQQYr4Wld0QyyTIk1auj&#10;mTKwp4+Ehd9WYTtNkirQQp8ksY3yit8c4v9x6u+0Uny2KDr7nVYxzDF27bbVWLUObSnn+x7bQSIi&#10;MAq4JcLX60HVzT3xCR53XT5cTD/MUwcntEdBz7kg+aT8YiD1kEngPZ8PxIs/UhvlYypKYXL0+NOj&#10;z470cTYAfjz81gvH9Qf8YtGhlrP53TpHveMY78UMbQl7OxdTOxd9FU8HU2fd+/VentCvAMP2JPSc&#10;pq0rT5vjpYMh2NBgxbSY6gvs+FkH50lSRuDBWQa9AYxYADhNln/3sv32uhVFmtE6glpyfHGiTP9U&#10;A1rBK3+hzIws/vVRBk5y8Mv3Hghc2rBvRw6urFg1EToCS0gmy2TpBR2i30IzVh1BEw/I+9RSjLAO&#10;emA4sZh12INaBVhaAcvKKVqo3MSCnSpM8gwZ6iegVapAMTVBO9x3ZamvMMBJFHEv21x2/JXtkHBU&#10;N7imt/x5TIIOc4PdNtw73u1F5bzSEmPDZWt9DOBuOHIi9hFVCC1pV42ePhkrThIlRAZgqgy/KxNN&#10;DKAip0EVybg1AZCtOF2w5L67MvoCE1//mgOdMElzQ/6iz8FG8tFpBsUbmW/yPRhidDZQEK6JjLO9&#10;IuLI1tO4SfibBVFcITEFl2L/Tft2ZyjNjUcH/T2XhefHg1VdtfSnfY93B5c3mcVnfUq2F0/b4t61&#10;M7Ucdx4bc1/DKwKgYZ783G1+CagPZ+ZucqCgoZ7enQeJ/nWefnXwf6ec+w5+abHcd2Tyf1bMn4M+&#10;TEH3Hr8G1frb5+eS+V+D3dESfx0Yf7X/0Ij/HO+hSnxv/2s82rurv93+0owfQvRQBP3tHXoX0n97&#10;/0cSfej+UMj77Q59pz/9dv9b1vtfD32vWP06MO4azUd/6Vf3j/vvU/InSoF3GervBPXwRh9msvtx&#10;fqFU/E+3/8prD/t5WNb87mcN99+LnIc9PKSdfvcQesdC3ZdJf5NQ/wusP5/9OcJP1//IH39GyEMB&#10;5PeIdv90+y2HPLzlh9XM7w6+4P0c95+w/a+bvpccfx0Yd43Xrxm+d/5bgPzzzh9KkPe+v2at4L98&#10;fwuSigC4+/rgTtTHhEK4szMjuf/2/wBQSwMECgAAAAAAh07iQAAAAAAAAAAAAAAAAAsAAABkcnMv&#10;Y2hhcnRzL1BLAwQUAAAACACHTuJAtDAQfvIHAADIIgAAFQAAAGRycy9jaGFydHMvY2hhcnQxLnht&#10;bO1a3W4jtxW+L9B3mA58K2tmND+SsHKgn3WwiHfXWDsp0JuCmqGkqTnDCUnZ0hYF8g7JC/Sit81N&#10;0CII+jbtoo/Rc0jO6NfGOt1t2tQWIHMOycNzSJ7vfOTo2Sergjm3VMiclwPXP/Vch5Ypz/JyPnA/&#10;vz5vdV1HKlJmhPGSDtw1le4nZ7/8xbO0ny6IUFcVSakDSkrZTwfuQqmq327LdEELIk95RUuom3FR&#10;EAWPYt7OBLkD5QVrB54Xt7US1yogP0JBQfKy7i/epz+fzfKUTni6LGipjBWCMqJgBuQir6R7Bs5l&#10;RFG/54XOLWED13PbKGSknBvB20Vr/MoIBV+WGc3GXJQwjVvti7Q/ZIqKElSNealgNOtn8V4zVRBx&#10;s6xaKS8qMG6as1yttblgIOgeLzj44byhXy5zQeXATf2wnggoHkxFkaeCSz5Tp6CxbWahXg1Um7S7&#10;7cCuBzjrh32p1owah3wvQG/bzbjahHPC2JSkNzg3W42bppt67Lg/GdhLLz8WyFLx61wxOqGMKprZ&#10;Yc0UV4yroaAEGzKy5kuFpYKUS8IummdTc03EnCrTPS9hSYyK1UueWV9oNqdGuD4mXNklPPWDbtiJ&#10;Iz8O4jAMurZLU+tFnbCXhHHgR143MbV3dW2SdJMo8UPf7/lR1DO1i7o27kVREkRJ7AdR1NF92/v+&#10;gGDj6pSIMUYbug3lSS6MqpQzo3oOu7CCsLJitpSw8WhmKm+JWI854zu7E1aMCtSXZ7XHpjUXGbXq&#10;7bZXK2wnlXhDZ1ianV0tKFX+r05GJ/4zMFRLoX5MIO6xRaXGEBV2FXyjt1IODIWxhC1uz95985d3&#10;33z77qsf/vnnP6KSW9he2FP/2ygDWT0yFK0p1SWYTvqSszw7zxnTD2I+HTNreTTqjSYRDtzea8ZK&#10;bFxy7GaqjYTOZjRVF1KhEMbUQ8DslACO6sXsFZ1DEN7aLWQnJruYMqnnxhrUqCX9R46jVsalKc/W&#10;l8IRXOFMObJKz3Mh1QWR6pIIAEgQokWv4WvG+N3ApYwBaOXSyCHsuXjrOneCVANXfrkkgroOe1EC&#10;QHS6vgfdlX4AcIvgQWzXTLdrSJmCKoAVJVzHPIwVPOvlBP+kukJ8gOki/Up/GQ8yOnsDHiBWDlyD&#10;k458O3B7OPZUO5Dr7+XALSGnYH4R+Q3klpJf6ZLr3ABqwkiAStCFSMpyzD24c/ZWU24veujhRzdi&#10;ywJi20RDEnmgR9sJ4tezmREHtRh3iFFzZLfAopeOWld0Bnlu4L7701///revf/vpKOj4getUpOQS&#10;LQs834u9nteB//YDtblKF+ekyNkaJt91EOwkhYVt+YHGSNKn5CMqT+VHVC7XxUfTDitidpFeEB1b&#10;IIJNphEAtxkkaIi9S27zLWSE56VFO7ngdxd0TsvsM7o2S23DFWu+IEB3MKVbVELZmKhXpNgNbZRf&#10;UXFUfklFislc69nSPVpOp4xe5W8PVV1QAqh6Adt4myGkfbpCyEF/oOQsBUTG78fPY0gKQ781ic/H&#10;rXAWR63epOe3kiAIx2EvjLqj0R82mT56bKb3t7N8ZLMMhEfqR30zeXu2mqmCWrbxYhv1WOkADvWi&#10;III9jrAzAzYFxaLKAILKOcAHm0M8I5I8HMHDGD8HEdypQxVgZyuC41r8UARreoaYXkPyUaBvo/M7&#10;7sFWgyXRW65eJBA1iJ8SvWoAXQdJcXgS9E+GJx3crQ9nRg0CmPN2MyOASe8f33+H/TdJcdPMh/nB&#10;mgBQ56AZ9AGbbCI2D9pAKFqTYddi/3JZHFg+QstHW5ZDoyanGxI/Bhp19ikFXkWYdlBTey0FpTt5&#10;/x7vQs/rhKcdTRwecq8bB73w1It3pwH82BhlHmr/tGPosuE1zVKZPf1fAwhgYWPanFS/zjNliWHg&#10;W6LIIbkzUhmAaQWWXJLVC5vRgHSGkZ907QxvKpJOEkZJkhjmo7liwxth+YeayG2a7+mRKYFEO8fd&#10;wUUOCKfPRMaKIi9fkpUmVDDDm4aZpus7UEhWDS5PDfWDFTsvlLPZQQPXbiFI/nwJaArIeEMBLSya&#10;FuR3XFzn6c1LOAMZ5ZoqIEr1wZT7KxV02s4MJQTvNTdmGE63Rf4QEj4UdE0Aoye9A+iCw8Ex8tGt&#10;xf8+dCEpPuSOrRjGxb8PxiH/9/hg1MPPwZI0aWM3mzRJ5qElwWuCJz54jMn+1HwQLzfk0B5ld3AQ&#10;Mh/W1cwLbxp+Q4XFBHwyAGMJIZuyIbAVI0PGojEHpHBwAPJu25qYhlzEXy6Zyi9uGYCOqdMQBiDf&#10;4C3kpX3g3bNvC08/EPDaa4H3B17r/X8QeJEJNuflh9nZE8Tde8/xBHE75+mf9ZF3B+L2uNsDEKer&#10;RlTdUWphbWoeLJtr8OkoP3pEmALo7dzU6kM4MjamS/us0Eifl0qssdH+PeQxVvPEZp7YTH119jMO&#10;dQikveDYvArYf+vxI15sdDse3F52vSTpeFFkD5H1VdlpJ+74ScePe11oEnYsSOwOiwY2713MabXu&#10;/8BR6xFQcjzjP4X/U/j/P4U/pkXMqF/k8nXJbIRZpp7lshrBS5YbObRXynCZZIMP7q4ncB6R+JII&#10;bm32ziX1i8Q63d//Fu1c/2kE2Hvv8th7k4bok/77XcjuAwCcwuC4/oh3Trr902n9nvdOP/VpHW7l&#10;8IcRbEIUcQRwv4ErXmTmZhuP5J9X+AOM3Y273Uffy+sfD+gfoJz9C1BLAwQUAAAACACHTuJAhFbC&#10;+ssEAAC9JQAAFQAAAGRycy9jaGFydHMvc3R5bGUxLnhtbO1abW/iOBD+K1F+QAN0oYBKpW4R0kn0&#10;ttpb6T6bxAHfOXHONkvpr78Z54WYkLK9pimga740E3A8zzN+Zjzm1ldjf0Wk/kNvOXWeIx6DQU3c&#10;ldbJ2POUv6IRUVcR86VQItRXvog8EYbMp14gyYbFS6/X6fa83ShuNgypjCISGsMrQiEjotWVkMt8&#10;jIjDKJ2BFxEWuw4LJi4M6t7dwvTIM1M/mObU3PH4Ow3hA88Tt+N6xhQyzitGGobU1xVzKOKdMWKx&#10;kPASMlZyuXjg0vlJ+MTtj/Aydr6OHkWQmgf9Tse8kozB/C0MU/N1bvaKYe5uPZh39iozxYCG35+k&#10;o14mbhdHcf6mMob/wWd0Aj9uu+kTTZdCbu/B+TP2WyVPEvHlsbOZuKN+r+86PkkmbsiJhn+jBJhW&#10;8dJ1CF8CIL7O+BCcBTPgtULOdIRXhZxuzoJNzjA3W+QAUeXxpVjHAbKA80zJSOcNrJSIGx3mrcKU&#10;WQj3khInEgGsJMK52Pwu0JtvP6mULKDgrbHNWUxzG7gE72shvCH+MASzsCtHac6WhY61NGbmz3x3&#10;D8RLYLhuaRaMpmuZaDInCwqx2Q5hXzp4VUL+Jo9tO+R7udkKeZhpmenjYR1YXhZ3Dxi5a92W6x8g&#10;xe8LcqNHZfGwlsfXGV4VpgpKbKYKAi2mrHX1dkkCohci2EKykUJjjnRU4s+YVHpOlH4iErJy13VA&#10;iDQqTwg6BLLLWeI6KyFf9m34OUjj8MR1NhKVW/2zJpK6Dv8tBnG7HvRvBq6jzU132BsOXUeWnyzK&#10;T0jsw1CpzDvpzYOGe8z04Hdyv9agkzqTptSPVJAPBiAanwSLfy0cs3JCYaFT5HoCbyykMK0jTGy/&#10;o3yo0VfM8faEi7vr6S+tp1NyIJty4QJmsqoTxlIPuEl25jNWCddFQgCt5jmAQfPln+ar3rB/k5ck&#10;Mg7SMKxd3vXZr7aEsFgvQCpgeyQSKsHmgDsCeAZzW+iaeu91xayDtCJ8FpAl2PagnJMtpCdHbaOF&#10;gFLeZ9LnIFaKvVAo7LPAKr7zJ5M0lCQ6x9AtFdMfH7k2UIjfD7I46x1ZrgOxKcxBcLD4v9hNis1Y&#10;IDbxV3JAdlLdtcQ432R/qBjXbziaKACtisqi+XVtavzdh0WtREYgRVIkiZPYCja3Ju4HeJkMW+6q&#10;FO0TuzYumi31tTEZv551y1jCtlvIkwr55oBtPEyPAGthCfsHcUJCYqk5ru7CcHDt7Wa/hLYMhxr2&#10;kfx1Sv40FyVt9s2wVqsCWliw61oteT8r9zQH8ayHV0Xh8n6MLXCj3PyfBa6K54rNxaWmjyaaYHuF&#10;wKvpw8aSkoDKS4W27czM99CkSxoHbQlCE9kS5O1tzVS+czHhQp/f4QAqej5zw1R+cz09r1OOsiNZ&#10;D0tRyag684O24w39PTfT2/8lDQ9837/Z2ENTX9Bx9Rc89lyYk4TSoTWeKhjbgiiKhXN2HI/ra+e9&#10;lqDs+LSq7sby5tZwK92ItCLsjjp98NycVr+nwZbA0cuUqFX6awG1VVOhswNU+7TZQGcBVsDX6nHj&#10;p2TIA66uk5PasNf3qOp62G9oNTW+Ozu43d0hCr9zWdOLT3m2lxs4uq7q0GdtO4vGBEbJ8U5FOnmU&#10;iN3vrO7+BVBLAwQUAAAACACHTuJAHO77eRABAABcAwAAFgAAAGRycy9jaGFydHMvY29sb3JzMS54&#10;bWydk9FugyAYhV/F8ACCVutmapNW27tlF3sChqAkIA2wrn37oZ1uWm80XPGfnO8c/oQdMSlRQukP&#10;exfUu0nRuIHJQG3tJYXQkJpKbHzJiVZGMesTJaFijBMKS42/eVPBEAUhJDXWtqOAXwx+oqgLbVwE&#10;U1pia3ylq54hhaOgLZSYN8CT1NYZIHciKPB4mYEAgf0Op0ZXn7nQ3hWLDMTH12MRA/gknIqk2AQz&#10;wiFuz4xwPucIoRkhipIwj2aEBB2KKGkFt8Ar1hxbrprJtW0mvuSbKh+Nty6kS4H/TWPE1PPSezrU&#10;O2MPlFvWetSC+KHyOD5aER+v8CS9Zxy/6ccLXjKgFniGyuP4YTxBtde/z7T/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CgAAAAAA&#10;h07iQAAAAAAAAAAAAAAAABEAAABkcnMvY2hhcnRzL19yZWxzL1BLAwQUAAAACACHTuJAdZBxgvcA&#10;AAAhAgAAIAAAAGRycy9jaGFydHMvX3JlbHMvY2hhcnQxLnhtbC5yZWxzrZFNS8QwEIbvgv8hzN2k&#10;XUFENt2DIuxVVzxn0+kHTTIlE2X7700R0S7Vk8ck5HneeWe7O3kn3jFyT0FDKQsQGCzVfWg1vBwe&#10;r25BcDKhNo4CapiQYVddXmyf0JmUP3HXjywyJbCGLqXxTim2HXrDkkYM+aWh6E3Kx9iq0djBtKg2&#10;RXGj4k8GVAum2Nca4r6+BnGYxmw+Y/veRmJqkrTkFTVNb2dqWS6pynYmpntyFJ/T5DDTTGwxabDz&#10;HZcyBwS17t78h/tMy3OKP63lL9aVNj/HfiD75jGklVK/+v4eW0qF/oj1vGFWrxSHI9GQAzk+zT2o&#10;xWKrD1BLAwQKAAAAAACHTuJAAAAAAAAAAAAAAAAACgAAAGRycy9fcmVscy9QSwMEFAAAAAgAh07i&#10;QKsWzUazAAAAIgEAABkAAABkcnMvX3JlbHMvZTJvRG9jLnhtbC5yZWxzhY/NCsIwEITvgu8Q9m7T&#10;ehCRJr2I0KvUB1jS7Q+2SchGsW9v0IuC4HF2mG92yuoxT+JOgUdnFRRZDoKsce1oewWX5rTZg+CI&#10;tsXJWVKwEEOl16vyTBPGFOJh9CwSxbKCIUZ/kJLNQDNy5jzZ5HQuzBiTDL30aK7Yk9zm+U6GTwbo&#10;L6aoWwWhbgsQzeJT83+267rR0NGZ20w2/qiQZsAQExBDT1HBS/L7WmTpU5C6lF/L9BNQSwMEFAAA&#10;AAgAh07iQJU6bKc/AQAAlwMAABMAAABbQ29udGVudF9UeXBlc10ueG1snZPLTsMwEEX3SPxD5C1q&#10;3HaBEGraBSlLQKh8gGVPmgi/5HHT9O+ZuKmQECUtK8uPe8/cGXmx6ozOWgjYOFuwWT5lGVjpVGO3&#10;BfvYPE8eWIZRWCW0s1CwAyBbLW9vFpuDB8xIbbFgdYz+kXOUNRiBufNg6aZywYhI27DlXshPsQU+&#10;n07vuXQ2go2T2Huw5aKESux0zNYdHR8r6TR2LHs6PuxZBRPe60aKSJXy1qoflImrqkaCcnJnyDtH&#10;H0AorAGi0XlaGf8VFUDjdaghTE7KVA7Wjcc7SnyG0N+czzLoXmkKoVGQvYkQX4ShxFwF5LKm/bDM&#10;8r+txtuigtjTbKklyfdU9BjcaRfwErrBYRBHf5mE8aDhQhL2b/8BSroxhnJ7G6C9oInfMcqAJcne&#10;oR1zh7krnbzWfJ1UJ2+evtXyC1BLAQIUABQAAAAIAIdO4kCVOmynPwEAAJcDAAATAAAAAAAAAAEA&#10;IAAAAIU0AABbQ29udGVudF9UeXBlc10ueG1sUEsBAhQACgAAAAAAh07iQAAAAAAAAAAAAAAAAAYA&#10;AAAAAAAAAAAQAAAA8TAAAF9yZWxzL1BLAQIUABQAAAAIAIdO4kCKFGY80QAAAJQBAAALAAAAAAAA&#10;AAEAIAAAABUxAABfcmVscy8ucmVsc1BLAQIUAAoAAAAAAIdO4kAAAAAAAAAAAAAAAAAEAAAAAAAA&#10;AAAAEAAAAAAAAABkcnMvUEsBAhQACgAAAAAAh07iQAAAAAAAAAAAAAAAAAoAAAAAAAAAAAAQAAAA&#10;czMAAGRycy9fcmVscy9QSwECFAAUAAAACACHTuJAqxbNRrMAAAAiAQAAGQAAAAAAAAABACAAAACb&#10;MwAAZHJzL19yZWxzL2Uyb0RvYy54bWwucmVsc1BLAQIUAAoAAAAAAIdO4kAAAAAAAAAAAAAAAAAL&#10;AAAAAAAAAAAAEAAAAGEiAABkcnMvY2hhcnRzL1BLAQIUAAoAAAAAAIdO4kAAAAAAAAAAAAAAAAAR&#10;AAAAAAAAAAAAEAAAAA8yAABkcnMvY2hhcnRzL19yZWxzL1BLAQIUABQAAAAIAIdO4kB1kHGC9wAA&#10;ACECAAAgAAAAAAAAAAEAIAAAAD4yAABkcnMvY2hhcnRzL19yZWxzL2NoYXJ0MS54bWwucmVsc1BL&#10;AQIUABQAAAAIAIdO4kC0MBB+8gcAAMgiAAAVAAAAAAAAAAEAIAAAAIoiAABkcnMvY2hhcnRzL2No&#10;YXJ0MS54bWxQSwECFAAUAAAACACHTuJAHO77eRABAABcAwAAFgAAAAAAAAABACAAAACtLwAAZHJz&#10;L2NoYXJ0cy9jb2xvcnMxLnhtbFBLAQIUABQAAAAIAIdO4kCEVsL6ywQAAL0lAAAVAAAAAAAAAAEA&#10;IAAAAK8qAABkcnMvY2hhcnRzL3N0eWxlMS54bWxQSwECFAAUAAAACACHTuJArc7dptgAAAAJAQAA&#10;DwAAAAAAAAABACAAAAAiAAAAZHJzL2Rvd25yZXYueG1sUEsBAhQAFAAAAAgAh07iQOuVemk/AwAA&#10;RQcAAA4AAAAAAAAAAQAgAAAAJwEAAGRycy9lMm9Eb2MueG1sUEsBAhQACgAAAAAAh07iQAAAAAAA&#10;AAAAAAAAAA8AAAAAAAAAAAAQAAAAkgQAAGRycy9lbWJlZGRpbmdzL1BLAQIUABQAAAAIAIdO4kBl&#10;PjuRZx0AAIMhAAAdAAAAAAAAAAEAIAAAAL8EAABkcnMvZW1iZWRkaW5ncy9Xb3JrYm9vazEueGxz&#10;eFBLBQYAAAAAEAAQAPADAAD1NQAAAAA=&#10;">
                <o:lock v:ext="edit" aspectratio="f"/>
                <v:rect id="_x0000_s1026" o:spid="_x0000_s1026" o:spt="75" style="position:absolute;left:6793;top:126042;height:4905;width:8220;" coordsize="21600,21600" o:gfxdata="UEsDBAoAAAAAAIdO4kAAAAAAAAAAAAAAAAAEAAAAZHJzL1BLAwQUAAAACACHTuJAo2JF+rsAAADb&#10;AAAADwAAAGRycy9kb3ducmV2LnhtbEWPzWrCQBSF9wXfYbiCu2YSF1rTjC4EadFF0fgAl8ztJG3m&#10;TsiMJvr0HUHo8uP8cYrNaFtxpd43jhVkSQqCuHK6YaPgXO5e30D4gKyxdUwKbuRhs568FJhrN/CR&#10;rqdgRCxhn6OCOoQul9JXNVn0ieuIo/bteoshYm+k7nGI5baV8zRdSIsNx4UaO9rWVP2eLlbBSn8N&#10;h/1H6TozjD+XrClpDHelZtMsfQcRIv2bn+lPrWC+hMeX+APk+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2JF+rsAAADb&#10;AAAADwAAAAAAAAABACAAAAAiAAAAZHJzL2Rvd25yZXYueG1sUEsBAhQAFAAAAAgAh07iQDMvBZ47&#10;AAAAOQAAABAAAAAAAAAAAQAgAAAACgEAAGRycy9zaGFwZXhtbC54bWxQSwUGAAAAAAYABgBbAQAA&#10;tAMAAAAA&#10;">
                  <v:imagedata r:id="rId12" o:title=""/>
                  <o:lock v:ext="edit"/>
                </v:rect>
                <v:shape id="_x0000_s1026" o:spid="_x0000_s1026" o:spt="202" type="#_x0000_t202" style="position:absolute;left:7418;top:130492;height:615;width:6629;" fillcolor="#FFFFFF" filled="t" stroked="f" coordsize="21600,21600" o:gfxdata="UEsDBAoAAAAAAIdO4kAAAAAAAAAAAAAAAAAEAAAAZHJzL1BLAwQUAAAACACHTuJAwNdoobwAAADb&#10;AAAADwAAAGRycy9kb3ducmV2LnhtbEWPzWrDMBCE74G+g9hCb7HspoTgWvYhUOip0Pz4vFhby8Ra&#10;GUm1kzx9VSj0OMzMN0zVXO0oZvJhcKygyHIQxJ3TA/cKTse39Q5EiMgaR8ek4EYBmvphVWGp3cKf&#10;NB9iLxKEQ4kKTIxTKWXoDFkMmZuIk/flvMWYpO+l9rgkuB3lc55vpcWB04LBifaGusvh2ypoe3tv&#10;z8XkjbbjC3/cb8eTG5R6eizyVxCRrvE//Nd+1wo2G/j9kn6ArH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DXaKG8AAAA&#10;2wAAAA8AAAAAAAAAAQAgAAAAIgAAAGRycy9kb3ducmV2LnhtbFBLAQIUABQAAAAIAIdO4kAzLwWe&#10;OwAAADkAAAAQAAAAAAAAAAEAIAAAAAsBAABkcnMvc2hhcGV4bWwueG1sUEsFBgAAAAAGAAYAWwEA&#10;ALUDAAAAAA==&#10;">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1</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2019-2020年收支总计对比情况</w:t>
                        </w:r>
                      </w:p>
                      <w:p>
                        <w:pPr>
                          <w:spacing w:after="160" w:line="480" w:lineRule="auto"/>
                          <w:rPr>
                            <w:rFonts w:ascii="Times New Roman" w:hAnsi="Times New Roman" w:eastAsia="宋体" w:cs="Times New Roman"/>
                            <w:sz w:val="20"/>
                          </w:rPr>
                        </w:pPr>
                      </w:p>
                    </w:txbxContent>
                  </v:textbox>
                </v:shape>
              </v:group>
            </w:pict>
          </mc:Fallback>
        </mc:AlternateContent>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5800"/>
        </w:tabs>
        <w:adjustRightInd w:val="0"/>
        <w:snapToGrid w:val="0"/>
        <w:spacing w:line="600" w:lineRule="exact"/>
        <w:ind w:firstLine="640" w:firstLineChars="200"/>
        <w:rPr>
          <w:rFonts w:ascii="仿宋_GB2312" w:hAnsi="Times New Roman" w:eastAsia="仿宋_GB2312" w:cs="Wingdings"/>
          <w:sz w:val="18"/>
          <w:szCs w:val="18"/>
        </w:rPr>
      </w:pPr>
      <w:r>
        <w:rPr>
          <w:rFonts w:ascii="仿宋_GB2312" w:hAnsi="Times New Roman" w:eastAsia="仿宋_GB2312" w:cs="Wingdings"/>
          <w:sz w:val="32"/>
          <w:szCs w:val="32"/>
        </w:rPr>
        <w:tab/>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2820"/>
        </w:tabs>
        <w:adjustRightInd w:val="0"/>
        <w:snapToGrid w:val="0"/>
        <w:spacing w:line="600" w:lineRule="exact"/>
        <w:ind w:firstLine="640" w:firstLineChars="200"/>
        <w:rPr>
          <w:rFonts w:ascii="仿宋_GB2312" w:hAnsi="Times New Roman" w:eastAsia="仿宋_GB2312" w:cs="Wingdings"/>
          <w:sz w:val="20"/>
          <w:szCs w:val="20"/>
        </w:rPr>
      </w:pPr>
      <w:r>
        <w:rPr>
          <w:rFonts w:ascii="仿宋_GB2312" w:hAnsi="Times New Roman" w:eastAsia="仿宋_GB2312" w:cs="Wingdings"/>
          <w:sz w:val="32"/>
          <w:szCs w:val="32"/>
        </w:rPr>
        <w:tab/>
      </w:r>
    </w:p>
    <w:p>
      <w:pPr>
        <w:keepNext/>
        <w:keepLines/>
        <w:snapToGrid w:val="0"/>
        <w:spacing w:line="600" w:lineRule="exact"/>
        <w:ind w:firstLine="640" w:firstLineChars="200"/>
        <w:outlineLvl w:val="1"/>
        <w:rPr>
          <w:rFonts w:ascii="黑体" w:hAnsi="Calibri" w:eastAsia="黑体" w:cs="Times New Roman"/>
          <w:sz w:val="32"/>
          <w:szCs w:val="32"/>
        </w:rPr>
      </w:pPr>
    </w:p>
    <w:p>
      <w:pPr>
        <w:rPr>
          <w:rFonts w:hint="eastAsia" w:ascii="黑体" w:hAnsi="Calibri" w:eastAsia="黑体" w:cs="Times New Roman"/>
          <w:sz w:val="32"/>
          <w:szCs w:val="32"/>
        </w:rPr>
      </w:pPr>
    </w:p>
    <w:p>
      <w:pPr>
        <w:rPr>
          <w:rFonts w:hint="eastAsia" w:ascii="黑体" w:hAnsi="Calibri" w:eastAsia="黑体" w:cs="Times New Roman"/>
          <w:sz w:val="32"/>
          <w:szCs w:val="32"/>
        </w:rPr>
      </w:pPr>
    </w:p>
    <w:p>
      <w:pPr>
        <w:rPr>
          <w:rFonts w:hint="eastAsia" w:ascii="黑体" w:hAnsi="Calibri" w:eastAsia="黑体" w:cs="Times New Roman"/>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Calibri" w:eastAsia="仿宋_GB2312" w:cs="Arial Black"/>
          <w:kern w:val="0"/>
          <w:sz w:val="32"/>
          <w:szCs w:val="32"/>
          <w:lang w:eastAsia="zh-CN"/>
        </w:rPr>
        <w:t>石家庄市鹿泉区水利局</w:t>
      </w:r>
      <w:r>
        <w:rPr>
          <w:rFonts w:hint="eastAsia" w:ascii="仿宋_GB2312" w:hAnsi="Times New Roman" w:eastAsia="仿宋_GB2312" w:cs="Wingdings"/>
          <w:sz w:val="32"/>
          <w:szCs w:val="32"/>
          <w:lang w:eastAsia="zh-CN"/>
        </w:rPr>
        <w:t>部门</w:t>
      </w:r>
      <w:r>
        <w:rPr>
          <w:rFonts w:hint="eastAsia" w:ascii="仿宋_GB2312" w:hAnsi="Times New Roman" w:eastAsia="仿宋_GB2312" w:cs="Wingdings"/>
          <w:sz w:val="32"/>
          <w:szCs w:val="32"/>
        </w:rPr>
        <w:t>2020年度本年收入合计</w:t>
      </w:r>
      <w:r>
        <w:rPr>
          <w:rFonts w:hint="eastAsia" w:ascii="仿宋_GB2312" w:hAnsi="Times New Roman" w:eastAsia="仿宋_GB2312" w:cs="Wingdings"/>
          <w:sz w:val="32"/>
          <w:szCs w:val="32"/>
          <w:lang w:val="en-US" w:eastAsia="zh-CN"/>
        </w:rPr>
        <w:t>77861.57</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其中一般公共预算财政拨款32655万元，政府性基金预算财政拨款44577.23万元，其他收入629.34万元。</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t>按功能分类看：一般公共服务支出60.58万元，占0.08%；社会保障和就业支出4550.90万元，占5.8%；卫生健康支出153.75万元，占0.2%；农林水支出32607.42万元，占41.9%；住房保障支出200.98万元，占0.3%；其他支出34800万元，占44.7%；抗疫特别国债安排的支出3000万元，占3.9%（见图2）。</w:t>
      </w:r>
    </w:p>
    <w:p>
      <w:pPr>
        <w:adjustRightInd w:val="0"/>
        <w:snapToGrid w:val="0"/>
        <w:spacing w:line="600" w:lineRule="exact"/>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lang w:eastAsia="zh-CN"/>
        </w:rPr>
        <w:drawing>
          <wp:anchor distT="0" distB="0" distL="114300" distR="114300" simplePos="0" relativeHeight="251670528" behindDoc="1" locked="0" layoutInCell="1" allowOverlap="1">
            <wp:simplePos x="0" y="0"/>
            <wp:positionH relativeFrom="column">
              <wp:posOffset>296545</wp:posOffset>
            </wp:positionH>
            <wp:positionV relativeFrom="paragraph">
              <wp:posOffset>42545</wp:posOffset>
            </wp:positionV>
            <wp:extent cx="5080000" cy="3810000"/>
            <wp:effectExtent l="4445" t="4445" r="20955" b="14605"/>
            <wp:wrapNone/>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hint="eastAsia" w:ascii="仿宋_GB2312" w:hAnsi="Times New Roman" w:eastAsia="仿宋_GB2312" w:cs="Wingdings"/>
          <w:sz w:val="32"/>
          <w:szCs w:val="32"/>
          <w:lang w:eastAsia="zh-CN"/>
        </w:rPr>
      </w:pPr>
    </w:p>
    <w:p>
      <w:pPr>
        <w:snapToGrid w:val="0"/>
        <w:spacing w:line="600" w:lineRule="exact"/>
        <w:ind w:firstLine="640" w:firstLineChars="200"/>
        <w:outlineLvl w:val="1"/>
        <w:rPr>
          <w:rFonts w:ascii="黑体" w:hAnsi="Calibri" w:eastAsia="黑体" w:cs="Times New Roman"/>
          <w:sz w:val="32"/>
          <w:szCs w:val="32"/>
        </w:rPr>
      </w:pPr>
    </w:p>
    <w:p>
      <w:pPr>
        <w:snapToGrid w:val="0"/>
        <w:spacing w:line="600" w:lineRule="exact"/>
        <w:ind w:firstLine="640" w:firstLineChars="200"/>
        <w:outlineLvl w:val="1"/>
        <w:rPr>
          <w:rFonts w:ascii="黑体" w:hAnsi="Calibri" w:eastAsia="黑体" w:cs="Times New Roman"/>
          <w:sz w:val="32"/>
          <w:szCs w:val="32"/>
        </w:rPr>
      </w:pPr>
    </w:p>
    <w:p>
      <w:pPr>
        <w:snapToGrid w:val="0"/>
        <w:spacing w:line="600" w:lineRule="exact"/>
        <w:ind w:firstLine="640" w:firstLineChars="200"/>
        <w:outlineLvl w:val="1"/>
        <w:rPr>
          <w:rFonts w:ascii="黑体" w:hAnsi="Calibri" w:eastAsia="黑体" w:cs="Times New Roman"/>
          <w:sz w:val="32"/>
          <w:szCs w:val="32"/>
        </w:rPr>
      </w:pPr>
    </w:p>
    <w:p>
      <w:pPr>
        <w:snapToGrid w:val="0"/>
        <w:spacing w:line="600" w:lineRule="exact"/>
        <w:ind w:firstLine="640" w:firstLineChars="200"/>
        <w:outlineLvl w:val="1"/>
        <w:rPr>
          <w:rFonts w:ascii="黑体" w:hAnsi="Calibri" w:eastAsia="黑体" w:cs="Times New Roman"/>
          <w:sz w:val="32"/>
          <w:szCs w:val="32"/>
        </w:rPr>
      </w:pPr>
    </w:p>
    <w:p>
      <w:pPr>
        <w:snapToGrid w:val="0"/>
        <w:spacing w:line="600" w:lineRule="exact"/>
        <w:ind w:firstLine="640" w:firstLineChars="200"/>
        <w:outlineLvl w:val="1"/>
        <w:rPr>
          <w:rFonts w:ascii="黑体" w:hAnsi="Calibri" w:eastAsia="黑体" w:cs="Times New Roman"/>
          <w:sz w:val="32"/>
          <w:szCs w:val="32"/>
        </w:rPr>
      </w:pPr>
    </w:p>
    <w:p>
      <w:pPr>
        <w:snapToGrid w:val="0"/>
        <w:spacing w:line="600" w:lineRule="exact"/>
        <w:ind w:firstLine="640" w:firstLineChars="200"/>
        <w:outlineLvl w:val="1"/>
        <w:rPr>
          <w:rFonts w:hint="eastAsia" w:ascii="黑体" w:hAnsi="Calibri" w:eastAsia="黑体" w:cs="Times New Roman"/>
          <w:sz w:val="32"/>
          <w:szCs w:val="32"/>
        </w:rPr>
      </w:pPr>
    </w:p>
    <w:p>
      <w:pPr>
        <w:snapToGrid w:val="0"/>
        <w:spacing w:line="600" w:lineRule="exact"/>
        <w:ind w:firstLine="640" w:firstLineChars="200"/>
        <w:outlineLvl w:val="1"/>
        <w:rPr>
          <w:rFonts w:hint="eastAsia" w:ascii="黑体" w:hAnsi="Calibri" w:eastAsia="黑体" w:cs="Times New Roman"/>
          <w:sz w:val="32"/>
          <w:szCs w:val="32"/>
        </w:rPr>
      </w:pPr>
    </w:p>
    <w:p>
      <w:pPr>
        <w:snapToGrid w:val="0"/>
        <w:spacing w:line="600" w:lineRule="exact"/>
        <w:ind w:firstLine="640" w:firstLineChars="200"/>
        <w:outlineLvl w:val="1"/>
        <w:rPr>
          <w:rFonts w:hint="eastAsia" w:ascii="黑体" w:hAnsi="Calibri" w:eastAsia="黑体" w:cs="Times New Roman"/>
          <w:sz w:val="32"/>
          <w:szCs w:val="32"/>
        </w:rPr>
      </w:pPr>
      <w:r>
        <w:rPr>
          <w:sz w:val="32"/>
        </w:rPr>
        <mc:AlternateContent>
          <mc:Choice Requires="wps">
            <w:drawing>
              <wp:anchor distT="0" distB="0" distL="114300" distR="114300" simplePos="0" relativeHeight="251667456" behindDoc="0" locked="0" layoutInCell="1" allowOverlap="1">
                <wp:simplePos x="0" y="0"/>
                <wp:positionH relativeFrom="column">
                  <wp:posOffset>781050</wp:posOffset>
                </wp:positionH>
                <wp:positionV relativeFrom="paragraph">
                  <wp:posOffset>342265</wp:posOffset>
                </wp:positionV>
                <wp:extent cx="4286885" cy="407035"/>
                <wp:effectExtent l="0" t="0" r="18415" b="12065"/>
                <wp:wrapNone/>
                <wp:docPr id="20" name="文本框 20"/>
                <wp:cNvGraphicFramePr/>
                <a:graphic xmlns:a="http://schemas.openxmlformats.org/drawingml/2006/main">
                  <a:graphicData uri="http://schemas.microsoft.com/office/word/2010/wordprocessingShape">
                    <wps:wsp>
                      <wps:cNvSpPr txBox="1"/>
                      <wps:spPr>
                        <a:xfrm>
                          <a:off x="1677035" y="5141595"/>
                          <a:ext cx="4286885" cy="40703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2</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收入</w:t>
                            </w:r>
                            <w:r>
                              <w:rPr>
                                <w:rFonts w:hint="eastAsia" w:ascii="楷体_GB2312" w:hAnsi="楷体_GB2312" w:eastAsia="楷体_GB2312" w:cs="楷体_GB2312"/>
                                <w:sz w:val="28"/>
                                <w:szCs w:val="28"/>
                              </w:rPr>
                              <w:t>决算构成情况（按支出</w:t>
                            </w:r>
                            <w:r>
                              <w:rPr>
                                <w:rFonts w:hint="eastAsia" w:ascii="楷体_GB2312" w:hAnsi="楷体_GB2312" w:eastAsia="楷体_GB2312" w:cs="楷体_GB2312"/>
                                <w:sz w:val="28"/>
                                <w:szCs w:val="28"/>
                                <w:lang w:val="en-US" w:eastAsia="zh-CN"/>
                              </w:rPr>
                              <w:t>功能分类</w:t>
                            </w:r>
                            <w:r>
                              <w:rPr>
                                <w:rFonts w:hint="eastAsia" w:ascii="楷体_GB2312" w:hAnsi="楷体_GB2312" w:eastAsia="楷体_GB2312" w:cs="楷体_GB2312"/>
                                <w:sz w:val="28"/>
                                <w:szCs w:val="28"/>
                              </w:rPr>
                              <w:t>）</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1.5pt;margin-top:26.95pt;height:32.05pt;width:337.55pt;z-index:251667456;mso-width-relative:page;mso-height-relative:page;" fillcolor="#FFFFFF" filled="t" stroked="f" coordsize="21600,21600" o:gfxdata="UEsDBAoAAAAAAIdO4kAAAAAAAAAAAAAAAAAEAAAAZHJzL1BLAwQUAAAACACHTuJAczaxGdUAAAAK&#10;AQAADwAAAGRycy9kb3ducmV2LnhtbE2Py07DMBRE90j8g3WR2FHbLY80xOkCiW0l+lq7sYkj7OvI&#10;dp9f38sKlqMZzZxpFufg2dGmPERUICcCmMUumgF7BZv151MFLBeNRvuIVsHFZli093eNrk084Zc9&#10;rkrPqARzrRW4Usaa89w5G3SexNEied8xBV1Ipp6bpE9UHjyfCvHKgx6QFpwe7Yez3c/qEBTs+nDd&#10;beWYnAn+GZfXy3oTB6UeH6R4B1bsufyF4Ref0KElpn08oMnMk57O6EtR8DKbA6PA27ySwPbkyEoA&#10;bxv+/0J7A1BLAwQUAAAACACHTuJAqLIkQEUCAABdBAAADgAAAGRycy9lMm9Eb2MueG1srVTNjtow&#10;EL5X6jtYvpckbPhZRFhRVlSVUHclWvVsHIdEcjyubUjoA7RvsKdeeu9z8RwdO7DQn1NVDmbG8/GN&#10;55sZpndtLcleGFuBymjSiykRikNeqW1GP7xfvhpTYh1TOZOgREYPwtK72csX00ZPRB9KkLkwBEmU&#10;nTQ6o6VzehJFlpeiZrYHWigMFmBq5tA12yg3rEH2Wkb9OB5GDZhcG+DCWry974J0FviLQnD3UBRW&#10;OCIzim9z4TTh3Pgzmk3ZZGuYLit+egb7h1fUrFKY9JnqnjlGdqb6g6quuAELhetxqCMoioqLUANW&#10;k8S/VbMumRahFhTH6meZ7P+j5e/2j4ZUeUb7KI9iNfbo+PT1+O3H8fsXgncoUKPtBHFrjUjXvoYW&#10;G32+t3jp624LU/tvrIj4+HA0im8GlBwyOkjSZHA76KQWrSMcAWl/PByPEcARkcYBjKmiC5M21r0R&#10;UBNvZNRgK4PCbL+yroOeIT6xBVnly0rK4JjtZiEN2TNs+zJ8fHpk/wUmFWkyOrwZxIFZgf99h5PK&#10;84gwQad8XoauXG+5dtMi1JsbyA8ojYFuuqzmywrfvGLWPTKD44TK4oq4BzwKCZgSThYlJZjPf7v3&#10;eOwyRilpcDwzaj/tmBGUyLcK+3+bpKmf5+Ckg5HvnrmObK4jalcvAKVIcBk1D6bHO3k2CwP1R9yk&#10;uc+KIaY45s6oO5sL1y0NbiIX83kA4QRr5lZqrbmn9oIpmO8cFFVo0EUblN47OMOhCad980ty7QfU&#10;5V9h9h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zBAAAW0NvbnRlbnRfVHlwZXNdLnhtbFBLAQIUAAoAAAAAAIdO4kAAAAAAAAAAAAAAAAAGAAAA&#10;AAAAAAAAEAAAAJUDAABfcmVscy9QSwECFAAUAAAACACHTuJAihRmPNEAAACUAQAACwAAAAAAAAAB&#10;ACAAAAC5AwAAX3JlbHMvLnJlbHNQSwECFAAKAAAAAACHTuJAAAAAAAAAAAAAAAAABAAAAAAAAAAA&#10;ABAAAAAAAAAAZHJzL1BLAQIUABQAAAAIAIdO4kBzNrEZ1QAAAAoBAAAPAAAAAAAAAAEAIAAAACIA&#10;AABkcnMvZG93bnJldi54bWxQSwECFAAUAAAACACHTuJAqLIkQEUCAABdBAAADgAAAAAAAAABACAA&#10;AAAkAQAAZHJzL2Uyb0RvYy54bWxQSwUGAAAAAAYABgBZAQAA2wUAAAAA&#10;">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2</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收入</w:t>
                      </w:r>
                      <w:r>
                        <w:rPr>
                          <w:rFonts w:hint="eastAsia" w:ascii="楷体_GB2312" w:hAnsi="楷体_GB2312" w:eastAsia="楷体_GB2312" w:cs="楷体_GB2312"/>
                          <w:sz w:val="28"/>
                          <w:szCs w:val="28"/>
                        </w:rPr>
                        <w:t>决算构成情况（按支出</w:t>
                      </w:r>
                      <w:r>
                        <w:rPr>
                          <w:rFonts w:hint="eastAsia" w:ascii="楷体_GB2312" w:hAnsi="楷体_GB2312" w:eastAsia="楷体_GB2312" w:cs="楷体_GB2312"/>
                          <w:sz w:val="28"/>
                          <w:szCs w:val="28"/>
                          <w:lang w:val="en-US" w:eastAsia="zh-CN"/>
                        </w:rPr>
                        <w:t>功能分类</w:t>
                      </w:r>
                      <w:r>
                        <w:rPr>
                          <w:rFonts w:hint="eastAsia" w:ascii="楷体_GB2312" w:hAnsi="楷体_GB2312" w:eastAsia="楷体_GB2312" w:cs="楷体_GB2312"/>
                          <w:sz w:val="28"/>
                          <w:szCs w:val="28"/>
                        </w:rPr>
                        <w:t>）</w:t>
                      </w:r>
                    </w:p>
                    <w:p>
                      <w:pPr>
                        <w:spacing w:after="160" w:line="480" w:lineRule="auto"/>
                        <w:rPr>
                          <w:rFonts w:ascii="Times New Roman" w:hAnsi="Times New Roman" w:eastAsia="宋体" w:cs="Times New Roman"/>
                          <w:sz w:val="20"/>
                        </w:rPr>
                      </w:pPr>
                    </w:p>
                  </w:txbxContent>
                </v:textbox>
              </v:shape>
            </w:pict>
          </mc:Fallback>
        </mc:AlternateContent>
      </w:r>
    </w:p>
    <w:p>
      <w:pPr>
        <w:snapToGrid w:val="0"/>
        <w:spacing w:line="600" w:lineRule="exact"/>
        <w:ind w:firstLine="640" w:firstLineChars="200"/>
        <w:outlineLvl w:val="1"/>
        <w:rPr>
          <w:rFonts w:hint="eastAsia" w:ascii="黑体" w:hAnsi="Calibri" w:eastAsia="黑体" w:cs="Times New Roman"/>
          <w:sz w:val="32"/>
          <w:szCs w:val="32"/>
        </w:rPr>
      </w:pPr>
    </w:p>
    <w:p>
      <w:pPr>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Calibri" w:eastAsia="仿宋_GB2312" w:cs="Arial Black"/>
          <w:kern w:val="0"/>
          <w:sz w:val="32"/>
          <w:szCs w:val="32"/>
          <w:lang w:eastAsia="zh-CN"/>
        </w:rPr>
        <w:t>石家庄市鹿泉区水利局</w:t>
      </w:r>
      <w:r>
        <w:rPr>
          <w:rFonts w:hint="eastAsia" w:ascii="仿宋_GB2312" w:hAnsi="Times New Roman" w:eastAsia="仿宋_GB2312" w:cs="Wingdings"/>
          <w:sz w:val="32"/>
          <w:szCs w:val="32"/>
          <w:lang w:eastAsia="zh-CN"/>
        </w:rPr>
        <w:t>部门</w:t>
      </w:r>
      <w:r>
        <w:rPr>
          <w:rFonts w:hint="eastAsia" w:ascii="仿宋_GB2312" w:hAnsi="Times New Roman" w:eastAsia="仿宋_GB2312" w:cs="Wingdings"/>
          <w:sz w:val="32"/>
          <w:szCs w:val="32"/>
        </w:rPr>
        <w:t>2020年度本年支出合计</w:t>
      </w:r>
      <w:r>
        <w:rPr>
          <w:rFonts w:hint="eastAsia" w:ascii="仿宋_GB2312" w:hAnsi="Times New Roman" w:eastAsia="仿宋_GB2312" w:cs="Wingdings"/>
          <w:sz w:val="32"/>
          <w:szCs w:val="32"/>
          <w:lang w:val="en-US" w:eastAsia="zh-CN"/>
        </w:rPr>
        <w:t>54206.41</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按支出性质看，</w:t>
      </w:r>
      <w:r>
        <w:rPr>
          <w:rFonts w:hint="eastAsia" w:ascii="仿宋_GB2312" w:hAnsi="Times New Roman" w:eastAsia="仿宋_GB2312" w:cs="Wingdings"/>
          <w:sz w:val="32"/>
          <w:szCs w:val="32"/>
        </w:rPr>
        <w:t>基本支出</w:t>
      </w:r>
      <w:r>
        <w:rPr>
          <w:rFonts w:hint="eastAsia" w:ascii="仿宋_GB2312" w:hAnsi="Times New Roman" w:eastAsia="仿宋_GB2312" w:cs="Wingdings"/>
          <w:sz w:val="32"/>
          <w:szCs w:val="32"/>
          <w:lang w:val="en-US" w:eastAsia="zh-CN"/>
        </w:rPr>
        <w:t>2788.39</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全部支出的5.1</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其中人员经费支出2495.15万元，占4.6%，公用经费支出293.24万元，占0.5%；</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pPr>
        <w:adjustRightInd w:val="0"/>
        <w:snapToGrid w:val="0"/>
        <w:spacing w:line="600" w:lineRule="exact"/>
        <w:rPr>
          <w:rFonts w:hint="eastAsia" w:ascii="仿宋_GB2312" w:hAnsi="Times New Roman" w:eastAsia="仿宋_GB2312" w:cs="Wingdings"/>
          <w:sz w:val="32"/>
          <w:szCs w:val="32"/>
          <w:lang w:val="en-US" w:eastAsia="zh-CN"/>
        </w:rPr>
      </w:pPr>
    </w:p>
    <w:p>
      <w:pPr>
        <w:adjustRightInd w:val="0"/>
        <w:snapToGrid w:val="0"/>
        <w:spacing w:line="600" w:lineRule="exact"/>
        <w:rPr>
          <w:rFonts w:hint="eastAsia" w:ascii="仿宋_GB2312" w:hAnsi="Times New Roman" w:eastAsia="仿宋_GB2312" w:cs="Wingdings"/>
          <w:sz w:val="32"/>
          <w:szCs w:val="32"/>
          <w:lang w:val="en-US" w:eastAsia="zh-CN"/>
        </w:rPr>
      </w:pPr>
    </w:p>
    <w:p>
      <w:pPr>
        <w:adjustRightInd w:val="0"/>
        <w:snapToGrid w:val="0"/>
        <w:spacing w:line="600" w:lineRule="exact"/>
        <w:rPr>
          <w:rFonts w:hint="eastAsia" w:ascii="仿宋_GB2312" w:hAnsi="Times New Roman" w:eastAsia="仿宋_GB2312" w:cs="Wingdings"/>
          <w:sz w:val="32"/>
          <w:szCs w:val="32"/>
          <w:lang w:val="en-US" w:eastAsia="zh-CN"/>
        </w:rPr>
      </w:pPr>
    </w:p>
    <w:p>
      <w:pPr>
        <w:adjustRightInd w:val="0"/>
        <w:snapToGrid w:val="0"/>
        <w:spacing w:line="600" w:lineRule="exact"/>
        <w:rPr>
          <w:rFonts w:hint="eastAsia" w:ascii="仿宋_GB2312" w:hAnsi="Times New Roman" w:eastAsia="仿宋_GB2312" w:cs="Wingdings"/>
          <w:sz w:val="32"/>
          <w:szCs w:val="32"/>
          <w:lang w:val="en-US" w:eastAsia="zh-CN"/>
        </w:rPr>
      </w:pPr>
    </w:p>
    <w:p>
      <w:pPr>
        <w:adjustRightInd w:val="0"/>
        <w:snapToGrid w:val="0"/>
        <w:spacing w:line="600" w:lineRule="exact"/>
        <w:rPr>
          <w:rFonts w:hint="eastAsia" w:ascii="仿宋_GB2312" w:hAnsi="Times New Roman" w:eastAsia="仿宋_GB2312" w:cs="Wingdings"/>
          <w:sz w:val="32"/>
          <w:szCs w:val="32"/>
          <w:lang w:val="en-US" w:eastAsia="zh-CN"/>
        </w:rPr>
      </w:pPr>
    </w:p>
    <w:p>
      <w:pPr>
        <w:adjustRightInd w:val="0"/>
        <w:snapToGrid w:val="0"/>
        <w:spacing w:line="600" w:lineRule="exact"/>
        <w:rPr>
          <w:rFonts w:hint="eastAsia" w:ascii="仿宋_GB2312" w:hAnsi="Times New Roman" w:eastAsia="仿宋_GB2312" w:cs="Wingdings"/>
          <w:sz w:val="32"/>
          <w:szCs w:val="32"/>
          <w:lang w:val="en-US" w:eastAsia="zh-CN"/>
        </w:rPr>
      </w:pPr>
    </w:p>
    <w:p>
      <w:pPr>
        <w:adjustRightInd w:val="0"/>
        <w:snapToGrid w:val="0"/>
        <w:spacing w:line="600" w:lineRule="exact"/>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drawing>
          <wp:anchor distT="0" distB="0" distL="114300" distR="114300" simplePos="0" relativeHeight="251670528" behindDoc="1" locked="0" layoutInCell="1" allowOverlap="1">
            <wp:simplePos x="0" y="0"/>
            <wp:positionH relativeFrom="column">
              <wp:posOffset>4445</wp:posOffset>
            </wp:positionH>
            <wp:positionV relativeFrom="paragraph">
              <wp:posOffset>-3519805</wp:posOffset>
            </wp:positionV>
            <wp:extent cx="5080000" cy="3810000"/>
            <wp:effectExtent l="4445" t="4445" r="20955" b="14605"/>
            <wp:wrapNone/>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adjustRightInd w:val="0"/>
        <w:snapToGrid w:val="0"/>
        <w:spacing w:line="600" w:lineRule="exact"/>
        <w:rPr>
          <w:rFonts w:hint="eastAsia" w:ascii="仿宋_GB2312" w:hAnsi="Times New Roman" w:eastAsia="仿宋_GB2312" w:cs="Wingdings"/>
          <w:sz w:val="32"/>
          <w:szCs w:val="32"/>
        </w:rPr>
      </w:pPr>
      <w:r>
        <w:rPr>
          <w:sz w:val="32"/>
        </w:rPr>
        <mc:AlternateContent>
          <mc:Choice Requires="wps">
            <w:drawing>
              <wp:anchor distT="0" distB="0" distL="114300" distR="114300" simplePos="0" relativeHeight="251663360" behindDoc="1" locked="0" layoutInCell="1" allowOverlap="1">
                <wp:simplePos x="0" y="0"/>
                <wp:positionH relativeFrom="column">
                  <wp:posOffset>777875</wp:posOffset>
                </wp:positionH>
                <wp:positionV relativeFrom="paragraph">
                  <wp:posOffset>95250</wp:posOffset>
                </wp:positionV>
                <wp:extent cx="4209415" cy="390525"/>
                <wp:effectExtent l="0" t="0" r="12065" b="5715"/>
                <wp:wrapNone/>
                <wp:docPr id="24" name="文本框 24"/>
                <wp:cNvGraphicFramePr/>
                <a:graphic xmlns:a="http://schemas.openxmlformats.org/drawingml/2006/main">
                  <a:graphicData uri="http://schemas.microsoft.com/office/word/2010/wordprocessingShape">
                    <wps:wsp>
                      <wps:cNvSpPr txBox="1"/>
                      <wps:spPr>
                        <a:xfrm>
                          <a:off x="1750060" y="9047480"/>
                          <a:ext cx="4209415" cy="39052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3</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支出</w:t>
                            </w:r>
                            <w:r>
                              <w:rPr>
                                <w:rFonts w:hint="eastAsia" w:ascii="楷体_GB2312" w:hAnsi="楷体_GB2312" w:eastAsia="楷体_GB2312" w:cs="楷体_GB2312"/>
                                <w:sz w:val="28"/>
                                <w:szCs w:val="28"/>
                              </w:rPr>
                              <w:t>决算构成情况（按支出</w:t>
                            </w:r>
                            <w:r>
                              <w:rPr>
                                <w:rFonts w:hint="eastAsia" w:ascii="楷体_GB2312" w:hAnsi="楷体_GB2312" w:eastAsia="楷体_GB2312" w:cs="楷体_GB2312"/>
                                <w:sz w:val="28"/>
                                <w:szCs w:val="28"/>
                                <w:lang w:val="en-US" w:eastAsia="zh-CN"/>
                              </w:rPr>
                              <w:t>性质</w:t>
                            </w:r>
                            <w:r>
                              <w:rPr>
                                <w:rFonts w:hint="eastAsia" w:ascii="楷体_GB2312" w:hAnsi="楷体_GB2312" w:eastAsia="楷体_GB2312" w:cs="楷体_GB2312"/>
                                <w:sz w:val="28"/>
                                <w:szCs w:val="28"/>
                              </w:rPr>
                              <w:t>）</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1.25pt;margin-top:7.5pt;height:30.75pt;width:331.45pt;z-index:-251653120;mso-width-relative:page;mso-height-relative:page;" fillcolor="#FFFFFF" filled="t" stroked="f" coordsize="21600,21600" o:gfxdata="UEsDBAoAAAAAAIdO4kAAAAAAAAAAAAAAAAAEAAAAZHJzL1BLAwQUAAAACACHTuJAHJtcWNQAAAAJ&#10;AQAADwAAAGRycy9kb3ducmV2LnhtbE2PS0/DMBCE70j8B2uRuFEnUVOqEKcHJK6V+qBnN17iCHsd&#10;2e7z17Oc4Daj/TQ7066u3okzxjQGUlDOChBIfTAjDQr2u4+XJYiUNRntAqGCGyZYdY8PrW5MuNAG&#10;z9s8CA6h1GgFNuepkTL1Fr1OszAh8e0rRK8z2zhIE/WFw72TVVEspNcj8QerJ3y32H9vT17BYfD3&#10;w2c5RWu8m9P6ftvtw6jU81NZvIHIeM1/MPzW5+rQcadjOJFJwrGvqppRFjVvYuB1Wc9BHFksapBd&#10;K/8v6H4AUEsDBBQAAAAIAIdO4kBZiZGZRgIAAF0EAAAOAAAAZHJzL2Uyb0RvYy54bWytVM2O2jAQ&#10;vlfqO1i+l4RsWBZEWFFWVJVQdyVa9Wwch0RyPK5tSOgDtG+wp15673PxHB07YZf+nKpyMDOej288&#10;38wwu21rSQ7C2ApURoeDmBKhOOSV2mX0w/vVqxtKrGMqZxKUyOhRWHo7f/li1uipSKAEmQtDkETZ&#10;aaMzWjqnp1FkeSlqZgeghcJgAaZmDl2zi3LDGmSvZZTE8XXUgMm1AS6sxdu7Lkjngb8oBHf3RWGF&#10;IzKj+DYXThPOrT+j+YxNd4bpsuL9M9g/vKJmlcKkT1R3zDGyN9UfVHXFDVgo3IBDHUFRVFyEGrCa&#10;YfxbNZuSaRFqQXGsfpLJ/j9a/u7wYEiVZzRJKVGsxh6dHr+evv04ff9C8A4FarSdIm6jEena19Bi&#10;o8/3Fi993W1hav+NFREfH4+wOSj4MaOTOB2nN73UonWEIyBN4kk6HFHCEXE1iUfJyFNGz0zaWPdG&#10;QE28kVGDrQwKs8Paug56hvjEFmSVryopg2N226U05MCw7avw6dl/gUlFmoxeX43iwKzA/76jlsrz&#10;iDBBfT4vQ1eut1y7bXtttpAfURoD3XRZzVcVvnnNrHtgBscJdcAVcfd4FBIwJfQWJSWYz3+793js&#10;MkYpaXA8M2o/7ZkRlMi3Cvs/Gaapn+fgpKNxgo65jGwvI2pfLwGlGOIyah5Mj3fybBYG6o+4SQuf&#10;FUNMccydUXc2l65bGtxELhaLAMIJ1syt1UZzT+0FU7DYOyiq0CAvU6cNNtY7OMOhxf2++SW59APq&#10;+V9h/h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zBAAAW0NvbnRlbnRfVHlwZXNdLnhtbFBLAQIUAAoAAAAAAIdO4kAAAAAAAAAAAAAAAAAGAAAA&#10;AAAAAAAAEAAAAJUDAABfcmVscy9QSwECFAAUAAAACACHTuJAihRmPNEAAACUAQAACwAAAAAAAAAB&#10;ACAAAAC5AwAAX3JlbHMvLnJlbHNQSwECFAAKAAAAAACHTuJAAAAAAAAAAAAAAAAABAAAAAAAAAAA&#10;ABAAAAAAAAAAZHJzL1BLAQIUABQAAAAIAIdO4kAcm1xY1AAAAAkBAAAPAAAAAAAAAAEAIAAAACIA&#10;AABkcnMvZG93bnJldi54bWxQSwECFAAUAAAACACHTuJAWYmRmUYCAABdBAAADgAAAAAAAAABACAA&#10;AAAjAQAAZHJzL2Uyb0RvYy54bWxQSwUGAAAAAAYABgBZAQAA2wUAAAAA&#10;">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3</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支出</w:t>
                      </w:r>
                      <w:r>
                        <w:rPr>
                          <w:rFonts w:hint="eastAsia" w:ascii="楷体_GB2312" w:hAnsi="楷体_GB2312" w:eastAsia="楷体_GB2312" w:cs="楷体_GB2312"/>
                          <w:sz w:val="28"/>
                          <w:szCs w:val="28"/>
                        </w:rPr>
                        <w:t>决算构成情况（按支出</w:t>
                      </w:r>
                      <w:r>
                        <w:rPr>
                          <w:rFonts w:hint="eastAsia" w:ascii="楷体_GB2312" w:hAnsi="楷体_GB2312" w:eastAsia="楷体_GB2312" w:cs="楷体_GB2312"/>
                          <w:sz w:val="28"/>
                          <w:szCs w:val="28"/>
                          <w:lang w:val="en-US" w:eastAsia="zh-CN"/>
                        </w:rPr>
                        <w:t>性质</w:t>
                      </w:r>
                      <w:r>
                        <w:rPr>
                          <w:rFonts w:hint="eastAsia" w:ascii="楷体_GB2312" w:hAnsi="楷体_GB2312" w:eastAsia="楷体_GB2312" w:cs="楷体_GB2312"/>
                          <w:sz w:val="28"/>
                          <w:szCs w:val="28"/>
                        </w:rPr>
                        <w:t>）</w:t>
                      </w:r>
                    </w:p>
                    <w:p>
                      <w:pPr>
                        <w:spacing w:after="160" w:line="480" w:lineRule="auto"/>
                        <w:rPr>
                          <w:rFonts w:ascii="Times New Roman" w:hAnsi="Times New Roman" w:eastAsia="宋体" w:cs="Times New Roman"/>
                          <w:sz w:val="20"/>
                        </w:rPr>
                      </w:pPr>
                    </w:p>
                  </w:txbxContent>
                </v:textbox>
              </v:shape>
            </w:pict>
          </mc:Fallback>
        </mc:AlternateContent>
      </w: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仿宋_GB2312" w:hAnsi="Times New Roman" w:eastAsia="仿宋_GB2312" w:cs="Wingdings"/>
          <w:sz w:val="32"/>
          <w:szCs w:val="32"/>
        </w:rPr>
      </w:pPr>
      <w:r>
        <w:rPr>
          <w:rFonts w:hint="eastAsia" w:ascii="仿宋_GB2312" w:hAnsi="Times New Roman" w:eastAsia="仿宋_GB2312" w:cs="Wingdings"/>
          <w:sz w:val="32"/>
          <w:szCs w:val="32"/>
        </w:rPr>
        <w:t>项目支出</w:t>
      </w:r>
      <w:r>
        <w:rPr>
          <w:rFonts w:hint="eastAsia" w:ascii="仿宋_GB2312" w:hAnsi="Times New Roman" w:eastAsia="仿宋_GB2312" w:cs="Wingdings"/>
          <w:sz w:val="32"/>
          <w:szCs w:val="32"/>
          <w:lang w:val="en-US" w:eastAsia="zh-CN"/>
        </w:rPr>
        <w:t>51418.02</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94.9</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其中行政事业类项目658.39万元，占1.3%，基本建设类项目50759.63万元，占98.7%（见</w:t>
      </w:r>
      <w:r>
        <w:rPr>
          <w:rFonts w:hint="eastAsia" w:ascii="仿宋_GB2312" w:hAnsi="Times New Roman" w:eastAsia="仿宋_GB2312" w:cs="Wingdings"/>
          <w:sz w:val="32"/>
          <w:szCs w:val="32"/>
        </w:rPr>
        <w:t>图</w:t>
      </w:r>
      <w:r>
        <w:rPr>
          <w:rFonts w:hint="eastAsia" w:ascii="仿宋_GB2312" w:hAnsi="Times New Roman" w:eastAsia="仿宋_GB2312" w:cs="Wingdings"/>
          <w:sz w:val="32"/>
          <w:szCs w:val="32"/>
          <w:lang w:val="en-US" w:eastAsia="zh-CN"/>
        </w:rPr>
        <w:t>3）</w:t>
      </w:r>
      <w:r>
        <w:rPr>
          <w:rFonts w:hint="eastAsia" w:ascii="仿宋_GB2312" w:hAnsi="Times New Roman" w:eastAsia="仿宋_GB2312" w:cs="Wingdings"/>
          <w:sz w:val="32"/>
          <w:szCs w:val="32"/>
        </w:rPr>
        <w:t>。</w:t>
      </w: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（一）财政拨款收支与2019年度决算对比情况</w:t>
      </w:r>
    </w:p>
    <w:p>
      <w:pPr>
        <w:adjustRightInd w:val="0"/>
        <w:snapToGrid w:val="0"/>
        <w:spacing w:line="600" w:lineRule="exact"/>
        <w:ind w:firstLine="640" w:firstLineChars="200"/>
        <w:rPr>
          <w:rFonts w:hint="eastAsia" w:ascii="仿宋_GB2312" w:hAnsi="Times New Roman" w:eastAsia="仿宋_GB2312" w:cs="Wingdings"/>
          <w:sz w:val="32"/>
          <w:szCs w:val="32"/>
        </w:rPr>
      </w:pPr>
      <w:r>
        <w:rPr>
          <w:rFonts w:hint="eastAsia" w:ascii="仿宋_GB2312" w:hAnsi="Calibri" w:eastAsia="仿宋_GB2312" w:cs="Arial Black"/>
          <w:kern w:val="0"/>
          <w:sz w:val="32"/>
          <w:szCs w:val="32"/>
          <w:lang w:eastAsia="zh-CN"/>
        </w:rPr>
        <w:t>石家庄市鹿泉区水利局</w:t>
      </w:r>
      <w:r>
        <w:rPr>
          <w:rFonts w:hint="eastAsia" w:ascii="仿宋_GB2312" w:hAnsi="Times New Roman" w:eastAsia="仿宋_GB2312" w:cs="Wingdings"/>
          <w:sz w:val="32"/>
          <w:szCs w:val="32"/>
          <w:lang w:eastAsia="zh-CN"/>
        </w:rPr>
        <w:t>部门</w:t>
      </w:r>
      <w:r>
        <w:rPr>
          <w:rFonts w:hint="eastAsia" w:ascii="仿宋_GB2312" w:hAnsi="Times New Roman" w:eastAsia="仿宋_GB2312" w:cs="Wingdings"/>
          <w:sz w:val="32"/>
          <w:szCs w:val="32"/>
        </w:rPr>
        <w:t>2020年度形成的财政拨款收支为一般公共预算财政拨款</w:t>
      </w:r>
      <w:r>
        <w:rPr>
          <w:rFonts w:hint="eastAsia" w:ascii="仿宋_GB2312" w:hAnsi="Times New Roman" w:eastAsia="仿宋_GB2312" w:cs="Wingdings"/>
          <w:sz w:val="32"/>
          <w:szCs w:val="32"/>
          <w:lang w:eastAsia="zh-CN"/>
        </w:rPr>
        <w:t>、政府性基金预算财政拨款、其他收入</w:t>
      </w:r>
      <w:r>
        <w:rPr>
          <w:rFonts w:hint="eastAsia" w:ascii="仿宋_GB2312" w:hAnsi="Times New Roman" w:eastAsia="仿宋_GB2312" w:cs="Wingdings"/>
          <w:sz w:val="32"/>
          <w:szCs w:val="32"/>
        </w:rPr>
        <w:t>，其中本年收入</w:t>
      </w:r>
      <w:r>
        <w:rPr>
          <w:rFonts w:hint="eastAsia" w:ascii="仿宋_GB2312" w:hAnsi="Times New Roman" w:eastAsia="仿宋_GB2312" w:cs="Wingdings"/>
          <w:sz w:val="32"/>
          <w:szCs w:val="32"/>
          <w:lang w:val="en-US" w:eastAsia="zh-CN"/>
        </w:rPr>
        <w:t>77861.57</w:t>
      </w:r>
      <w:r>
        <w:rPr>
          <w:rFonts w:hint="eastAsia" w:ascii="仿宋_GB2312" w:hAnsi="Times New Roman" w:eastAsia="仿宋_GB2312" w:cs="Wingdings"/>
          <w:sz w:val="32"/>
          <w:szCs w:val="32"/>
        </w:rPr>
        <w:t>万元,比2019年度</w:t>
      </w:r>
      <w:r>
        <w:rPr>
          <w:rFonts w:hint="eastAsia" w:ascii="仿宋_GB2312" w:hAnsi="Times New Roman" w:eastAsia="仿宋_GB2312" w:cs="Wingdings"/>
          <w:sz w:val="32"/>
          <w:szCs w:val="32"/>
          <w:lang w:val="en-US" w:eastAsia="zh-CN"/>
        </w:rPr>
        <w:t>增加41493.92</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上升53.3</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54206.41</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增加23005.81</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上升42.4</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见图4</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收支增加</w:t>
      </w:r>
      <w:r>
        <w:rPr>
          <w:rFonts w:hint="eastAsia" w:ascii="仿宋_GB2312" w:hAnsi="Times New Roman" w:eastAsia="仿宋_GB2312" w:cs="Wingdings"/>
          <w:sz w:val="32"/>
          <w:szCs w:val="32"/>
        </w:rPr>
        <w:t>主要</w:t>
      </w:r>
      <w:r>
        <w:rPr>
          <w:rFonts w:hint="eastAsia" w:ascii="仿宋_GB2312" w:hAnsi="Times New Roman" w:eastAsia="仿宋_GB2312" w:cs="Wingdings"/>
          <w:sz w:val="32"/>
          <w:szCs w:val="32"/>
          <w:lang w:eastAsia="zh-CN"/>
        </w:rPr>
        <w:t>是</w:t>
      </w:r>
      <w:r>
        <w:rPr>
          <w:rFonts w:hint="eastAsia" w:ascii="仿宋_GB2312" w:hAnsi="Times New Roman" w:eastAsia="仿宋_GB2312" w:cs="Wingdings"/>
          <w:sz w:val="32"/>
          <w:szCs w:val="32"/>
          <w:lang w:val="en-US" w:eastAsia="zh-CN"/>
        </w:rPr>
        <w:t>本年项目资金投入较上年增加，其中滹沱河生态修复三期工程（鹿泉区）项目增加32800万元</w:t>
      </w:r>
      <w:r>
        <w:rPr>
          <w:rFonts w:hint="eastAsia" w:ascii="仿宋_GB2312" w:hAnsi="Times New Roman" w:eastAsia="仿宋_GB2312" w:cs="Wingdings"/>
          <w:sz w:val="32"/>
          <w:szCs w:val="32"/>
        </w:rPr>
        <w:t>。</w:t>
      </w:r>
    </w:p>
    <w:p>
      <w:pPr>
        <w:adjustRightInd w:val="0"/>
        <w:snapToGrid w:val="0"/>
        <w:spacing w:line="600" w:lineRule="exact"/>
        <w:ind w:firstLine="640" w:firstLineChars="200"/>
        <w:rPr>
          <w:rFonts w:hint="eastAsia" w:ascii="仿宋_GB2312" w:hAnsi="Times New Roman" w:eastAsia="仿宋_GB2312" w:cs="Wingdings"/>
          <w:sz w:val="32"/>
          <w:szCs w:val="32"/>
        </w:rPr>
      </w:pPr>
    </w:p>
    <w:p>
      <w:pPr>
        <w:adjustRightInd w:val="0"/>
        <w:snapToGrid w:val="0"/>
        <w:spacing w:line="600" w:lineRule="exact"/>
        <w:ind w:firstLine="640" w:firstLineChars="200"/>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lang w:eastAsia="zh-CN"/>
        </w:rPr>
        <w:drawing>
          <wp:anchor distT="0" distB="0" distL="114300" distR="114300" simplePos="0" relativeHeight="251670528" behindDoc="1" locked="0" layoutInCell="1" allowOverlap="1">
            <wp:simplePos x="0" y="0"/>
            <wp:positionH relativeFrom="column">
              <wp:posOffset>325120</wp:posOffset>
            </wp:positionH>
            <wp:positionV relativeFrom="paragraph">
              <wp:posOffset>-433705</wp:posOffset>
            </wp:positionV>
            <wp:extent cx="5080000" cy="3810000"/>
            <wp:effectExtent l="4445" t="4445" r="20955" b="14605"/>
            <wp:wrapNone/>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0" w:firstLineChars="200"/>
        <w:rPr>
          <w:rFonts w:hint="eastAsia" w:ascii="楷体_GB2312" w:hAnsi="Times New Roman" w:eastAsia="楷体_GB2312" w:cs="Mongolian Baiti"/>
          <w:b/>
          <w:bCs/>
          <w:sz w:val="32"/>
          <w:szCs w:val="32"/>
        </w:rPr>
      </w:pPr>
      <w:r>
        <w:rPr>
          <w:sz w:val="32"/>
        </w:rPr>
        <mc:AlternateContent>
          <mc:Choice Requires="wps">
            <w:drawing>
              <wp:anchor distT="0" distB="0" distL="114300" distR="114300" simplePos="0" relativeHeight="251670528" behindDoc="1" locked="0" layoutInCell="1" allowOverlap="1">
                <wp:simplePos x="0" y="0"/>
                <wp:positionH relativeFrom="column">
                  <wp:posOffset>878205</wp:posOffset>
                </wp:positionH>
                <wp:positionV relativeFrom="paragraph">
                  <wp:posOffset>368935</wp:posOffset>
                </wp:positionV>
                <wp:extent cx="4209415" cy="390525"/>
                <wp:effectExtent l="0" t="0" r="12065" b="5715"/>
                <wp:wrapNone/>
                <wp:docPr id="36" name="文本框 36"/>
                <wp:cNvGraphicFramePr/>
                <a:graphic xmlns:a="http://schemas.openxmlformats.org/drawingml/2006/main">
                  <a:graphicData uri="http://schemas.microsoft.com/office/word/2010/wordprocessingShape">
                    <wps:wsp>
                      <wps:cNvSpPr txBox="1"/>
                      <wps:spPr>
                        <a:xfrm>
                          <a:off x="0" y="0"/>
                          <a:ext cx="4209415" cy="39052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default" w:ascii="楷体_GB2312" w:hAnsi="楷体_GB2312" w:eastAsia="楷体_GB2312" w:cs="楷体_GB2312"/>
                                <w:sz w:val="28"/>
                                <w:szCs w:val="28"/>
                                <w:lang w:val="en-US"/>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4</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2019-2020财政拨款支出对比情况</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9.15pt;margin-top:29.05pt;height:30.75pt;width:331.45pt;z-index:-251645952;mso-width-relative:page;mso-height-relative:page;" fillcolor="#FFFFFF" filled="t" stroked="f" coordsize="21600,21600" o:gfxdata="UEsDBAoAAAAAAIdO4kAAAAAAAAAAAAAAAAAEAAAAZHJzL1BLAwQUAAAACACHTuJA4WL4zdQAAAAK&#10;AQAADwAAAGRycy9kb3ducmV2LnhtbE2Py07DMBBF90j8gzVI7KjjFqoQ4nSBxBaJtnTtxkMcYY8j&#10;231+PcMKllf36M6ZdnUOXhwx5TGSBjWrQCD10Y40aNhu3h5qELkYssZHQg0XzLDqbm9a09h4og88&#10;rssgeIRyYzS4UqZGytw7DCbP4oTE3VdMwRSOaZA2mROPBy/nVbWUwYzEF5yZ8NVh/70+BA27IVx3&#10;n2pKzgb/SO/Xy2YbR63v71T1AqLgufzB8KvP6tCx0z4eyGbhOS/qBaManmoFgoG6UnMQe27U8xJk&#10;18r/L3Q/UEsDBBQAAAAIAIdO4kB2vrBROgIAAFEEAAAOAAAAZHJzL2Uyb0RvYy54bWytVM2O0zAQ&#10;viPxDpbvNOkvtGq6Kl0VIVXsSgVxdh2nseR4jO02KQ8Ab7AnLtx5rn0Oxk7aLT8nRA7O/OUbzzcz&#10;md80lSJHYZ0EndF+L6VEaA651PuMfni/fvGKEueZzpkCLTJ6Eo7eLJ4/m9dmJgZQgsqFJQii3aw2&#10;GS29N7MkcbwUFXM9MEKjswBbMY+q3Se5ZTWiVyoZpOkkqcHmxgIXzqH1tnXSRcQvCsH9XVE44YnK&#10;KN7Nx9PGcxfOZDFns71lppS8uwb7h1tUTGpMeoG6ZZ6Rg5V/QFWSW3BQ+B6HKoGikFzEGrCafvpb&#10;NduSGRFrQXKcudDk/h8sf3e8t0TmGR1OKNGswh49Pnx9/Pbj8fsXgjYkqDZuhnFbg5G+eQ0NNvps&#10;d2gMdTeFrcIbKyLoR6pPF3pF4wlH42iQTkf9MSUcfcNpOh6MA0zy9LWxzr8RUJEgZNRi+yKr7Lhx&#10;vg09h4RkDpTM11KpqNj9bqUsOTJs9To+HfovYUqTOqOT4TiNyBrC9y200gFHxKnp8oXS2xKD5Jtd&#10;0/Gxg/yEdFhoJ8oZvpZ45w1z/p5ZHCFkANfC3+FRKMCU0EmUlGA//80e4rGz6KWkxpHMqPt0YFZQ&#10;ot5q7Pm0PxqFGY7KaPxygIq99uyuPfpQrQCp6OMCGh7FEO/VWSwsVB9xe5YhK7qY5pg7o/4srny7&#10;KLh9XCyXMQin1jC/0VvDA3QgTMPy4KGQsUGBppYbbGxQcG5ji7sdC4txrceopz/B4i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DhYvjN1AAAAAoBAAAPAAAAAAAAAAEAIAAAACIAAABkcnMvZG93bnJl&#10;di54bWxQSwECFAAUAAAACACHTuJAdr6wUToCAABRBAAADgAAAAAAAAABACAAAAAjAQAAZHJzL2Uy&#10;b0RvYy54bWxQSwUGAAAAAAYABgBZAQAAzwUAAAAA&#10;">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default" w:ascii="楷体_GB2312" w:hAnsi="楷体_GB2312" w:eastAsia="楷体_GB2312" w:cs="楷体_GB2312"/>
                          <w:sz w:val="28"/>
                          <w:szCs w:val="28"/>
                          <w:lang w:val="en-US"/>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4</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2019-2020财政拨款支出对比情况</w:t>
                      </w:r>
                    </w:p>
                    <w:p>
                      <w:pPr>
                        <w:spacing w:after="160" w:line="480" w:lineRule="auto"/>
                        <w:rPr>
                          <w:rFonts w:ascii="Times New Roman" w:hAnsi="Times New Roman" w:eastAsia="宋体" w:cs="Times New Roman"/>
                          <w:sz w:val="20"/>
                        </w:rPr>
                      </w:pPr>
                    </w:p>
                  </w:txbxContent>
                </v:textbox>
              </v:shape>
            </w:pict>
          </mc:Fallback>
        </mc:AlternateContent>
      </w: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pPr>
        <w:adjustRightInd w:val="0"/>
        <w:snapToGrid w:val="0"/>
        <w:spacing w:line="600" w:lineRule="exact"/>
        <w:ind w:firstLine="640" w:firstLineChars="200"/>
        <w:rPr>
          <w:rFonts w:hint="eastAsia" w:ascii="仿宋_GB2312" w:hAnsi="Times New Roman" w:eastAsia="仿宋_GB2312" w:cs="Wingdings"/>
          <w:sz w:val="32"/>
          <w:szCs w:val="32"/>
          <w:highlight w:val="yellow"/>
          <w:lang w:val="en-US" w:eastAsia="zh-CN"/>
        </w:rPr>
      </w:pPr>
      <w:r>
        <w:rPr>
          <w:rFonts w:hint="eastAsia" w:ascii="仿宋_GB2312" w:hAnsi="Calibri" w:eastAsia="仿宋_GB2312" w:cs="Arial Black"/>
          <w:kern w:val="0"/>
          <w:sz w:val="32"/>
          <w:szCs w:val="32"/>
          <w:lang w:eastAsia="zh-CN"/>
        </w:rPr>
        <w:t>石家庄市鹿泉区水利局</w:t>
      </w:r>
      <w:r>
        <w:rPr>
          <w:rFonts w:hint="eastAsia" w:ascii="仿宋_GB2312" w:hAnsi="Times New Roman" w:eastAsia="仿宋_GB2312" w:cs="Wingdings"/>
          <w:sz w:val="32"/>
          <w:szCs w:val="32"/>
          <w:lang w:eastAsia="zh-CN"/>
        </w:rPr>
        <w:t>部门</w:t>
      </w:r>
      <w:r>
        <w:rPr>
          <w:rFonts w:hint="eastAsia" w:ascii="仿宋_GB2312" w:hAnsi="Times New Roman" w:eastAsia="仿宋_GB2312" w:cs="Wingdings"/>
          <w:sz w:val="32"/>
          <w:szCs w:val="32"/>
        </w:rPr>
        <w:t>2020年度一般公共预算财政拨款收入</w:t>
      </w:r>
      <w:r>
        <w:rPr>
          <w:rFonts w:hint="eastAsia" w:ascii="仿宋_GB2312" w:hAnsi="Times New Roman" w:eastAsia="仿宋_GB2312" w:cs="Wingdings"/>
          <w:sz w:val="32"/>
          <w:szCs w:val="32"/>
          <w:lang w:val="en-US" w:eastAsia="zh-CN"/>
        </w:rPr>
        <w:t>32655</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115.2</w:t>
      </w:r>
      <w:r>
        <w:rPr>
          <w:rFonts w:hint="eastAsia" w:ascii="仿宋_GB2312" w:hAnsi="Times New Roman" w:eastAsia="仿宋_GB2312" w:cs="Wingdings"/>
          <w:sz w:val="32"/>
          <w:szCs w:val="32"/>
        </w:rPr>
        <w:t>%,比年初预算</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lang w:val="en-US" w:eastAsia="zh-CN"/>
        </w:rPr>
        <w:t>4315.39</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33393.65</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117.8</w:t>
      </w:r>
      <w:r>
        <w:rPr>
          <w:rFonts w:hint="eastAsia" w:ascii="仿宋_GB2312" w:hAnsi="Times New Roman" w:eastAsia="仿宋_GB2312" w:cs="Wingdings"/>
          <w:sz w:val="32"/>
          <w:szCs w:val="32"/>
        </w:rPr>
        <w:t>%,比年初预算</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lang w:val="en-US" w:eastAsia="zh-CN"/>
        </w:rPr>
        <w:t>5054.04</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收入</w:t>
      </w:r>
      <w:r>
        <w:rPr>
          <w:rFonts w:hint="eastAsia" w:ascii="仿宋_GB2312" w:hAnsi="Times New Roman" w:eastAsia="仿宋_GB2312" w:cs="Wingdings"/>
          <w:sz w:val="32"/>
          <w:szCs w:val="32"/>
        </w:rPr>
        <w:t>决算数</w:t>
      </w:r>
      <w:r>
        <w:rPr>
          <w:rFonts w:hint="eastAsia" w:ascii="仿宋_GB2312" w:hAnsi="Times New Roman" w:eastAsia="仿宋_GB2312" w:cs="Wingdings"/>
          <w:sz w:val="32"/>
          <w:szCs w:val="32"/>
          <w:lang w:eastAsia="zh-CN"/>
        </w:rPr>
        <w:t>大</w:t>
      </w:r>
      <w:r>
        <w:rPr>
          <w:rFonts w:hint="eastAsia" w:ascii="仿宋_GB2312" w:hAnsi="Times New Roman" w:eastAsia="仿宋_GB2312" w:cs="Wingdings"/>
          <w:sz w:val="32"/>
          <w:szCs w:val="32"/>
        </w:rPr>
        <w:t>于预算数主要原因</w:t>
      </w:r>
      <w:r>
        <w:rPr>
          <w:rFonts w:hint="eastAsia" w:ascii="仿宋_GB2312" w:hAnsi="Times New Roman" w:eastAsia="仿宋_GB2312" w:cs="Wingdings"/>
          <w:sz w:val="32"/>
          <w:szCs w:val="32"/>
          <w:lang w:val="en-US" w:eastAsia="zh-CN"/>
        </w:rPr>
        <w:t>是年中上级资金下达。2020年项目收入70890.77万元，支出51418.02万元，分别比年初预算增加35872.86万元、16400.11万元</w:t>
      </w:r>
      <w:r>
        <w:rPr>
          <w:rFonts w:hint="eastAsia" w:ascii="仿宋_GB2312" w:hAnsi="Times New Roman" w:eastAsia="仿宋_GB2312" w:cs="Wingdings"/>
          <w:sz w:val="32"/>
          <w:szCs w:val="32"/>
          <w:highlight w:val="none"/>
          <w:lang w:val="en-US" w:eastAsia="zh-CN"/>
        </w:rPr>
        <w:t>。</w:t>
      </w:r>
    </w:p>
    <w:p>
      <w:pPr>
        <w:numPr>
          <w:ilvl w:val="0"/>
          <w:numId w:val="3"/>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pPr>
        <w:adjustRightInd w:val="0"/>
        <w:snapToGrid w:val="0"/>
        <w:spacing w:line="600" w:lineRule="exact"/>
        <w:ind w:firstLine="640" w:firstLineChars="200"/>
        <w:rPr>
          <w:rFonts w:hint="eastAsia" w:ascii="仿宋_GB2312" w:hAnsi="Times New Roman" w:eastAsia="仿宋_GB2312" w:cs="Wingdings"/>
          <w:sz w:val="32"/>
          <w:szCs w:val="32"/>
        </w:rPr>
      </w:pPr>
      <w:r>
        <w:rPr>
          <w:rFonts w:hint="eastAsia" w:ascii="仿宋_GB2312" w:hAnsi="Times New Roman" w:eastAsia="仿宋_GB2312" w:cs="Wingdings"/>
          <w:sz w:val="32"/>
          <w:szCs w:val="32"/>
        </w:rPr>
        <w:t>2020 年度财政拨款支出</w:t>
      </w:r>
      <w:r>
        <w:rPr>
          <w:rFonts w:hint="eastAsia" w:ascii="仿宋_GB2312" w:hAnsi="Times New Roman" w:eastAsia="仿宋_GB2312" w:cs="Wingdings"/>
          <w:sz w:val="32"/>
          <w:szCs w:val="32"/>
          <w:lang w:val="en-US" w:eastAsia="zh-CN"/>
        </w:rPr>
        <w:t>54206.41</w:t>
      </w:r>
      <w:r>
        <w:rPr>
          <w:rFonts w:hint="eastAsia" w:ascii="仿宋_GB2312" w:hAnsi="Times New Roman" w:eastAsia="仿宋_GB2312" w:cs="Wingdings"/>
          <w:sz w:val="32"/>
          <w:szCs w:val="32"/>
        </w:rPr>
        <w:t>万元，主要用于以下方面</w:t>
      </w:r>
      <w:r>
        <w:rPr>
          <w:rFonts w:hint="eastAsia" w:ascii="仿宋_GB2312" w:hAnsi="Times New Roman" w:eastAsia="仿宋_GB2312" w:cs="Wingdings"/>
          <w:sz w:val="32"/>
          <w:szCs w:val="32"/>
          <w:lang w:val="en-US" w:eastAsia="zh-CN"/>
        </w:rPr>
        <w:t>支出，其中一般公共服务支出60.58万元，占0.1%；社会保障</w:t>
      </w:r>
      <w:r>
        <w:rPr>
          <w:rFonts w:hint="eastAsia" w:ascii="仿宋_GB2312" w:hAnsi="Times New Roman" w:eastAsia="仿宋_GB2312" w:cs="Wingdings"/>
          <w:sz w:val="32"/>
          <w:szCs w:val="32"/>
          <w:lang w:eastAsia="zh-CN"/>
        </w:rPr>
        <w:drawing>
          <wp:anchor distT="0" distB="0" distL="114300" distR="114300" simplePos="0" relativeHeight="251670528" behindDoc="1" locked="0" layoutInCell="1" allowOverlap="1">
            <wp:simplePos x="0" y="0"/>
            <wp:positionH relativeFrom="column">
              <wp:posOffset>87630</wp:posOffset>
            </wp:positionH>
            <wp:positionV relativeFrom="paragraph">
              <wp:posOffset>1490345</wp:posOffset>
            </wp:positionV>
            <wp:extent cx="5365115" cy="3314700"/>
            <wp:effectExtent l="4445" t="4445" r="21590" b="14605"/>
            <wp:wrapNone/>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Pr>
          <w:rFonts w:hint="eastAsia" w:ascii="仿宋_GB2312" w:hAnsi="Times New Roman" w:eastAsia="仿宋_GB2312" w:cs="Wingdings"/>
          <w:sz w:val="32"/>
          <w:szCs w:val="32"/>
          <w:lang w:val="en-US" w:eastAsia="zh-CN"/>
        </w:rPr>
        <w:t>和就业支出4354.59万元，占8%；卫生健康支出160.02万元，占0.3%；农林水支出33328.14万元，占61.5%；住房保障支出200.98万元，占0.4%；其他支出12571.17万元，占23.2%；抗疫特别国债安排的支出1042.99万元，占1.9%。</w:t>
      </w:r>
    </w:p>
    <w:p>
      <w:pPr>
        <w:adjustRightInd w:val="0"/>
        <w:snapToGrid w:val="0"/>
        <w:spacing w:line="600" w:lineRule="exact"/>
        <w:ind w:firstLine="640" w:firstLineChars="200"/>
        <w:rPr>
          <w:rFonts w:hint="eastAsia" w:ascii="仿宋_GB2312" w:hAnsi="Times New Roman" w:eastAsia="仿宋_GB2312" w:cs="Wingdings"/>
          <w:sz w:val="32"/>
          <w:szCs w:val="32"/>
        </w:rPr>
      </w:pPr>
    </w:p>
    <w:p>
      <w:pPr>
        <w:adjustRightInd w:val="0"/>
        <w:snapToGrid w:val="0"/>
        <w:spacing w:line="600" w:lineRule="exact"/>
        <w:ind w:firstLine="640" w:firstLineChars="200"/>
        <w:rPr>
          <w:rFonts w:hint="eastAsia" w:ascii="仿宋_GB2312" w:hAnsi="Times New Roman" w:eastAsia="仿宋_GB2312" w:cs="Wingdings"/>
          <w:sz w:val="32"/>
          <w:szCs w:val="32"/>
        </w:rPr>
      </w:pPr>
    </w:p>
    <w:p>
      <w:pPr>
        <w:adjustRightInd w:val="0"/>
        <w:snapToGrid w:val="0"/>
        <w:spacing w:line="600" w:lineRule="exact"/>
        <w:ind w:firstLine="640" w:firstLineChars="200"/>
        <w:rPr>
          <w:rFonts w:hint="eastAsia" w:ascii="仿宋_GB2312" w:hAnsi="Times New Roman" w:eastAsia="仿宋_GB2312" w:cs="Wingdings"/>
          <w:sz w:val="32"/>
          <w:szCs w:val="32"/>
        </w:rPr>
      </w:pPr>
    </w:p>
    <w:p>
      <w:pPr>
        <w:adjustRightInd w:val="0"/>
        <w:snapToGrid w:val="0"/>
        <w:spacing w:line="600" w:lineRule="exact"/>
        <w:ind w:firstLine="640" w:firstLineChars="200"/>
        <w:rPr>
          <w:rFonts w:hint="eastAsia" w:ascii="仿宋_GB2312" w:hAnsi="Times New Roman" w:eastAsia="仿宋_GB2312" w:cs="Wingdings"/>
          <w:sz w:val="32"/>
          <w:szCs w:val="32"/>
          <w:lang w:eastAsia="zh-CN"/>
        </w:rPr>
      </w:pPr>
    </w:p>
    <w:p>
      <w:pPr>
        <w:adjustRightInd w:val="0"/>
        <w:snapToGrid w:val="0"/>
        <w:spacing w:line="600" w:lineRule="exact"/>
        <w:ind w:firstLine="640" w:firstLineChars="200"/>
        <w:rPr>
          <w:rFonts w:hint="eastAsia" w:ascii="仿宋_GB2312" w:hAnsi="Times New Roman" w:eastAsia="仿宋_GB2312" w:cs="Wingdings"/>
          <w:sz w:val="32"/>
          <w:szCs w:val="32"/>
        </w:rPr>
      </w:pPr>
    </w:p>
    <w:p>
      <w:pPr>
        <w:adjustRightInd w:val="0"/>
        <w:snapToGrid w:val="0"/>
        <w:spacing w:line="600" w:lineRule="exact"/>
        <w:ind w:firstLine="640" w:firstLineChars="200"/>
        <w:rPr>
          <w:rFonts w:hint="eastAsia" w:ascii="仿宋_GB2312" w:hAnsi="Times New Roman" w:eastAsia="仿宋_GB2312" w:cs="Wingdings"/>
          <w:sz w:val="32"/>
          <w:szCs w:val="32"/>
        </w:rPr>
      </w:pPr>
    </w:p>
    <w:p>
      <w:pPr>
        <w:adjustRightInd w:val="0"/>
        <w:snapToGrid w:val="0"/>
        <w:spacing w:line="600" w:lineRule="exact"/>
        <w:ind w:firstLine="640" w:firstLineChars="200"/>
        <w:rPr>
          <w:rFonts w:hint="eastAsia" w:ascii="仿宋_GB2312" w:hAnsi="Times New Roman" w:eastAsia="仿宋_GB2312" w:cs="Wingdings"/>
          <w:sz w:val="32"/>
          <w:szCs w:val="32"/>
        </w:rPr>
      </w:pPr>
    </w:p>
    <w:p>
      <w:pPr>
        <w:adjustRightInd w:val="0"/>
        <w:snapToGrid w:val="0"/>
        <w:spacing w:line="600" w:lineRule="exact"/>
        <w:ind w:firstLine="640" w:firstLineChars="200"/>
        <w:rPr>
          <w:rFonts w:hint="eastAsia" w:ascii="仿宋_GB2312" w:hAnsi="Times New Roman" w:eastAsia="仿宋_GB2312" w:cs="Wingdings"/>
          <w:sz w:val="32"/>
          <w:szCs w:val="32"/>
        </w:rPr>
      </w:pP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sz w:val="32"/>
        </w:rPr>
        <mc:AlternateContent>
          <mc:Choice Requires="wps">
            <w:drawing>
              <wp:anchor distT="0" distB="0" distL="114300" distR="114300" simplePos="0" relativeHeight="251666432" behindDoc="0" locked="0" layoutInCell="1" allowOverlap="1">
                <wp:simplePos x="0" y="0"/>
                <wp:positionH relativeFrom="column">
                  <wp:posOffset>1266825</wp:posOffset>
                </wp:positionH>
                <wp:positionV relativeFrom="paragraph">
                  <wp:posOffset>3810</wp:posOffset>
                </wp:positionV>
                <wp:extent cx="3221355" cy="412115"/>
                <wp:effectExtent l="0" t="0" r="17145" b="6985"/>
                <wp:wrapNone/>
                <wp:docPr id="17" name="文本框 17"/>
                <wp:cNvGraphicFramePr/>
                <a:graphic xmlns:a="http://schemas.openxmlformats.org/drawingml/2006/main">
                  <a:graphicData uri="http://schemas.microsoft.com/office/word/2010/wordprocessingShape">
                    <wps:wsp>
                      <wps:cNvSpPr txBox="1"/>
                      <wps:spPr>
                        <a:xfrm>
                          <a:off x="2334260" y="5374640"/>
                          <a:ext cx="3221355" cy="41211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ascii="楷体_GB2312" w:hAnsi="楷体_GB2312" w:eastAsia="楷体_GB2312" w:cs="楷体_GB2312"/>
                                <w:sz w:val="24"/>
                                <w:szCs w:val="32"/>
                                <w:lang w:val="en-US" w:eastAsia="zh-CN"/>
                              </w:rPr>
                            </w:pPr>
                            <w:r>
                              <w:rPr>
                                <w:rFonts w:hint="eastAsia" w:ascii="楷体_GB2312" w:hAnsi="楷体_GB2312" w:eastAsia="楷体_GB2312" w:cs="楷体_GB2312"/>
                                <w:sz w:val="24"/>
                                <w:szCs w:val="32"/>
                                <w:lang w:val="en-US" w:eastAsia="zh-CN"/>
                              </w:rPr>
                              <w:t>图5：2020年收入构成（按经济分类）情况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9.75pt;margin-top:0.3pt;height:32.45pt;width:253.65pt;z-index:251666432;v-text-anchor:middle;mso-width-relative:page;mso-height-relative:page;" fillcolor="#FFFFFF [3201]" filled="t" stroked="f" coordsize="21600,21600" o:gfxdata="UEsDBAoAAAAAAIdO4kAAAAAAAAAAAAAAAAAEAAAAZHJzL1BLAwQUAAAACACHTuJAw3kUfdMAAAAH&#10;AQAADwAAAGRycy9kb3ducmV2LnhtbE2Py07DMBBF90j8gzVI7KhdpAQa4lQIhFB3EArrSezGUeNx&#10;ZLsP/p5hBcuje3XnTL0++0kcbUxjIA3LhQJhqQ9mpEHD9uPl5h5EykgGp0BWw7dNsG4uL2qsTDjR&#10;uz22eRA8QqlCDS7nuZIy9c56TIswW+JsF6LHzBgHaSKeeNxP8lapUnociS84nO2Ts/2+PXgN+Co/&#10;NzQ8b7Zvib5i16N7bEutr6+W6gFEtuf8V4ZffVaHhp26cCCTxMS8WhVc1VCC4PhOlfxJx1gUIJta&#10;/vdvfgBQSwMEFAAAAAgAh07iQOmx/PtCAgAAUQQAAA4AAABkcnMvZTJvRG9jLnhtbK1UzY7aMBC+&#10;V+o7WL6XkJBAiwgryoqqEuquRKuejeNAJMfj2oaEPkD7Bnvqpfc+F8/RsRN26c+pKgfj8Xx8M/PN&#10;DLObtpbkKIytQOU0HgwpEYpDUaldTj+8X714SYl1TBVMghI5PQlLb+bPn80aPRUJ7EEWwhAkUXba&#10;6JzundPTKLJ8L2pmB6CFQmcJpmYOTbOLCsMaZK9llAyH46gBU2gDXFiLr7edk84Df1kK7u7K0gpH&#10;ZE4xNxdOE86tP6P5jE13hul9xfs02D9kUbNKYdBHqlvmGDmY6g+quuIGLJRuwKGOoCwrLkINWE08&#10;/K2azZ5pEWpBcax+lMn+P1r+7nhvSFVg7yaUKFZjj84PX8/ffpy/fyH4hgI12k4Rt9GIdO1raBF8&#10;ebf46OtuS1P7b6yIoD8ZjdJkjIKfcpqNJuk47aUWrSMcAaMkiUdZRglHRBoncZx5yuiJSRvr3gio&#10;ib/k1GArg8LsuLaug14gPrAFWRWrSspgmN12KQ05Mmz7Knx69l9gUpEmp+NRNgzMCvzvO2qpMBlf&#10;eFegv7l22/ZqbKE4oRgGunmymq8qzHLNrLtnBgcIK8elcHd4lBIwCPQ3SvZgPv/t3eOxr+ilpMGB&#10;zKn9dGBGUCLfKuz4qzhFEYkLRppNEjTMtWd77VGHeglYfIzrp3m4eryTl2tpoP6Iu7PwUdHFFMfY&#10;OeXOXIyl6xYFt4+LxSLAcGo1c2u10dyTe7EVLA4Oyio0xQvVqdPrh3Mb2trvmF+Mazugnv4J5j8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w3kUfdMAAAAHAQAADwAAAAAAAAABACAAAAAiAAAAZHJz&#10;L2Rvd25yZXYueG1sUEsBAhQAFAAAAAgAh07iQOmx/PtCAgAAUQQAAA4AAAAAAAAAAQAgAAAAIgEA&#10;AGRycy9lMm9Eb2MueG1sUEsFBgAAAAAGAAYAWQEAANYFAAAAAA==&#10;">
                <v:fill on="t" focussize="0,0"/>
                <v:stroke on="f" weight="0.5pt"/>
                <v:imagedata o:title=""/>
                <o:lock v:ext="edit" aspectratio="f"/>
                <v:textbox>
                  <w:txbxContent>
                    <w:p>
                      <w:pPr>
                        <w:jc w:val="center"/>
                        <w:rPr>
                          <w:rFonts w:hint="eastAsia" w:ascii="楷体_GB2312" w:hAnsi="楷体_GB2312" w:eastAsia="楷体_GB2312" w:cs="楷体_GB2312"/>
                          <w:sz w:val="24"/>
                          <w:szCs w:val="32"/>
                          <w:lang w:val="en-US" w:eastAsia="zh-CN"/>
                        </w:rPr>
                      </w:pPr>
                      <w:r>
                        <w:rPr>
                          <w:rFonts w:hint="eastAsia" w:ascii="楷体_GB2312" w:hAnsi="楷体_GB2312" w:eastAsia="楷体_GB2312" w:cs="楷体_GB2312"/>
                          <w:sz w:val="24"/>
                          <w:szCs w:val="32"/>
                          <w:lang w:val="en-US" w:eastAsia="zh-CN"/>
                        </w:rPr>
                        <w:t>图5：2020年收入构成（按经济分类）情况</w:t>
                      </w:r>
                    </w:p>
                  </w:txbxContent>
                </v:textbox>
              </v:shape>
            </w:pict>
          </mc:Fallback>
        </mc:AlternateContent>
      </w:r>
    </w:p>
    <w:p>
      <w:pPr>
        <w:adjustRightInd w:val="0"/>
        <w:snapToGrid w:val="0"/>
        <w:spacing w:line="600" w:lineRule="exact"/>
        <w:ind w:firstLine="640" w:firstLineChars="200"/>
        <w:rPr>
          <w:rFonts w:hint="default"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t>按经济分类看：工资福利支出2440.78万元、商品和服务支出</w:t>
      </w:r>
      <w:r>
        <w:rPr>
          <w:rFonts w:hint="eastAsia" w:ascii="仿宋_GB2312" w:hAnsi="Times New Roman" w:eastAsia="仿宋_GB2312" w:cs="Wingdings"/>
          <w:sz w:val="32"/>
          <w:szCs w:val="32"/>
          <w:lang w:val="en-US" w:eastAsia="zh-CN"/>
        </w:rPr>
        <w:tab/>
      </w:r>
      <w:r>
        <w:rPr>
          <w:rFonts w:hint="eastAsia" w:ascii="仿宋_GB2312" w:hAnsi="Times New Roman" w:eastAsia="仿宋_GB2312" w:cs="Wingdings"/>
          <w:sz w:val="32"/>
          <w:szCs w:val="32"/>
          <w:lang w:val="en-US" w:eastAsia="zh-CN"/>
        </w:rPr>
        <w:t>281.11万元、对个人和家庭的补助54.37万元、资本性支出（基本建设）50759.63万元、资本性支出658.39万元（见图5）。</w:t>
      </w:r>
    </w:p>
    <w:p>
      <w:pPr>
        <w:keepNext w:val="0"/>
        <w:keepLines w:val="0"/>
        <w:pageBreakBefore w:val="0"/>
        <w:widowControl w:val="0"/>
        <w:kinsoku/>
        <w:wordWrap/>
        <w:overflowPunct/>
        <w:topLinePunct w:val="0"/>
        <w:autoSpaceDE/>
        <w:autoSpaceDN/>
        <w:bidi w:val="0"/>
        <w:adjustRightInd w:val="0"/>
        <w:snapToGrid w:val="0"/>
        <w:spacing w:line="620" w:lineRule="exact"/>
        <w:ind w:left="0" w:leftChars="0" w:right="0" w:rightChars="0" w:firstLine="643" w:firstLineChars="200"/>
        <w:textAlignment w:val="auto"/>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年度财政拨款基本支出</w:t>
      </w:r>
      <w:r>
        <w:rPr>
          <w:rFonts w:hint="eastAsia" w:ascii="仿宋_GB2312" w:hAnsi="Times New Roman" w:eastAsia="仿宋_GB2312" w:cs="Wingdings"/>
          <w:sz w:val="32"/>
          <w:szCs w:val="32"/>
          <w:lang w:val="en-US" w:eastAsia="zh-CN"/>
        </w:rPr>
        <w:t>2028.5</w:t>
      </w:r>
      <w:r>
        <w:rPr>
          <w:rFonts w:hint="eastAsia" w:ascii="仿宋_GB2312" w:hAnsi="Times New Roman" w:eastAsia="仿宋_GB2312" w:cs="Wingdings"/>
          <w:sz w:val="32"/>
          <w:szCs w:val="32"/>
        </w:rPr>
        <w:t xml:space="preserve">万元，其中：人员经费 </w:t>
      </w:r>
      <w:r>
        <w:rPr>
          <w:rFonts w:hint="eastAsia" w:ascii="仿宋_GB2312" w:hAnsi="Times New Roman" w:eastAsia="仿宋_GB2312" w:cs="Wingdings"/>
          <w:sz w:val="32"/>
          <w:szCs w:val="32"/>
          <w:lang w:val="en-US" w:eastAsia="zh-CN"/>
        </w:rPr>
        <w:t>2495.15</w:t>
      </w:r>
      <w:r>
        <w:rPr>
          <w:rFonts w:hint="eastAsia" w:ascii="仿宋_GB2312" w:hAnsi="Times New Roman" w:eastAsia="仿宋_GB2312" w:cs="Wingdings"/>
          <w:sz w:val="32"/>
          <w:szCs w:val="32"/>
        </w:rPr>
        <w:t xml:space="preserve">万元，主要包括基本工资、津贴补贴、奖金、绩效工资、机关事业单位基本养老保险缴费、职业年金缴费、职工基本医疗保险缴费、住房公积金、其他社会保障缴费、其他工资福利支出、离休费、退休费、抚恤金、生活补助、奖励金、其他对个人和家庭的补助支出；公用经费 </w:t>
      </w:r>
      <w:r>
        <w:rPr>
          <w:rFonts w:hint="eastAsia" w:ascii="仿宋_GB2312" w:hAnsi="Times New Roman" w:eastAsia="仿宋_GB2312" w:cs="Wingdings"/>
          <w:sz w:val="32"/>
          <w:szCs w:val="32"/>
          <w:lang w:val="en-US" w:eastAsia="zh-CN"/>
        </w:rPr>
        <w:t>293.24</w:t>
      </w:r>
      <w:r>
        <w:rPr>
          <w:rFonts w:hint="eastAsia" w:ascii="仿宋_GB2312" w:hAnsi="Times New Roman" w:eastAsia="仿宋_GB2312" w:cs="Wingdings"/>
          <w:sz w:val="32"/>
          <w:szCs w:val="32"/>
        </w:rPr>
        <w:t>万元，主要包括办公费、印刷费、电费、邮电费、差旅费、维修（护）费、劳务费、委托业务费、工会经费、福利费、公务用车运行维护费、其他商品和服务支出、办公设备购置、专用设备购置、信息网络及软件购置更新、其他资本性支出。</w:t>
      </w:r>
    </w:p>
    <w:p>
      <w:pPr>
        <w:keepNext/>
        <w:keepLines/>
        <w:pageBreakBefore w:val="0"/>
        <w:widowControl w:val="0"/>
        <w:kinsoku/>
        <w:wordWrap/>
        <w:overflowPunct/>
        <w:topLinePunct w:val="0"/>
        <w:bidi w:val="0"/>
        <w:snapToGrid w:val="0"/>
        <w:spacing w:line="620" w:lineRule="exact"/>
        <w:ind w:left="0" w:leftChars="0" w:right="0" w:rightChars="0" w:firstLine="640" w:firstLineChars="200"/>
        <w:textAlignment w:val="auto"/>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pPr>
        <w:pageBreakBefore w:val="0"/>
        <w:widowControl w:val="0"/>
        <w:kinsoku/>
        <w:wordWrap/>
        <w:overflowPunct/>
        <w:topLinePunct w:val="0"/>
        <w:autoSpaceDE w:val="0"/>
        <w:autoSpaceDN w:val="0"/>
        <w:bidi w:val="0"/>
        <w:adjustRightInd w:val="0"/>
        <w:snapToGrid w:val="0"/>
        <w:spacing w:line="620" w:lineRule="exact"/>
        <w:ind w:left="0" w:leftChars="0" w:right="0" w:rightChars="0" w:firstLine="640" w:firstLineChars="200"/>
        <w:textAlignment w:val="auto"/>
        <w:rPr>
          <w:rFonts w:eastAsia="仿宋_GB2312"/>
          <w:sz w:val="32"/>
          <w:szCs w:val="32"/>
        </w:rPr>
      </w:pPr>
      <w:r>
        <w:rPr>
          <w:rFonts w:hint="eastAsia" w:eastAsia="仿宋_GB2312"/>
          <w:sz w:val="32"/>
          <w:szCs w:val="32"/>
          <w:lang w:val="en-US" w:eastAsia="zh-CN"/>
        </w:rPr>
        <w:t>近年来，</w:t>
      </w:r>
      <w:r>
        <w:rPr>
          <w:rFonts w:hint="eastAsia" w:ascii="仿宋_GB2312" w:hAnsi="Calibri" w:eastAsia="仿宋_GB2312" w:cs="Arial Black"/>
          <w:kern w:val="0"/>
          <w:sz w:val="32"/>
          <w:szCs w:val="32"/>
          <w:lang w:eastAsia="zh-CN"/>
        </w:rPr>
        <w:t>石家庄市鹿泉区水利局</w:t>
      </w:r>
      <w:r>
        <w:rPr>
          <w:rFonts w:hint="eastAsia" w:eastAsia="仿宋_GB2312"/>
          <w:sz w:val="32"/>
          <w:szCs w:val="32"/>
          <w:lang w:val="en-US" w:eastAsia="zh-CN"/>
        </w:rPr>
        <w:t>部门</w:t>
      </w:r>
      <w:r>
        <w:rPr>
          <w:rFonts w:hint="eastAsia" w:eastAsia="仿宋_GB2312"/>
          <w:sz w:val="32"/>
          <w:szCs w:val="32"/>
        </w:rPr>
        <w:t>严控“三公”经费支出，硬化预算约束，有效的控制了“三公”等相关经费的支出</w:t>
      </w:r>
      <w:r>
        <w:rPr>
          <w:rFonts w:eastAsia="仿宋_GB2312"/>
          <w:sz w:val="32"/>
          <w:szCs w:val="32"/>
        </w:rPr>
        <w:t>。</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rPr>
        <w:t>2020年度“三公”经费财政拨款支出预算为</w:t>
      </w:r>
      <w:r>
        <w:rPr>
          <w:rFonts w:hint="eastAsia" w:ascii="仿宋_GB2312" w:hAnsi="Times New Roman" w:eastAsia="仿宋_GB2312" w:cs="Wingdings"/>
          <w:sz w:val="32"/>
          <w:szCs w:val="32"/>
          <w:lang w:val="en-US" w:eastAsia="zh-CN"/>
        </w:rPr>
        <w:t>13.50</w:t>
      </w:r>
      <w:r>
        <w:rPr>
          <w:rFonts w:hint="eastAsia" w:ascii="仿宋_GB2312" w:hAnsi="Times New Roman" w:eastAsia="仿宋_GB2312" w:cs="Wingdings"/>
          <w:sz w:val="32"/>
          <w:szCs w:val="32"/>
        </w:rPr>
        <w:t>万元，支出决算为</w:t>
      </w:r>
      <w:r>
        <w:rPr>
          <w:rFonts w:hint="eastAsia" w:ascii="仿宋_GB2312" w:hAnsi="Times New Roman" w:eastAsia="仿宋_GB2312" w:cs="Wingdings"/>
          <w:sz w:val="32"/>
          <w:szCs w:val="32"/>
          <w:lang w:val="en-US" w:eastAsia="zh-CN"/>
        </w:rPr>
        <w:t>6.10</w:t>
      </w:r>
      <w:r>
        <w:rPr>
          <w:rFonts w:hint="eastAsia" w:ascii="仿宋_GB2312" w:hAnsi="Times New Roman" w:eastAsia="仿宋_GB2312" w:cs="Wingdings"/>
          <w:sz w:val="32"/>
          <w:szCs w:val="32"/>
        </w:rPr>
        <w:t>元，完成预算的</w:t>
      </w:r>
      <w:r>
        <w:rPr>
          <w:rFonts w:hint="eastAsia" w:ascii="仿宋_GB2312" w:hAnsi="Times New Roman" w:eastAsia="仿宋_GB2312" w:cs="Wingdings"/>
          <w:sz w:val="32"/>
          <w:szCs w:val="32"/>
          <w:lang w:val="en-US" w:eastAsia="zh-CN"/>
        </w:rPr>
        <w:t>45.3</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7.40</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下降54.8</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主要是</w:t>
      </w:r>
      <w:r>
        <w:rPr>
          <w:rFonts w:ascii="仿宋" w:hAnsi="仿宋" w:eastAsia="仿宋" w:cs="仿宋"/>
          <w:sz w:val="32"/>
          <w:szCs w:val="32"/>
        </w:rPr>
        <w:t>认真贯彻落实中央八项规定和厉行节约要求，从严控制“三公”经费开支，全年实际支出比预算有所节约</w:t>
      </w:r>
      <w:r>
        <w:rPr>
          <w:rFonts w:hint="eastAsia" w:ascii="仿宋" w:hAnsi="仿宋" w:eastAsia="仿宋" w:cs="仿宋"/>
          <w:sz w:val="32"/>
          <w:szCs w:val="32"/>
          <w:lang w:eastAsia="zh-CN"/>
        </w:rPr>
        <w:t>，公务用车购置及运行费支出</w:t>
      </w:r>
      <w:r>
        <w:rPr>
          <w:rFonts w:hint="eastAsia" w:ascii="仿宋" w:hAnsi="仿宋" w:eastAsia="仿宋" w:cs="仿宋"/>
          <w:sz w:val="32"/>
          <w:szCs w:val="32"/>
          <w:lang w:val="en-US" w:eastAsia="zh-CN"/>
        </w:rPr>
        <w:t>6.1万元，</w:t>
      </w:r>
      <w:r>
        <w:rPr>
          <w:rFonts w:hint="eastAsia" w:ascii="仿宋_GB2312" w:hAnsi="Times New Roman" w:eastAsia="仿宋_GB2312" w:cs="Wingdings"/>
          <w:sz w:val="32"/>
          <w:szCs w:val="32"/>
          <w:lang w:val="en-US" w:eastAsia="zh-CN"/>
        </w:rPr>
        <w:t>较预算减少7.40万元。</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ascii="仿宋_GB2312" w:hAnsi="Times New Roman" w:eastAsia="仿宋_GB2312" w:cs="Wingdings"/>
          <w:sz w:val="32"/>
          <w:szCs w:val="32"/>
        </w:rPr>
      </w:pPr>
      <w:r>
        <w:rPr>
          <w:rFonts w:hint="eastAsia" w:ascii="仿宋_GB2312" w:hAnsi="Times New Roman" w:eastAsia="仿宋_GB2312" w:cs="Wingdings"/>
          <w:sz w:val="32"/>
          <w:szCs w:val="32"/>
          <w:lang w:val="en-US" w:eastAsia="zh-CN"/>
        </w:rPr>
        <w:t>与上年决算相比，本年“三公”经费支出减少1.20</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下降16.4</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val="en-US" w:eastAsia="zh-CN"/>
        </w:rPr>
        <w:t>因公务用车购置及运行费较上年减少1.20万元</w:t>
      </w:r>
      <w:r>
        <w:rPr>
          <w:rFonts w:hint="eastAsia" w:ascii="仿宋_GB2312" w:hAnsi="Times New Roman" w:eastAsia="仿宋_GB2312" w:cs="Wingdings"/>
          <w:sz w:val="32"/>
          <w:szCs w:val="32"/>
        </w:rPr>
        <w:t>。</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pPr>
        <w:numPr>
          <w:ilvl w:val="0"/>
          <w:numId w:val="0"/>
        </w:numPr>
        <w:adjustRightInd w:val="0"/>
        <w:snapToGrid w:val="0"/>
        <w:spacing w:line="580" w:lineRule="exact"/>
        <w:ind w:firstLine="643" w:firstLineChars="200"/>
        <w:rPr>
          <w:rFonts w:eastAsiaTheme="minorEastAsia"/>
          <w:sz w:val="20"/>
          <w:szCs w:val="20"/>
        </w:rPr>
      </w:pPr>
      <w:r>
        <w:rPr>
          <w:rFonts w:hint="eastAsia" w:ascii="楷体_GB2312" w:hAnsi="Times New Roman" w:eastAsia="楷体_GB2312" w:cs="Mongolian Baiti"/>
          <w:b/>
          <w:bCs/>
          <w:sz w:val="32"/>
          <w:szCs w:val="32"/>
        </w:rPr>
        <w:t>1.因公出国（境）费</w:t>
      </w:r>
      <w:r>
        <w:rPr>
          <w:rFonts w:hint="eastAsia" w:ascii="楷体_GB2312" w:hAnsi="Times New Roman" w:eastAsia="楷体_GB2312" w:cs="Mongolian Baiti"/>
          <w:b/>
          <w:bCs/>
          <w:sz w:val="32"/>
          <w:szCs w:val="32"/>
          <w:lang w:eastAsia="zh-CN"/>
        </w:rPr>
        <w:t>。</w:t>
      </w:r>
      <w:r>
        <w:rPr>
          <w:rFonts w:ascii="仿宋" w:hAnsi="仿宋" w:eastAsia="仿宋" w:cs="仿宋"/>
          <w:sz w:val="31"/>
          <w:szCs w:val="31"/>
        </w:rPr>
        <w:t>本部门</w:t>
      </w:r>
      <w:r>
        <w:rPr>
          <w:rFonts w:ascii="楷体" w:hAnsi="楷体" w:eastAsia="楷体" w:cs="楷体"/>
          <w:b/>
          <w:bCs/>
          <w:sz w:val="31"/>
          <w:szCs w:val="31"/>
        </w:rPr>
        <w:t xml:space="preserve"> </w:t>
      </w:r>
      <w:r>
        <w:rPr>
          <w:rFonts w:hint="eastAsia" w:ascii="仿宋" w:hAnsi="仿宋" w:eastAsia="仿宋" w:cs="仿宋"/>
          <w:sz w:val="31"/>
          <w:szCs w:val="31"/>
          <w:lang w:val="en-US" w:eastAsia="zh-CN"/>
        </w:rPr>
        <w:t>2020</w:t>
      </w:r>
      <w:r>
        <w:rPr>
          <w:rFonts w:ascii="仿宋" w:hAnsi="仿宋" w:eastAsia="仿宋" w:cs="仿宋"/>
          <w:sz w:val="31"/>
          <w:szCs w:val="31"/>
        </w:rPr>
        <w:t>年度无</w:t>
      </w:r>
      <w:r>
        <w:rPr>
          <w:rFonts w:ascii="仿宋" w:hAnsi="仿宋" w:eastAsia="仿宋" w:cs="仿宋"/>
          <w:sz w:val="32"/>
          <w:szCs w:val="32"/>
        </w:rPr>
        <w:t>本单位组织的出国（境）团组。</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2.公务用车购置及运行维护费</w:t>
      </w:r>
      <w:r>
        <w:rPr>
          <w:rFonts w:hint="eastAsia" w:ascii="楷体_GB2312" w:hAnsi="Times New Roman" w:eastAsia="楷体_GB2312" w:cs="Mongolian Baiti"/>
          <w:b/>
          <w:bCs/>
          <w:sz w:val="32"/>
          <w:szCs w:val="32"/>
          <w:lang w:eastAsia="zh-CN"/>
        </w:rPr>
        <w:t>。</w:t>
      </w: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2020年度公务用车购置及运行维护费</w:t>
      </w:r>
      <w:r>
        <w:rPr>
          <w:rFonts w:hint="eastAsia" w:ascii="仿宋_GB2312" w:hAnsi="Times New Roman" w:eastAsia="仿宋_GB2312" w:cs="Wingdings"/>
          <w:sz w:val="32"/>
          <w:szCs w:val="32"/>
          <w:lang w:val="en-US" w:eastAsia="zh-CN"/>
        </w:rPr>
        <w:t>支出6.10万元，</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7.40</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54.8</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其中公车购置费0万元，与预算持平。</w:t>
      </w:r>
      <w:r>
        <w:rPr>
          <w:rFonts w:hint="eastAsia" w:ascii="仿宋_GB2312" w:hAnsi="Times New Roman" w:eastAsia="仿宋_GB2312" w:cs="Mongolian Baiti"/>
          <w:b/>
          <w:bCs/>
          <w:sz w:val="32"/>
          <w:szCs w:val="32"/>
        </w:rPr>
        <w:t>其中：</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公务用车购置费支出：</w:t>
      </w: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2020年度公务用车购置量</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辆，</w:t>
      </w:r>
      <w:r>
        <w:rPr>
          <w:rFonts w:hint="eastAsia" w:ascii="仿宋_GB2312" w:hAnsi="Times New Roman" w:eastAsia="仿宋_GB2312" w:cs="Wingdings"/>
          <w:sz w:val="32"/>
          <w:szCs w:val="32"/>
          <w:lang w:val="en-US" w:eastAsia="zh-CN"/>
        </w:rPr>
        <w:t>未</w:t>
      </w:r>
      <w:r>
        <w:rPr>
          <w:rFonts w:hint="eastAsia" w:ascii="仿宋_GB2312" w:hAnsi="Times New Roman" w:eastAsia="仿宋_GB2312" w:cs="Wingdings"/>
          <w:sz w:val="32"/>
          <w:szCs w:val="32"/>
        </w:rPr>
        <w:t>发生“公务用车购置”经费支出</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与预算和上年决算持平</w:t>
      </w:r>
      <w:r>
        <w:rPr>
          <w:rFonts w:hint="eastAsia" w:ascii="仿宋_GB2312" w:hAnsi="Times New Roman" w:eastAsia="仿宋_GB2312" w:cs="Wingdings"/>
          <w:sz w:val="32"/>
          <w:szCs w:val="32"/>
        </w:rPr>
        <w:t>。</w:t>
      </w:r>
    </w:p>
    <w:p>
      <w:pPr>
        <w:adjustRightInd w:val="0"/>
        <w:snapToGrid w:val="0"/>
        <w:spacing w:line="580" w:lineRule="exact"/>
        <w:ind w:firstLine="643" w:firstLineChars="200"/>
        <w:rPr>
          <w:rFonts w:hint="eastAsia" w:ascii="仿宋_GB2312" w:hAnsi="Times New Roman" w:eastAsia="仿宋" w:cs="Wingdings"/>
          <w:sz w:val="32"/>
          <w:szCs w:val="32"/>
          <w:lang w:eastAsia="zh-CN"/>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b/>
          <w:sz w:val="32"/>
          <w:szCs w:val="32"/>
          <w:lang w:eastAsia="zh-CN"/>
        </w:rPr>
        <w:t>：</w:t>
      </w: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2020年度公务用车保有量</w:t>
      </w:r>
      <w:r>
        <w:rPr>
          <w:rFonts w:hint="eastAsia" w:ascii="仿宋_GB2312" w:hAnsi="Times New Roman" w:eastAsia="仿宋_GB2312" w:cs="Wingdings"/>
          <w:sz w:val="32"/>
          <w:szCs w:val="32"/>
          <w:lang w:val="en-US" w:eastAsia="zh-CN"/>
        </w:rPr>
        <w:t>10</w:t>
      </w:r>
      <w:r>
        <w:rPr>
          <w:rFonts w:hint="eastAsia" w:ascii="仿宋_GB2312" w:hAnsi="Times New Roman" w:eastAsia="仿宋_GB2312" w:cs="Wingdings"/>
          <w:sz w:val="32"/>
          <w:szCs w:val="32"/>
        </w:rPr>
        <w:t>辆</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公务用车运维费支出6.10万元。</w:t>
      </w:r>
      <w:r>
        <w:rPr>
          <w:rFonts w:hint="eastAsia" w:ascii="仿宋_GB2312" w:hAnsi="Times New Roman" w:eastAsia="仿宋_GB2312" w:cs="Wingdings"/>
          <w:sz w:val="32"/>
          <w:szCs w:val="32"/>
        </w:rPr>
        <w:t>公车运行维护费支出较预算减少</w:t>
      </w:r>
      <w:r>
        <w:rPr>
          <w:rFonts w:hint="eastAsia" w:ascii="仿宋_GB2312" w:hAnsi="Times New Roman" w:eastAsia="仿宋_GB2312" w:cs="Wingdings"/>
          <w:sz w:val="32"/>
          <w:szCs w:val="32"/>
          <w:lang w:val="en-US" w:eastAsia="zh-CN"/>
        </w:rPr>
        <w:t>7.40</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下降54.8</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val="en-US" w:eastAsia="zh-CN"/>
        </w:rPr>
        <w:t>硬化预算约束，严守公务用车配备及使用纪律所致</w:t>
      </w:r>
      <w:r>
        <w:rPr>
          <w:rFonts w:hint="eastAsia" w:ascii="仿宋_GB2312" w:hAnsi="Times New Roman" w:eastAsia="仿宋_GB2312" w:cs="Wingdings"/>
          <w:sz w:val="32"/>
          <w:szCs w:val="32"/>
        </w:rPr>
        <w:t>。较上年</w:t>
      </w:r>
      <w:r>
        <w:rPr>
          <w:rFonts w:hint="eastAsia" w:ascii="仿宋_GB2312" w:hAnsi="Times New Roman" w:eastAsia="仿宋_GB2312" w:cs="Wingdings"/>
          <w:sz w:val="32"/>
          <w:szCs w:val="32"/>
          <w:lang w:val="en-US" w:eastAsia="zh-CN"/>
        </w:rPr>
        <w:t>决算减少了1.20</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降低</w:t>
      </w:r>
      <w:r>
        <w:rPr>
          <w:rFonts w:hint="eastAsia" w:ascii="仿宋_GB2312" w:hAnsi="Times New Roman" w:eastAsia="仿宋_GB2312" w:cs="Wingdings"/>
          <w:sz w:val="32"/>
          <w:szCs w:val="32"/>
          <w:lang w:val="en-US" w:eastAsia="zh-CN"/>
        </w:rPr>
        <w:t>13.7</w:t>
      </w:r>
      <w:r>
        <w:rPr>
          <w:rFonts w:hint="eastAsia" w:ascii="仿宋_GB2312" w:hAnsi="Times New Roman" w:eastAsia="仿宋_GB2312" w:cs="Wingdings"/>
          <w:sz w:val="32"/>
          <w:szCs w:val="32"/>
        </w:rPr>
        <w:t>%，</w:t>
      </w:r>
      <w:r>
        <w:rPr>
          <w:rFonts w:hint="eastAsia" w:ascii="仿宋_GB2312" w:hAnsi="Times New Roman" w:eastAsia="仿宋_GB2312" w:cs="DengXian-Regular"/>
          <w:sz w:val="32"/>
          <w:szCs w:val="32"/>
        </w:rPr>
        <w:t>主要是</w:t>
      </w:r>
      <w:r>
        <w:rPr>
          <w:rFonts w:ascii="仿宋" w:hAnsi="仿宋" w:eastAsia="仿宋" w:cs="仿宋"/>
          <w:sz w:val="32"/>
          <w:szCs w:val="32"/>
        </w:rPr>
        <w:t>认真贯彻落实中央八项规定和厉行节约要求，从严控制“三公”经费开支，</w:t>
      </w:r>
      <w:r>
        <w:rPr>
          <w:rFonts w:hint="eastAsia" w:ascii="仿宋" w:hAnsi="仿宋" w:eastAsia="仿宋" w:cs="仿宋"/>
          <w:sz w:val="32"/>
          <w:szCs w:val="32"/>
          <w:lang w:eastAsia="zh-CN"/>
        </w:rPr>
        <w:t>较上年有所减少。</w:t>
      </w:r>
    </w:p>
    <w:p>
      <w:pPr>
        <w:keepNext w:val="0"/>
        <w:keepLines w:val="0"/>
        <w:pageBreakBefore w:val="0"/>
        <w:widowControl w:val="0"/>
        <w:kinsoku/>
        <w:wordWrap/>
        <w:overflowPunct/>
        <w:topLinePunct w:val="0"/>
        <w:autoSpaceDE/>
        <w:autoSpaceDN/>
        <w:bidi w:val="0"/>
        <w:adjustRightInd/>
        <w:snapToGrid/>
        <w:spacing w:after="0" w:line="578" w:lineRule="exact"/>
        <w:ind w:firstLine="643" w:firstLineChars="200"/>
        <w:textAlignment w:val="auto"/>
        <w:rPr>
          <w:rFonts w:ascii="仿宋_GB2312" w:hAnsi="Times New Roman" w:eastAsia="仿宋_GB2312" w:cs="Wingdings"/>
          <w:sz w:val="32"/>
          <w:szCs w:val="32"/>
        </w:rPr>
      </w:pPr>
      <w:r>
        <w:rPr>
          <w:rFonts w:hint="eastAsia" w:ascii="楷体_GB2312" w:hAnsi="Times New Roman" w:eastAsia="楷体_GB2312" w:cs="Mongolian Baiti"/>
          <w:b/>
          <w:bCs/>
          <w:sz w:val="32"/>
          <w:szCs w:val="32"/>
        </w:rPr>
        <w:t>3.公务接待费</w:t>
      </w:r>
      <w:r>
        <w:rPr>
          <w:rFonts w:hint="eastAsia" w:ascii="楷体_GB2312" w:hAnsi="Times New Roman" w:eastAsia="楷体_GB2312" w:cs="Mongolian Baiti"/>
          <w:b/>
          <w:bCs/>
          <w:sz w:val="32"/>
          <w:szCs w:val="32"/>
          <w:lang w:eastAsia="zh-CN"/>
        </w:rPr>
        <w:t>。</w:t>
      </w:r>
      <w:r>
        <w:rPr>
          <w:rFonts w:ascii="仿宋" w:hAnsi="仿宋" w:eastAsia="仿宋" w:cs="仿宋"/>
          <w:sz w:val="31"/>
          <w:szCs w:val="31"/>
        </w:rPr>
        <w:t>本部门</w:t>
      </w:r>
      <w:r>
        <w:rPr>
          <w:rFonts w:ascii="楷体" w:hAnsi="楷体" w:eastAsia="楷体" w:cs="楷体"/>
          <w:b/>
          <w:bCs/>
          <w:sz w:val="31"/>
          <w:szCs w:val="31"/>
        </w:rPr>
        <w:t xml:space="preserve"> </w:t>
      </w:r>
      <w:r>
        <w:rPr>
          <w:rFonts w:ascii="仿宋" w:hAnsi="仿宋" w:eastAsia="仿宋" w:cs="仿宋"/>
          <w:sz w:val="31"/>
          <w:szCs w:val="31"/>
        </w:rPr>
        <w:t>20</w:t>
      </w:r>
      <w:r>
        <w:rPr>
          <w:rFonts w:hint="eastAsia" w:ascii="仿宋" w:hAnsi="仿宋" w:eastAsia="仿宋" w:cs="仿宋"/>
          <w:sz w:val="31"/>
          <w:szCs w:val="31"/>
          <w:lang w:val="en-US" w:eastAsia="zh-CN"/>
        </w:rPr>
        <w:t>20</w:t>
      </w:r>
      <w:r>
        <w:rPr>
          <w:rFonts w:ascii="仿宋" w:hAnsi="仿宋" w:eastAsia="仿宋" w:cs="仿宋"/>
          <w:sz w:val="31"/>
          <w:szCs w:val="31"/>
        </w:rPr>
        <w:t>年度无公务接</w:t>
      </w:r>
      <w:r>
        <w:rPr>
          <w:rFonts w:ascii="仿宋" w:hAnsi="仿宋" w:eastAsia="仿宋" w:cs="仿宋"/>
          <w:sz w:val="32"/>
          <w:szCs w:val="32"/>
        </w:rPr>
        <w:t>待费支出。</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hint="eastAsia" w:ascii="仿宋_GB2312" w:hAnsi="Times New Roman" w:eastAsia="仿宋_GB2312" w:cs="Wingdings"/>
          <w:sz w:val="32"/>
          <w:szCs w:val="32"/>
        </w:rPr>
      </w:pPr>
      <w:r>
        <w:rPr>
          <w:rFonts w:hint="eastAsia" w:ascii="仿宋_GB2312" w:hAnsi="Times New Roman" w:eastAsia="仿宋_GB2312" w:cs="Wingdings"/>
          <w:sz w:val="32"/>
          <w:szCs w:val="32"/>
        </w:rPr>
        <w:t>根据河北省委省政府《关于全面实施预算绩效管理的实施意见》（冀发）〔2018〕54号）、《河北省财政厅关于贯彻落实中央和省委省政府决策部署全面实施预算绩效管理的通知》（冀财预〔2019〕7号）、《河北省省级部门预算项目绩效自评管理办法》（冀财绩〔2019〕10号）、《项目支出绩效评价管理办法》（财预〔2020〕10 号）等</w:t>
      </w:r>
      <w:r>
        <w:rPr>
          <w:rFonts w:hint="eastAsia" w:ascii="仿宋_GB2312" w:hAnsi="Times New Roman" w:eastAsia="仿宋_GB2312" w:cs="Wingdings"/>
          <w:sz w:val="32"/>
          <w:szCs w:val="32"/>
          <w:lang w:val="en-US" w:eastAsia="zh-CN"/>
        </w:rPr>
        <w:t>文件要求</w:t>
      </w: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组织对2020年度</w:t>
      </w:r>
      <w:r>
        <w:rPr>
          <w:rFonts w:hint="eastAsia" w:ascii="仿宋_GB2312" w:hAnsi="Times New Roman" w:eastAsia="仿宋_GB2312" w:cs="Wingdings"/>
          <w:sz w:val="32"/>
          <w:szCs w:val="32"/>
          <w:lang w:val="en-US" w:eastAsia="zh-CN"/>
        </w:rPr>
        <w:t>2</w:t>
      </w:r>
      <w:r>
        <w:rPr>
          <w:rFonts w:hint="eastAsia" w:ascii="仿宋_GB2312" w:hAnsi="Times New Roman" w:eastAsia="仿宋_GB2312" w:cs="Wingdings"/>
          <w:sz w:val="32"/>
          <w:szCs w:val="32"/>
        </w:rPr>
        <w:t>个一级项目全面开展绩效自评</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共涉及资金</w:t>
      </w:r>
      <w:r>
        <w:rPr>
          <w:rFonts w:hint="eastAsia" w:ascii="仿宋_GB2312" w:hAnsi="Times New Roman" w:eastAsia="仿宋_GB2312" w:cs="Wingdings"/>
          <w:sz w:val="32"/>
          <w:szCs w:val="32"/>
          <w:lang w:val="en-US" w:eastAsia="zh-CN"/>
        </w:rPr>
        <w:t>3919.40</w:t>
      </w:r>
      <w:r>
        <w:rPr>
          <w:rFonts w:hint="eastAsia" w:ascii="仿宋_GB2312" w:hAnsi="Times New Roman" w:eastAsia="仿宋_GB2312" w:cs="Wingdings"/>
          <w:sz w:val="32"/>
          <w:szCs w:val="32"/>
        </w:rPr>
        <w:t>万元。</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pPr>
        <w:pageBreakBefore w:val="0"/>
        <w:widowControl w:val="0"/>
        <w:kinsoku/>
        <w:wordWrap/>
        <w:overflowPunct/>
        <w:topLinePunct w:val="0"/>
        <w:bidi w:val="0"/>
        <w:adjustRightInd/>
        <w:snapToGrid w:val="0"/>
        <w:spacing w:before="0" w:after="0" w:line="620" w:lineRule="exact"/>
        <w:ind w:left="0" w:leftChars="0" w:right="0" w:rightChars="0" w:firstLine="640" w:firstLineChars="200"/>
        <w:textAlignment w:val="auto"/>
        <w:outlineLvl w:val="9"/>
        <w:rPr>
          <w:rFonts w:hint="eastAsia" w:ascii="仿宋_GB2312" w:hAnsi="宋体" w:eastAsia="仿宋_GB2312"/>
          <w:sz w:val="32"/>
          <w:szCs w:val="32"/>
        </w:rPr>
      </w:pPr>
      <w:r>
        <w:rPr>
          <w:rFonts w:hint="eastAsia" w:ascii="仿宋_GB2312" w:hAnsi="宋体" w:eastAsia="仿宋_GB2312"/>
          <w:sz w:val="32"/>
          <w:szCs w:val="32"/>
        </w:rPr>
        <w:t>2020年</w:t>
      </w:r>
      <w:r>
        <w:rPr>
          <w:rFonts w:hint="eastAsia" w:ascii="仿宋_GB2312" w:hAnsi="宋体" w:eastAsia="仿宋_GB2312"/>
          <w:sz w:val="32"/>
          <w:szCs w:val="32"/>
          <w:lang w:eastAsia="zh-CN"/>
        </w:rPr>
        <w:t>本部门</w:t>
      </w:r>
      <w:r>
        <w:rPr>
          <w:rFonts w:hint="eastAsia" w:ascii="仿宋_GB2312" w:hAnsi="宋体" w:eastAsia="仿宋_GB2312"/>
          <w:sz w:val="32"/>
          <w:szCs w:val="32"/>
        </w:rPr>
        <w:t>绩效自评项目共</w:t>
      </w:r>
      <w:r>
        <w:rPr>
          <w:rFonts w:hint="eastAsia" w:ascii="仿宋_GB2312" w:hAnsi="宋体" w:eastAsia="仿宋_GB2312"/>
          <w:sz w:val="32"/>
          <w:szCs w:val="32"/>
          <w:lang w:val="en-US" w:eastAsia="zh-CN"/>
        </w:rPr>
        <w:t>2</w:t>
      </w:r>
      <w:r>
        <w:rPr>
          <w:rFonts w:hint="eastAsia" w:ascii="仿宋_GB2312" w:hAnsi="宋体" w:eastAsia="仿宋_GB2312"/>
          <w:sz w:val="32"/>
          <w:szCs w:val="32"/>
        </w:rPr>
        <w:t>个，其中</w:t>
      </w:r>
      <w:r>
        <w:rPr>
          <w:rFonts w:hint="eastAsia" w:ascii="仿宋_GB2312" w:hAnsi="仿宋" w:eastAsia="仿宋_GB2312"/>
          <w:sz w:val="32"/>
          <w:szCs w:val="32"/>
        </w:rPr>
        <w:t>评价等级为“优”项目</w:t>
      </w:r>
      <w:r>
        <w:rPr>
          <w:rFonts w:hint="eastAsia" w:ascii="仿宋_GB2312" w:hAnsi="仿宋" w:eastAsia="仿宋_GB2312"/>
          <w:sz w:val="32"/>
          <w:szCs w:val="32"/>
          <w:lang w:val="en-US" w:eastAsia="zh-CN"/>
        </w:rPr>
        <w:t>2</w:t>
      </w:r>
      <w:r>
        <w:rPr>
          <w:rFonts w:hint="eastAsia" w:ascii="仿宋_GB2312" w:hAnsi="仿宋" w:eastAsia="仿宋_GB2312"/>
          <w:sz w:val="32"/>
          <w:szCs w:val="32"/>
        </w:rPr>
        <w:t>个，评优率为</w:t>
      </w:r>
      <w:r>
        <w:rPr>
          <w:rFonts w:hint="eastAsia" w:ascii="仿宋_GB2312" w:hAnsi="仿宋" w:eastAsia="仿宋_GB2312"/>
          <w:sz w:val="32"/>
          <w:szCs w:val="32"/>
          <w:lang w:val="en-US" w:eastAsia="zh-CN"/>
        </w:rPr>
        <w:t>100%</w:t>
      </w:r>
      <w:r>
        <w:rPr>
          <w:rFonts w:hint="eastAsia" w:ascii="仿宋_GB2312" w:hAnsi="仿宋" w:eastAsia="仿宋_GB2312"/>
          <w:sz w:val="32"/>
          <w:szCs w:val="32"/>
        </w:rPr>
        <w:t>。</w:t>
      </w:r>
      <w:r>
        <w:rPr>
          <w:rFonts w:hint="eastAsia" w:ascii="仿宋_GB2312" w:hAnsi="宋体" w:eastAsia="仿宋_GB2312"/>
          <w:sz w:val="32"/>
          <w:szCs w:val="32"/>
        </w:rPr>
        <w:t>详见</w:t>
      </w:r>
      <w:r>
        <w:rPr>
          <w:rFonts w:hint="eastAsia" w:ascii="仿宋_GB2312" w:hAnsi="宋体" w:eastAsia="仿宋_GB2312"/>
          <w:sz w:val="32"/>
          <w:szCs w:val="32"/>
          <w:lang w:val="en-US" w:eastAsia="zh-CN"/>
        </w:rPr>
        <w:t>下</w:t>
      </w:r>
      <w:r>
        <w:rPr>
          <w:rFonts w:hint="eastAsia" w:ascii="仿宋_GB2312" w:hAnsi="宋体" w:eastAsia="仿宋_GB2312"/>
          <w:sz w:val="32"/>
          <w:szCs w:val="32"/>
        </w:rPr>
        <w:t>表。</w:t>
      </w:r>
    </w:p>
    <w:p>
      <w:pPr>
        <w:pageBreakBefore w:val="0"/>
        <w:widowControl w:val="0"/>
        <w:kinsoku/>
        <w:wordWrap/>
        <w:overflowPunct/>
        <w:topLinePunct w:val="0"/>
        <w:bidi w:val="0"/>
        <w:adjustRightInd/>
        <w:snapToGrid w:val="0"/>
        <w:spacing w:before="0" w:after="0" w:line="620" w:lineRule="exact"/>
        <w:ind w:left="0" w:leftChars="0" w:right="0" w:rightChars="0" w:firstLine="640" w:firstLineChars="200"/>
        <w:textAlignment w:val="auto"/>
        <w:outlineLvl w:val="9"/>
        <w:rPr>
          <w:rFonts w:hint="eastAsia" w:ascii="仿宋_GB2312" w:hAnsi="宋体" w:eastAsia="仿宋_GB2312"/>
          <w:sz w:val="32"/>
          <w:szCs w:val="32"/>
        </w:rPr>
      </w:pPr>
    </w:p>
    <w:p>
      <w:pPr>
        <w:wordWrap/>
        <w:adjustRightInd/>
        <w:snapToGrid w:val="0"/>
        <w:spacing w:before="0" w:after="0" w:line="360" w:lineRule="auto"/>
        <w:ind w:left="-105" w:leftChars="-50" w:right="-105" w:rightChars="-50"/>
        <w:jc w:val="center"/>
        <w:textAlignment w:val="auto"/>
        <w:outlineLvl w:val="9"/>
        <w:rPr>
          <w:rFonts w:ascii="仿宋_GB2312" w:hAnsi="宋体" w:eastAsia="仿宋_GB2312"/>
          <w:b/>
          <w:sz w:val="32"/>
          <w:szCs w:val="32"/>
        </w:rPr>
      </w:pPr>
      <w:r>
        <w:rPr>
          <w:rFonts w:hint="eastAsia" w:ascii="仿宋_GB2312" w:hAnsi="宋体" w:eastAsia="仿宋_GB2312"/>
          <w:b/>
          <w:sz w:val="32"/>
          <w:szCs w:val="32"/>
          <w:lang w:val="en-US" w:eastAsia="zh-CN"/>
        </w:rPr>
        <w:t>石家庄市鹿泉区水利局部门</w:t>
      </w:r>
      <w:r>
        <w:rPr>
          <w:rFonts w:hint="eastAsia" w:ascii="仿宋_GB2312" w:hAnsi="宋体" w:eastAsia="仿宋_GB2312"/>
          <w:b/>
          <w:sz w:val="32"/>
          <w:szCs w:val="32"/>
        </w:rPr>
        <w:t>绩效自评结果统计表</w:t>
      </w:r>
    </w:p>
    <w:tbl>
      <w:tblPr>
        <w:tblStyle w:val="5"/>
        <w:tblW w:w="823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63"/>
        <w:gridCol w:w="5515"/>
        <w:gridCol w:w="1000"/>
        <w:gridCol w:w="9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8"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序号</w:t>
            </w:r>
          </w:p>
        </w:tc>
        <w:tc>
          <w:tcPr>
            <w:tcW w:w="5515"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项目名称</w:t>
            </w:r>
          </w:p>
        </w:tc>
        <w:tc>
          <w:tcPr>
            <w:tcW w:w="100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自评得分</w:t>
            </w:r>
          </w:p>
        </w:tc>
        <w:tc>
          <w:tcPr>
            <w:tcW w:w="96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评价等级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石家庄市鹿泉区2019年中央财政补助农村饮水工程维修养护</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lang w:val="en-US" w:eastAsia="zh-CN"/>
              </w:rPr>
              <w:t>92</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2019年鹿泉区节水型社会达标建设节水载体补助项目</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仿宋_GB2312" w:eastAsia="仿宋_GB2312" w:cs="仿宋_GB2312"/>
                <w:kern w:val="0"/>
                <w:sz w:val="22"/>
                <w:szCs w:val="22"/>
                <w:lang w:val="en-US" w:eastAsia="zh-CN"/>
              </w:rPr>
            </w:pPr>
            <w:r>
              <w:rPr>
                <w:rFonts w:hint="eastAsia" w:ascii="仿宋_GB2312" w:hAnsi="仿宋_GB2312" w:eastAsia="仿宋_GB2312" w:cs="仿宋_GB2312"/>
                <w:kern w:val="0"/>
                <w:sz w:val="22"/>
                <w:szCs w:val="22"/>
                <w:lang w:val="en-US" w:eastAsia="zh-CN"/>
              </w:rPr>
              <w:t>100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bl>
    <w:p>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本部门</w:t>
      </w:r>
      <w:r>
        <w:rPr>
          <w:rFonts w:hint="eastAsia" w:ascii="仿宋_GB2312" w:hAnsi="仿宋_GB2312" w:eastAsia="仿宋_GB2312" w:cs="仿宋_GB2312"/>
          <w:sz w:val="32"/>
          <w:szCs w:val="32"/>
        </w:rPr>
        <w:t>在今年部门决算公开中反映 石家庄市鹿泉区2019年中央财政补助农村饮水工程维修养护项目及2019年鹿泉区节水型社会达标建设节水载体补助项目 项目等</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个项目绩效自评结果。</w:t>
      </w:r>
    </w:p>
    <w:p>
      <w:pPr>
        <w:numPr>
          <w:ilvl w:val="0"/>
          <w:numId w:val="4"/>
        </w:num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石家庄市鹿泉区2019年中央财政补助农村饮水工程维修养护项目自评综述：根据年初设定的绩效目标， 石家庄市鹿泉区2019年中央财政补助农村饮水工程维修养护项目绩效自评得分为</w:t>
      </w:r>
      <w:r>
        <w:rPr>
          <w:rFonts w:hint="eastAsia" w:ascii="仿宋_GB2312" w:hAnsi="仿宋_GB2312" w:eastAsia="仿宋_GB2312" w:cs="仿宋_GB2312"/>
          <w:sz w:val="32"/>
          <w:szCs w:val="32"/>
          <w:lang w:val="en-US" w:eastAsia="zh-CN"/>
        </w:rPr>
        <w:t>92</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52.00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52.00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。项目绩效目标完成情况：程实施后，可进一步改善当地群众的饮水状况，提高生活质量，促进当地社会经济可持续发展。发现的主要问题及原因：</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w:t>
      </w:r>
    </w:p>
    <w:p>
      <w:pPr>
        <w:numPr>
          <w:ilvl w:val="0"/>
          <w:numId w:val="4"/>
        </w:numPr>
        <w:spacing w:line="560" w:lineRule="exact"/>
        <w:ind w:left="0" w:leftChars="0"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2019年鹿泉区节水型社会达标建设节水载体补助项目项目自评综述：根据年初设定的绩效目标， 2019年鹿泉区节水型社会达标建设节水载体补助项目项目绩效自评得分为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黑体" w:eastAsia="仿宋_GB2312"/>
          <w:sz w:val="32"/>
          <w:szCs w:val="32"/>
          <w:lang w:val="en-US" w:eastAsia="zh-CN"/>
        </w:rPr>
        <w:t>共完成11家节水小区、8家节水企业、4家节水机构的节水载体补助资金发放。</w:t>
      </w: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w:t>
      </w:r>
    </w:p>
    <w:p>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lang w:eastAsia="zh-CN"/>
        </w:rPr>
        <w:t>本部门</w:t>
      </w:r>
      <w:r>
        <w:rPr>
          <w:rFonts w:hint="eastAsia" w:ascii="仿宋_GB2312" w:hAnsi="仿宋_GB2312" w:eastAsia="仿宋_GB2312" w:cs="仿宋_GB2312"/>
          <w:sz w:val="32"/>
          <w:szCs w:val="32"/>
        </w:rPr>
        <w:t>2020年度机关运行经费支出</w:t>
      </w:r>
      <w:r>
        <w:rPr>
          <w:rFonts w:hint="eastAsia" w:ascii="仿宋_GB2312" w:hAnsi="仿宋_GB2312" w:eastAsia="仿宋_GB2312" w:cs="仿宋_GB2312"/>
          <w:sz w:val="32"/>
          <w:szCs w:val="32"/>
          <w:lang w:val="en-US" w:eastAsia="zh-CN"/>
        </w:rPr>
        <w:t>6.10</w:t>
      </w:r>
      <w:r>
        <w:rPr>
          <w:rFonts w:hint="eastAsia" w:ascii="仿宋_GB2312" w:hAnsi="仿宋_GB2312" w:eastAsia="仿宋_GB2312" w:cs="仿宋_GB2312"/>
          <w:sz w:val="32"/>
          <w:szCs w:val="32"/>
        </w:rPr>
        <w:t>万元，比2019年度减少</w:t>
      </w:r>
      <w:r>
        <w:rPr>
          <w:rFonts w:hint="eastAsia" w:ascii="仿宋_GB2312" w:hAnsi="仿宋_GB2312" w:eastAsia="仿宋_GB2312" w:cs="仿宋_GB2312"/>
          <w:sz w:val="32"/>
          <w:szCs w:val="32"/>
          <w:lang w:val="en-US" w:eastAsia="zh-CN"/>
        </w:rPr>
        <w:t>1.20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val="en-US" w:eastAsia="zh-CN"/>
        </w:rPr>
        <w:t>下</w:t>
      </w:r>
      <w:r>
        <w:rPr>
          <w:rFonts w:hint="eastAsia" w:ascii="仿宋_GB2312" w:hAnsi="仿宋_GB2312" w:eastAsia="仿宋_GB2312" w:cs="仿宋_GB2312"/>
          <w:sz w:val="32"/>
          <w:szCs w:val="32"/>
        </w:rPr>
        <w:t>降</w:t>
      </w:r>
      <w:r>
        <w:rPr>
          <w:rFonts w:hint="eastAsia" w:ascii="仿宋_GB2312" w:hAnsi="仿宋_GB2312" w:eastAsia="仿宋_GB2312" w:cs="仿宋_GB2312"/>
          <w:sz w:val="32"/>
          <w:szCs w:val="32"/>
          <w:lang w:val="en-US" w:eastAsia="zh-CN"/>
        </w:rPr>
        <w:t>13.7</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主要是严格贯彻落实党和政府“过紧日子”要求，压缩“三公”经费费等非急需非刚性支出。</w:t>
      </w:r>
    </w:p>
    <w:p>
      <w:pPr>
        <w:keepNext/>
        <w:keepLines/>
        <w:snapToGrid w:val="0"/>
        <w:spacing w:line="60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八、政府采购情况</w:t>
      </w:r>
    </w:p>
    <w:p>
      <w:pPr>
        <w:snapToGrid w:val="0"/>
        <w:spacing w:line="600" w:lineRule="exact"/>
        <w:ind w:firstLine="640" w:firstLineChars="200"/>
        <w:jc w:val="both"/>
        <w:rPr>
          <w:rFonts w:hint="eastAsia" w:ascii="仿宋_GB2312" w:hAnsi="仿宋_GB2312" w:eastAsia="仿宋_GB2312" w:cs="仿宋_GB2312"/>
          <w:color w:val="000000"/>
          <w:kern w:val="0"/>
          <w:sz w:val="32"/>
          <w:szCs w:val="32"/>
          <w:lang w:bidi="ar"/>
        </w:rPr>
      </w:pPr>
      <w:r>
        <w:rPr>
          <w:rFonts w:hint="eastAsia" w:ascii="仿宋_GB2312" w:hAnsi="仿宋_GB2312" w:eastAsia="仿宋_GB2312" w:cs="仿宋_GB2312"/>
          <w:sz w:val="32"/>
          <w:szCs w:val="32"/>
          <w:lang w:eastAsia="zh-CN"/>
        </w:rPr>
        <w:t>本部门</w:t>
      </w:r>
      <w:r>
        <w:rPr>
          <w:rFonts w:hint="eastAsia" w:ascii="仿宋_GB2312" w:hAnsi="仿宋_GB2312" w:eastAsia="仿宋_GB2312" w:cs="仿宋_GB2312"/>
          <w:sz w:val="32"/>
          <w:szCs w:val="32"/>
        </w:rPr>
        <w:t>2020年度政府采购支出总额</w:t>
      </w:r>
      <w:r>
        <w:rPr>
          <w:rFonts w:hint="eastAsia" w:ascii="仿宋_GB2312" w:hAnsi="仿宋_GB2312" w:eastAsia="仿宋_GB2312" w:cs="仿宋_GB2312"/>
          <w:sz w:val="32"/>
          <w:szCs w:val="32"/>
          <w:lang w:val="en-US" w:eastAsia="zh-CN"/>
        </w:rPr>
        <w:t>22281.2</w:t>
      </w:r>
      <w:r>
        <w:rPr>
          <w:rFonts w:hint="eastAsia" w:ascii="仿宋_GB2312" w:hAnsi="仿宋_GB2312" w:eastAsia="仿宋_GB2312" w:cs="仿宋_GB2312"/>
          <w:sz w:val="32"/>
          <w:szCs w:val="32"/>
        </w:rPr>
        <w:t>万元，从采购类型来看，</w:t>
      </w:r>
      <w:r>
        <w:rPr>
          <w:rFonts w:hint="eastAsia"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11.80</w:t>
      </w:r>
      <w:r>
        <w:rPr>
          <w:rFonts w:hint="eastAsia"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10.00</w:t>
      </w:r>
      <w:r>
        <w:rPr>
          <w:rFonts w:hint="eastAsia" w:ascii="仿宋_GB2312" w:hAnsi="仿宋_GB2312" w:eastAsia="仿宋_GB2312" w:cs="仿宋_GB2312"/>
          <w:color w:val="000000"/>
          <w:kern w:val="0"/>
          <w:sz w:val="32"/>
          <w:szCs w:val="32"/>
          <w:lang w:bidi="ar"/>
        </w:rPr>
        <w:t>万元</w:t>
      </w:r>
      <w:r>
        <w:rPr>
          <w:rFonts w:hint="eastAsia" w:ascii="仿宋_GB2312" w:hAnsi="仿宋_GB2312" w:eastAsia="仿宋_GB2312" w:cs="仿宋_GB2312"/>
          <w:color w:val="000000"/>
          <w:kern w:val="0"/>
          <w:sz w:val="32"/>
          <w:szCs w:val="32"/>
          <w:lang w:eastAsia="zh-CN" w:bidi="ar"/>
        </w:rPr>
        <w:t>、</w:t>
      </w:r>
      <w:r>
        <w:rPr>
          <w:rFonts w:hint="eastAsia" w:ascii="仿宋_GB2312" w:hAnsi="仿宋_GB2312" w:eastAsia="仿宋_GB2312" w:cs="仿宋_GB2312"/>
          <w:color w:val="000000"/>
          <w:kern w:val="0"/>
          <w:sz w:val="32"/>
          <w:szCs w:val="32"/>
          <w:lang w:bidi="ar"/>
        </w:rPr>
        <w:t>政府采购</w:t>
      </w:r>
      <w:r>
        <w:rPr>
          <w:rFonts w:hint="eastAsia" w:ascii="仿宋_GB2312" w:hAnsi="仿宋_GB2312" w:eastAsia="仿宋_GB2312" w:cs="仿宋_GB2312"/>
          <w:color w:val="000000"/>
          <w:kern w:val="0"/>
          <w:sz w:val="32"/>
          <w:szCs w:val="32"/>
          <w:lang w:eastAsia="zh-CN" w:bidi="ar"/>
        </w:rPr>
        <w:t>工程</w:t>
      </w:r>
      <w:r>
        <w:rPr>
          <w:rFonts w:hint="eastAsia" w:ascii="仿宋_GB2312" w:hAnsi="仿宋_GB2312" w:eastAsia="仿宋_GB2312" w:cs="仿宋_GB2312"/>
          <w:color w:val="000000"/>
          <w:kern w:val="0"/>
          <w:sz w:val="32"/>
          <w:szCs w:val="32"/>
          <w:lang w:bidi="ar"/>
        </w:rPr>
        <w:t>支出</w:t>
      </w:r>
      <w:r>
        <w:rPr>
          <w:rFonts w:hint="eastAsia" w:ascii="仿宋_GB2312" w:hAnsi="仿宋_GB2312" w:eastAsia="仿宋_GB2312" w:cs="仿宋_GB2312"/>
          <w:color w:val="000000"/>
          <w:kern w:val="0"/>
          <w:sz w:val="32"/>
          <w:szCs w:val="32"/>
          <w:lang w:val="en-US" w:eastAsia="zh-CN" w:bidi="ar"/>
        </w:rPr>
        <w:t>20690.50万元，</w:t>
      </w:r>
      <w:r>
        <w:rPr>
          <w:rFonts w:hint="eastAsia" w:ascii="仿宋_GB2312" w:hAnsi="仿宋_GB2312" w:eastAsia="仿宋_GB2312" w:cs="仿宋_GB2312"/>
          <w:color w:val="000000"/>
          <w:kern w:val="0"/>
          <w:sz w:val="32"/>
          <w:szCs w:val="32"/>
          <w:lang w:bidi="ar"/>
        </w:rPr>
        <w:t>授予中小企业合同金</w:t>
      </w:r>
      <w:r>
        <w:rPr>
          <w:rFonts w:hint="eastAsia" w:ascii="仿宋_GB2312" w:hAnsi="仿宋_GB2312" w:eastAsia="仿宋_GB2312" w:cs="仿宋_GB2312"/>
          <w:color w:val="000000"/>
          <w:kern w:val="0"/>
          <w:sz w:val="32"/>
          <w:szCs w:val="32"/>
          <w:lang w:val="en-US" w:eastAsia="zh-CN" w:bidi="ar"/>
        </w:rPr>
        <w:t>额3595.90</w:t>
      </w:r>
      <w:r>
        <w:rPr>
          <w:rFonts w:hint="eastAsia"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16.5</w:t>
      </w:r>
      <w:r>
        <w:rPr>
          <w:rFonts w:hint="eastAsia"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18251.40</w:t>
      </w:r>
      <w:r>
        <w:rPr>
          <w:rFonts w:hint="eastAsia"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83.5</w:t>
      </w:r>
      <w:r>
        <w:rPr>
          <w:rFonts w:hint="eastAsia" w:ascii="仿宋_GB2312" w:hAnsi="仿宋_GB2312" w:eastAsia="仿宋_GB2312" w:cs="仿宋_GB2312"/>
          <w:color w:val="000000"/>
          <w:kern w:val="0"/>
          <w:sz w:val="32"/>
          <w:szCs w:val="32"/>
          <w:lang w:bidi="ar"/>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pPr>
        <w:adjustRightInd w:val="0"/>
        <w:snapToGrid w:val="0"/>
        <w:spacing w:line="60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截至2020年12月31日，</w:t>
      </w:r>
      <w:r>
        <w:rPr>
          <w:rFonts w:hint="eastAsia" w:ascii="仿宋_GB2312" w:hAnsi="仿宋_GB2312" w:eastAsia="仿宋_GB2312" w:cs="仿宋_GB2312"/>
          <w:sz w:val="32"/>
          <w:szCs w:val="32"/>
          <w:lang w:eastAsia="zh-CN"/>
        </w:rPr>
        <w:t>本部门</w:t>
      </w:r>
      <w:r>
        <w:rPr>
          <w:rFonts w:hint="eastAsia" w:ascii="仿宋_GB2312" w:hAnsi="仿宋_GB2312" w:eastAsia="仿宋_GB2312" w:cs="仿宋_GB2312"/>
          <w:sz w:val="32"/>
          <w:szCs w:val="32"/>
        </w:rPr>
        <w:t>共有车辆</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辆，</w:t>
      </w:r>
      <w:r>
        <w:rPr>
          <w:rFonts w:hint="eastAsia" w:ascii="仿宋_GB2312" w:hAnsi="仿宋_GB2312" w:eastAsia="仿宋_GB2312" w:cs="仿宋_GB2312"/>
          <w:sz w:val="32"/>
          <w:szCs w:val="32"/>
          <w:lang w:val="en-US" w:eastAsia="zh-CN"/>
        </w:rPr>
        <w:t>与上年持平</w:t>
      </w:r>
      <w:r>
        <w:rPr>
          <w:rFonts w:hint="eastAsia" w:ascii="仿宋_GB2312" w:hAnsi="仿宋_GB2312" w:eastAsia="仿宋_GB2312" w:cs="仿宋_GB2312"/>
          <w:sz w:val="32"/>
          <w:szCs w:val="32"/>
        </w:rPr>
        <w:t>。其中主要领导干部用车</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辆，应急保障用车</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辆，离退休干部用车</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辆</w:t>
      </w:r>
      <w:r>
        <w:rPr>
          <w:rFonts w:hint="eastAsia" w:ascii="仿宋_GB2312" w:hAnsi="仿宋_GB2312" w:eastAsia="仿宋_GB2312" w:cs="仿宋_GB2312"/>
          <w:sz w:val="32"/>
          <w:szCs w:val="32"/>
          <w:lang w:eastAsia="zh-CN"/>
        </w:rPr>
        <w:t>。</w:t>
      </w:r>
    </w:p>
    <w:p>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lang w:val="en-US" w:eastAsia="zh-CN"/>
        </w:rPr>
        <w:t>本部门没有</w:t>
      </w:r>
      <w:r>
        <w:rPr>
          <w:rFonts w:hint="eastAsia" w:ascii="仿宋_GB2312" w:hAnsi="仿宋_GB2312" w:eastAsia="仿宋_GB2312" w:cs="仿宋_GB2312"/>
          <w:sz w:val="32"/>
          <w:szCs w:val="32"/>
        </w:rPr>
        <w:t>单位价值50万元以上通用设备</w:t>
      </w:r>
      <w:r>
        <w:rPr>
          <w:rFonts w:hint="eastAsia" w:ascii="仿宋_GB2312" w:hAnsi="仿宋_GB2312" w:eastAsia="仿宋_GB2312" w:cs="仿宋_GB2312"/>
          <w:sz w:val="32"/>
          <w:szCs w:val="32"/>
          <w:lang w:val="en-US" w:eastAsia="zh-CN"/>
        </w:rPr>
        <w:t>及</w:t>
      </w:r>
      <w:r>
        <w:rPr>
          <w:rFonts w:hint="eastAsia" w:ascii="仿宋_GB2312" w:hAnsi="仿宋_GB2312" w:eastAsia="仿宋_GB2312" w:cs="仿宋_GB2312"/>
          <w:sz w:val="32"/>
          <w:szCs w:val="32"/>
        </w:rPr>
        <w:t>单位价值100万元以上专用设备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与上年持平</w:t>
      </w:r>
      <w:r>
        <w:rPr>
          <w:rFonts w:hint="eastAsia" w:ascii="仿宋_GB2312" w:hAnsi="仿宋_GB2312" w:eastAsia="仿宋_GB2312" w:cs="仿宋_GB2312"/>
          <w:sz w:val="32"/>
          <w:szCs w:val="32"/>
        </w:rPr>
        <w:t>。</w:t>
      </w:r>
    </w:p>
    <w:p>
      <w:pPr>
        <w:keepNext/>
        <w:keepLines/>
        <w:snapToGrid w:val="0"/>
        <w:spacing w:line="600" w:lineRule="exact"/>
        <w:ind w:firstLine="640" w:firstLineChars="200"/>
        <w:outlineLvl w:val="2"/>
        <w:rPr>
          <w:rFonts w:ascii="黑体" w:hAnsi="黑体" w:eastAsia="黑体" w:cs="黑体"/>
          <w:sz w:val="32"/>
          <w:szCs w:val="32"/>
          <w:highlight w:val="none"/>
        </w:rPr>
      </w:pPr>
      <w:r>
        <w:rPr>
          <w:rFonts w:hint="eastAsia" w:ascii="黑体" w:hAnsi="黑体" w:eastAsia="黑体" w:cs="黑体"/>
          <w:sz w:val="32"/>
          <w:szCs w:val="32"/>
          <w:highlight w:val="none"/>
        </w:rPr>
        <w:t>十、其他需要说明的情况</w:t>
      </w:r>
    </w:p>
    <w:p>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由于决算公开表格中金额数值应当保留两位小数，公开数据为四舍五入计算结果，个别数据合计项与分项之和存在小数点后差额，特此说明。</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br w:type="page"/>
      </w:r>
    </w:p>
    <w:p>
      <w:pPr>
        <w:adjustRightInd w:val="0"/>
        <w:snapToGrid w:val="0"/>
        <w:spacing w:line="600" w:lineRule="exact"/>
        <w:ind w:firstLine="640" w:firstLineChars="200"/>
        <w:rPr>
          <w:rFonts w:hint="eastAsia" w:ascii="仿宋_GB2312" w:hAnsi="仿宋_GB2312" w:eastAsia="仿宋_GB2312" w:cs="仿宋_GB2312"/>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r>
        <w:rPr>
          <w:sz w:val="72"/>
        </w:rPr>
        <mc:AlternateContent>
          <mc:Choice Requires="wps">
            <w:drawing>
              <wp:anchor distT="0" distB="0" distL="114300" distR="114300" simplePos="0" relativeHeight="251661312" behindDoc="0" locked="0" layoutInCell="1" allowOverlap="1">
                <wp:simplePos x="0" y="0"/>
                <wp:positionH relativeFrom="column">
                  <wp:posOffset>-1022350</wp:posOffset>
                </wp:positionH>
                <wp:positionV relativeFrom="paragraph">
                  <wp:posOffset>201930</wp:posOffset>
                </wp:positionV>
                <wp:extent cx="7793355" cy="3341370"/>
                <wp:effectExtent l="4445" t="4445" r="508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6350">
                          <a:solidFill>
                            <a:schemeClr val="bg1">
                              <a:lumMod val="50000"/>
                            </a:schemeClr>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5pt;margin-top:15.9pt;height:263.1pt;width:613.65pt;z-index:251661312;v-text-anchor:middle;mso-width-relative:page;mso-height-relative:page;" fillcolor="#7F7F7F [1612]" filled="t" stroked="t" coordsize="21600,21600" o:gfxdata="UEsDBAoAAAAAAIdO4kAAAAAAAAAAAAAAAAAEAAAAZHJzL1BLAwQUAAAACACHTuJA//SNPtkAAAAM&#10;AQAADwAAAGRycy9kb3ducmV2LnhtbE2Py07DMBBF90j9B2sqsWvtUDVUIZMuKko3sCCleyeePIQf&#10;ke0++HvcFSxHc3XvOeX2ZjS7kA+jswjZUgAj2zo12h7h67hfbICFKK2S2llC+KEA22r2UMpCuav9&#10;pEsde5ZKbCgkwhDjVHAe2oGMDEs3kU2/znkjYzp9z5WX11RuNH8SIudGjjYtDHKi3UDtd302CN1e&#10;H5vu9e10eHfdsz75j3p3iIiP80y8AIt0i39huOMndKgSU+POVgWmERZZniWZiLDKksM9IfJ8BaxB&#10;WK83AnhV8v8S1S9QSwMEFAAAAAgAh07iQPgymRhsAgAA/gQAAA4AAABkcnMvZTJvRG9jLnhtbK1U&#10;zW4TMRC+I/EOlu90kyZp2qibKrQKQiq0UkGcHa+drOQ/bCe75QHoG3Diwp3n6nPw2dmkEfQE7Ere&#10;8cy345n5Znx+0WpFNsKH2pqS9o96lAjDbVWbZUk/fpi/OqUkRGYqpqwRJb0XgV5MX744b9xEHNuV&#10;VZXwBE5MmDSupKsY3aQoAl8JzcKRdcLAKK3XLGLrl0XlWQPvWhXHvd5J0VhfOW+5CAHaq62RTrN/&#10;KQWPN1IGEYkqKWKLefV5XaS1mJ6zydIzt6p5Fwb7iyg0qw0O3bu6YpGRta//cKVr7m2wMh5xqwsr&#10;Zc1FzgHZ9Hu/ZXO3Yk7kXFCc4PZlCv/PLX+/ufWkrsDdKagyTIOkx28Pj99/Pv74SpISJWpcmAB5&#10;54CN7WvbAr7TByhT5q30On2RE4Edxb7fF1i0kXAox+OzwWA0ooTDNhgM+4NxpqB4+t35EN8Iq0kS&#10;SurBYC4s21yHiFAA3UHSaY7FOK+V6uCOx1GGy+WlymEFv1xAJBuGDhjP05sBaq3f2WqrHvXwpHzg&#10;vMNnee9k8ay3eX66/zpICq8LKYWnDGlKejIY9fKhwaq6SuEm279EduAIJyqDcBNHWy6SFNtF2xG3&#10;sNU9ePN22/zB8XmN2l6zEG+ZR7eDKkxwvMEilUW8tpMoWVn/5Tl9wqMJYaWkwfSUNHxeMy8oUW8N&#10;2vOsPxymccub4Wh8jI0/tCwOLWatLy3o6eOucDyLCR/VTpTe6k8Y9Fk6FSZmOM4uKY9+t7mM26nG&#10;VcHFbJZhGDGQcW3uHE/OU9GNna2jlXVupVSobXW6+mHIMvHdhZCm+HCfUU/X1vQX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3gQAAFtDb250ZW50&#10;X1R5cGVzXS54bWxQSwECFAAKAAAAAACHTuJAAAAAAAAAAAAAAAAABgAAAAAAAAAAABAAAADAAwAA&#10;X3JlbHMvUEsBAhQAFAAAAAgAh07iQIoUZjzRAAAAlAEAAAsAAAAAAAAAAQAgAAAA5AMAAF9yZWxz&#10;Ly5yZWxzUEsBAhQACgAAAAAAh07iQAAAAAAAAAAAAAAAAAQAAAAAAAAAAAAQAAAAAAAAAGRycy9Q&#10;SwECFAAUAAAACACHTuJA//SNPtkAAAAMAQAADwAAAAAAAAABACAAAAAiAAAAZHJzL2Rvd25yZXYu&#10;eG1sUEsBAhQAFAAAAAgAh07iQPgymRhsAgAA/gQAAA4AAAAAAAAAAQAgAAAAKAEAAGRycy9lMm9E&#10;b2MueG1sUEsFBgAAAAAGAAYAWQEAAAYGAAAAAA==&#10;">
                <v:fill type="pattern" on="t" color2="#FFFFFF [3212]" focussize="0,0" r:id="rId10"/>
                <v:stroke weight="0.5pt" color="#7F7F7F [1612]"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rPr>
          <w:rFonts w:hint="eastAsia" w:ascii="仿宋_GB2312" w:hAnsi="宋体" w:eastAsia="仿宋_GB2312" w:cs="Arial Black"/>
          <w:sz w:val="32"/>
          <w:szCs w:val="32"/>
          <w:highlight w:val="yellow"/>
        </w:rPr>
        <w:br w:type="page"/>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填列单位除公务用车外的其他各类交通工具（如船舶、飞机等）购置支出（含车辆购置税、牌修改照费）。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rPr>
          <w:rFonts w:ascii="Times New Roman" w:hAnsi="Times New Roman" w:eastAsia="黑体" w:cs="Times New Roman"/>
          <w:sz w:val="32"/>
          <w:szCs w:val="32"/>
        </w:rPr>
        <w:sectPr>
          <w:headerReference r:id="rId8" w:type="default"/>
          <w:pgSz w:w="11906" w:h="16838"/>
          <w:pgMar w:top="2098" w:right="1531" w:bottom="1984" w:left="1531" w:header="851" w:footer="992" w:gutter="0"/>
          <w:pgNumType w:fmt="numberInDash"/>
          <w:cols w:space="0" w:num="1"/>
          <w:titlePg/>
          <w:docGrid w:type="lines" w:linePitch="312" w:charSpace="0"/>
        </w:sectPr>
      </w:pPr>
      <w:r>
        <w:rPr>
          <w:rFonts w:ascii="Times New Roman" w:hAnsi="Times New Roman" w:eastAsia="黑体" w:cs="Times New Roman"/>
          <w:sz w:val="32"/>
          <w:szCs w:val="32"/>
        </w:rPr>
        <w:br w:type="page"/>
      </w:r>
    </w:p>
    <w:p>
      <w:pPr>
        <w:rPr>
          <w:sz w:val="72"/>
        </w:rPr>
      </w:pPr>
      <w:r>
        <w:rPr>
          <w:sz w:val="72"/>
        </w:rPr>
        <mc:AlternateContent>
          <mc:Choice Requires="wps">
            <w:drawing>
              <wp:anchor distT="0" distB="0" distL="114300" distR="114300" simplePos="0" relativeHeight="251665408" behindDoc="0" locked="0" layoutInCell="1" allowOverlap="1">
                <wp:simplePos x="0" y="0"/>
                <wp:positionH relativeFrom="column">
                  <wp:posOffset>-1027430</wp:posOffset>
                </wp:positionH>
                <wp:positionV relativeFrom="paragraph">
                  <wp:posOffset>1151255</wp:posOffset>
                </wp:positionV>
                <wp:extent cx="7793355" cy="3341370"/>
                <wp:effectExtent l="6350" t="6350" r="18415" b="20320"/>
                <wp:wrapNone/>
                <wp:docPr id="1" name="文本框 1"/>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ysClr val="window" lastClr="FFFFFF">
                              <a:lumMod val="50000"/>
                            </a:sysClr>
                          </a:fgClr>
                          <a:bgClr>
                            <a:sysClr val="window" lastClr="FFFFFF"/>
                          </a:bgClr>
                        </a:pattFill>
                        <a:ln w="12700" cmpd="sng">
                          <a:solidFill>
                            <a:sysClr val="window" lastClr="FFFFFF">
                              <a:lumMod val="65000"/>
                            </a:sysClr>
                          </a:solidFill>
                          <a:prstDash val="solid"/>
                        </a:ln>
                        <a:effectLst/>
                      </wps:spPr>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pt;margin-top:90.65pt;height:263.1pt;width:613.65pt;z-index:251665408;v-text-anchor:middle;mso-width-relative:page;mso-height-relative:page;" fillcolor="#7F7F7F" filled="t" stroked="t" coordsize="21600,21600" o:gfxdata="UEsDBAoAAAAAAIdO4kAAAAAAAAAAAAAAAAAEAAAAZHJzL1BLAwQUAAAACACHTuJAA2EG49wAAAAN&#10;AQAADwAAAGRycy9kb3ducmV2LnhtbE2PPU/DMBiEdyT+g/UisaDWNihplMbpgADRqWqJBKMTu3FE&#10;/Dqy3a9/jzuV8XSnu+eq1dmO5Kh9GBwK4HMGRGPn1IC9gObrfVYACVGikqNDLeCiA6zq+7tKlsqd&#10;cKuPu9iTVIKhlAJMjFNJaeiMtjLM3aQxeXvnrYxJ+p4qL0+p3I70mbGcWjlgWjBy0q9Gd7+7gxXw&#10;/Tk1P0+b4mNtNtvmbV2E9uKDEI8PnC2BRH2OtzBc8RM61ImpdQdUgYwCZjzniT0mp+AvQK4RlmcZ&#10;kFbAgi0yoHVF/7+o/wBQSwMEFAAAAAgAh07iQMtdjk+LAgAAWwUAAA4AAABkcnMvZTJvRG9jLnht&#10;bK1UzW7UMBC+I/EOlu80+9ulq2arpdUipEIrFcTZ6zibSP7D9m6yPAC8AScu3HmuPgefnXRbKBcq&#10;cnDGnvHMfN/M+PSsVZLshPO10TkdHg0oEZqbotabnH54v3rxkhIfmC6YNFrkdC88PVs8f3ba2LkY&#10;mcrIQjgCJ9rPG5vTKgQ7zzLPK6GYPzJWaChL4xQL2LpNVjjWwLuS2WgwOM4a4wrrDBfe4/SiU9JF&#10;8l+WgoersvQiEJlT5BbS6tK6jmu2OGXzjWO2qnmfBntCForVGkEPri5YYGTr6keuVM2d8aYMR9yo&#10;zJRlzUXCADTDwR9obipmRcICcrw90OT/n1v+bnftSF2gdpRoplCi229fb7//vP3xhQwjPY31c1jd&#10;WNiF9pVpo2l/7nEYUbelU/EPPAR6EL0/kCvaQDgOZ7OT8Xg6pYRDNx5PhuNZoj+7v26dD6+FUSQK&#10;OXWoXiKV7S59QEiY3pnEaJaFsKql7M0tD9NkXm7OZUrL7z0ksmMoPnqmMA0lkvmAw5yu0pcuyK16&#10;a4rObjrAF/EhWHc/iQef639x3rnpr8Ts+4xj9lKTBlSOZghHuLIogdeblI83si4ismj3FBDHEcVj&#10;EL/5jUxeMF91sJOqvyF1jCvS9PTExyboih2l0K7bvgPWptijMZzpJstbvqrh+BIsXzOHUQI4PA/h&#10;CkspDRCbXqKkMu7z386jPTocWkoajCaI+bRlTqB4bzR6/2Q4mcRZTpvJdDbCxj3UrB9q9FadGzQA&#10;+hvZJTHaB3knls6oj3hFljEqVExzxM4pD+5ucx66JwPvEBfLZTLD/KKcl/rG8ug8UqbNchtMWade&#10;jUR17KCB4gYTnFqpf23iE/Fwn6zu38TFL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AAFAABbQ29udGVudF9UeXBlc10ueG1sUEsBAhQACgAAAAAA&#10;h07iQAAAAAAAAAAAAAAAAAYAAAAAAAAAAAAQAAAA4gMAAF9yZWxzL1BLAQIUABQAAAAIAIdO4kCK&#10;FGY80QAAAJQBAAALAAAAAAAAAAEAIAAAAAYEAABfcmVscy8ucmVsc1BLAQIUAAoAAAAAAIdO4kAA&#10;AAAAAAAAAAAAAAAEAAAAAAAAAAAAEAAAAAAAAABkcnMvUEsBAhQAFAAAAAgAh07iQANhBuPcAAAA&#10;DQEAAA8AAAAAAAAAAQAgAAAAIgAAAGRycy9kb3ducmV2LnhtbFBLAQIUABQAAAAIAIdO4kDLXY5P&#10;iwIAAFsFAAAOAAAAAAAAAAEAIAAAACsBAABkcnMvZTJvRG9jLnhtbFBLBQYAAAAABgAGAFkBAAAo&#10;BgAAAAA=&#10;">
                <v:fill type="pattern" on="t" color2="#FFFFFF" focussize="0,0" r:id="rId10"/>
                <v:stroke weight="1pt" color="#A6A6A6"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v:textbox>
              </v:shape>
            </w:pict>
          </mc:Fallback>
        </mc:AlternateContent>
      </w:r>
    </w:p>
    <w:p>
      <w:pPr>
        <w:bidi w:val="0"/>
        <w:rPr>
          <w:rFonts w:asciiTheme="minorHAnsi" w:hAnsiTheme="minorHAnsi" w:eastAsiaTheme="minorEastAsia" w:cstheme="minorBidi"/>
          <w:kern w:val="2"/>
          <w:sz w:val="21"/>
          <w:szCs w:val="24"/>
          <w:lang w:val="en-US" w:eastAsia="zh-CN" w:bidi="ar-SA"/>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rPr>
          <w:lang w:val="en-US" w:eastAsia="zh-CN"/>
        </w:rPr>
      </w:pPr>
      <w:r>
        <w:rPr>
          <w:lang w:val="en-US" w:eastAsia="zh-CN"/>
        </w:rPr>
        <w:br w:type="page"/>
      </w:r>
    </w:p>
    <w:tbl>
      <w:tblPr>
        <w:tblStyle w:val="5"/>
        <w:tblW w:w="10155" w:type="dxa"/>
        <w:tblInd w:w="0" w:type="dxa"/>
        <w:shd w:val="clear" w:color="auto" w:fill="auto"/>
        <w:tblLayout w:type="fixed"/>
        <w:tblCellMar>
          <w:top w:w="0" w:type="dxa"/>
          <w:left w:w="0" w:type="dxa"/>
          <w:bottom w:w="0" w:type="dxa"/>
          <w:right w:w="0" w:type="dxa"/>
        </w:tblCellMar>
      </w:tblPr>
      <w:tblGrid>
        <w:gridCol w:w="2805"/>
        <w:gridCol w:w="570"/>
        <w:gridCol w:w="1800"/>
        <w:gridCol w:w="3030"/>
        <w:gridCol w:w="570"/>
        <w:gridCol w:w="1380"/>
      </w:tblGrid>
      <w:tr>
        <w:tblPrEx>
          <w:shd w:val="clear" w:color="auto" w:fill="auto"/>
          <w:tblCellMar>
            <w:top w:w="0" w:type="dxa"/>
            <w:left w:w="0" w:type="dxa"/>
            <w:bottom w:w="0" w:type="dxa"/>
            <w:right w:w="0" w:type="dxa"/>
          </w:tblCellMar>
        </w:tblPrEx>
        <w:trPr>
          <w:trHeight w:val="420" w:hRule="atLeast"/>
        </w:trPr>
        <w:tc>
          <w:tcPr>
            <w:tcW w:w="2805" w:type="dxa"/>
            <w:tcBorders>
              <w:top w:val="nil"/>
              <w:left w:val="nil"/>
              <w:bottom w:val="nil"/>
              <w:right w:val="nil"/>
            </w:tcBorders>
            <w:shd w:val="clear" w:color="auto" w:fill="auto"/>
            <w:tcMar>
              <w:top w:w="15" w:type="dxa"/>
              <w:left w:w="15" w:type="dxa"/>
              <w:right w:w="15" w:type="dxa"/>
            </w:tcMar>
            <w:vAlign w:val="bottom"/>
          </w:tcPr>
          <w:p>
            <w:pPr>
              <w:rPr>
                <w:rFonts w:hint="eastAsia" w:ascii="Arial" w:hAnsi="Arial" w:cs="Arial"/>
                <w:i w:val="0"/>
                <w:color w:val="000000"/>
                <w:sz w:val="16"/>
                <w:szCs w:val="16"/>
                <w:u w:val="none"/>
              </w:rPr>
            </w:pPr>
          </w:p>
        </w:tc>
        <w:tc>
          <w:tcPr>
            <w:tcW w:w="57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80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8"/>
                <w:szCs w:val="18"/>
                <w:u w:val="none"/>
                <w:lang w:val="en-US" w:eastAsia="zh-CN" w:bidi="ar"/>
              </w:rPr>
              <w:t>收入支出决算总表</w:t>
            </w:r>
          </w:p>
        </w:tc>
        <w:tc>
          <w:tcPr>
            <w:tcW w:w="303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7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38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r>
      <w:tr>
        <w:tblPrEx>
          <w:tblCellMar>
            <w:top w:w="0" w:type="dxa"/>
            <w:left w:w="0" w:type="dxa"/>
            <w:bottom w:w="0" w:type="dxa"/>
            <w:right w:w="0" w:type="dxa"/>
          </w:tblCellMar>
        </w:tblPrEx>
        <w:trPr>
          <w:trHeight w:val="255" w:hRule="atLeast"/>
        </w:trPr>
        <w:tc>
          <w:tcPr>
            <w:tcW w:w="280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7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80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303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7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380"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公开01表</w:t>
            </w:r>
          </w:p>
        </w:tc>
      </w:tr>
      <w:tr>
        <w:tblPrEx>
          <w:tblCellMar>
            <w:top w:w="0" w:type="dxa"/>
            <w:left w:w="0" w:type="dxa"/>
            <w:bottom w:w="0" w:type="dxa"/>
            <w:right w:w="0" w:type="dxa"/>
          </w:tblCellMar>
        </w:tblPrEx>
        <w:trPr>
          <w:trHeight w:val="480" w:hRule="atLeast"/>
        </w:trPr>
        <w:tc>
          <w:tcPr>
            <w:tcW w:w="2805"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部门：石家庄市鹿泉区水利局（汇总）</w:t>
            </w:r>
          </w:p>
        </w:tc>
        <w:tc>
          <w:tcPr>
            <w:tcW w:w="57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80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303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7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380"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CellMar>
            <w:top w:w="0" w:type="dxa"/>
            <w:left w:w="0" w:type="dxa"/>
            <w:bottom w:w="0" w:type="dxa"/>
            <w:right w:w="0" w:type="dxa"/>
          </w:tblCellMar>
        </w:tblPrEx>
        <w:trPr>
          <w:trHeight w:val="308" w:hRule="atLeast"/>
        </w:trPr>
        <w:tc>
          <w:tcPr>
            <w:tcW w:w="5175" w:type="dxa"/>
            <w:gridSpan w:val="3"/>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收入</w:t>
            </w:r>
          </w:p>
        </w:tc>
        <w:tc>
          <w:tcPr>
            <w:tcW w:w="4980"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支出</w:t>
            </w: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行次</w:t>
            </w:r>
          </w:p>
        </w:tc>
        <w:tc>
          <w:tcPr>
            <w:tcW w:w="18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w:t>
            </w: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行次</w:t>
            </w:r>
          </w:p>
        </w:tc>
        <w:tc>
          <w:tcPr>
            <w:tcW w:w="13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w:t>
            </w: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栏次</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栏次</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3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一、一般公共预算财政拨款收入</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32,655.00</w:t>
            </w: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一、一般公共服务支出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32</w:t>
            </w:r>
          </w:p>
        </w:tc>
        <w:tc>
          <w:tcPr>
            <w:tcW w:w="1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60.58</w:t>
            </w: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二、政府性基金预算财政拨款收入</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44,577.23</w:t>
            </w: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二、外交支出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33</w:t>
            </w:r>
          </w:p>
        </w:tc>
        <w:tc>
          <w:tcPr>
            <w:tcW w:w="1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三、国有资本经营预算财政拨款收入</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三、国防支出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34</w:t>
            </w:r>
          </w:p>
        </w:tc>
        <w:tc>
          <w:tcPr>
            <w:tcW w:w="1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四、上级补助收入</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四、公共安全支出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35</w:t>
            </w:r>
          </w:p>
        </w:tc>
        <w:tc>
          <w:tcPr>
            <w:tcW w:w="1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五、事业收入</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五、教育支出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36</w:t>
            </w:r>
          </w:p>
        </w:tc>
        <w:tc>
          <w:tcPr>
            <w:tcW w:w="1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六、经营收入</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六、科学技术支出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37</w:t>
            </w:r>
          </w:p>
        </w:tc>
        <w:tc>
          <w:tcPr>
            <w:tcW w:w="1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七、附属单位上缴收入</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七、文化旅游体育与传媒支出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38</w:t>
            </w:r>
          </w:p>
        </w:tc>
        <w:tc>
          <w:tcPr>
            <w:tcW w:w="1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八、其他收入</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629.34</w:t>
            </w: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八、社会保障和就业支出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w:t>
            </w:r>
          </w:p>
        </w:tc>
        <w:tc>
          <w:tcPr>
            <w:tcW w:w="1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4,354.59</w:t>
            </w: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九、卫生健康支出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w:t>
            </w:r>
          </w:p>
        </w:tc>
        <w:tc>
          <w:tcPr>
            <w:tcW w:w="1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160.02</w:t>
            </w: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十、节能环保支出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41</w:t>
            </w:r>
          </w:p>
        </w:tc>
        <w:tc>
          <w:tcPr>
            <w:tcW w:w="1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十一、城乡社区支出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42</w:t>
            </w:r>
          </w:p>
        </w:tc>
        <w:tc>
          <w:tcPr>
            <w:tcW w:w="1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2,487.93</w:t>
            </w: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十二、农林水支出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w:t>
            </w:r>
          </w:p>
        </w:tc>
        <w:tc>
          <w:tcPr>
            <w:tcW w:w="1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33,328.14</w:t>
            </w: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十三、交通运输支出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44</w:t>
            </w:r>
          </w:p>
        </w:tc>
        <w:tc>
          <w:tcPr>
            <w:tcW w:w="1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十四、资源勘探工业信息等支出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45</w:t>
            </w:r>
          </w:p>
        </w:tc>
        <w:tc>
          <w:tcPr>
            <w:tcW w:w="1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十五、商业服务业等支出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46</w:t>
            </w:r>
          </w:p>
        </w:tc>
        <w:tc>
          <w:tcPr>
            <w:tcW w:w="1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十六、金融支出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47</w:t>
            </w:r>
          </w:p>
        </w:tc>
        <w:tc>
          <w:tcPr>
            <w:tcW w:w="1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十七、援助其他地区支出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48</w:t>
            </w:r>
          </w:p>
        </w:tc>
        <w:tc>
          <w:tcPr>
            <w:tcW w:w="1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十八、自然资源海洋气象等支出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49</w:t>
            </w:r>
          </w:p>
        </w:tc>
        <w:tc>
          <w:tcPr>
            <w:tcW w:w="1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十九、住房保障支出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w:t>
            </w:r>
          </w:p>
        </w:tc>
        <w:tc>
          <w:tcPr>
            <w:tcW w:w="1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200.98</w:t>
            </w: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二十、粮油物资储备支出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51</w:t>
            </w:r>
          </w:p>
        </w:tc>
        <w:tc>
          <w:tcPr>
            <w:tcW w:w="1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二十一、国有资本经营预算支出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52</w:t>
            </w:r>
          </w:p>
        </w:tc>
        <w:tc>
          <w:tcPr>
            <w:tcW w:w="1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二十二、灾害防治及应急管理支出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53</w:t>
            </w:r>
          </w:p>
        </w:tc>
        <w:tc>
          <w:tcPr>
            <w:tcW w:w="1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二十三、其他支出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54</w:t>
            </w:r>
          </w:p>
        </w:tc>
        <w:tc>
          <w:tcPr>
            <w:tcW w:w="1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12,571.17</w:t>
            </w: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b/>
                <w:i w:val="0"/>
                <w:color w:val="000000"/>
                <w:sz w:val="16"/>
                <w:szCs w:val="16"/>
                <w:u w:val="none"/>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二十四、债务还本支出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55</w:t>
            </w:r>
          </w:p>
        </w:tc>
        <w:tc>
          <w:tcPr>
            <w:tcW w:w="1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25</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二十五、债务付息支出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56</w:t>
            </w:r>
          </w:p>
        </w:tc>
        <w:tc>
          <w:tcPr>
            <w:tcW w:w="1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26</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二十六、抗疫特别国债安排的支出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57</w:t>
            </w:r>
          </w:p>
        </w:tc>
        <w:tc>
          <w:tcPr>
            <w:tcW w:w="1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1,042.99</w:t>
            </w: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本年收入合计</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27</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77,861.57</w:t>
            </w: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本年支出合计</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58</w:t>
            </w:r>
          </w:p>
        </w:tc>
        <w:tc>
          <w:tcPr>
            <w:tcW w:w="1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54,206.41</w:t>
            </w: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使用非财政拨款结余</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28</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结余分配</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59</w:t>
            </w:r>
          </w:p>
        </w:tc>
        <w:tc>
          <w:tcPr>
            <w:tcW w:w="1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年初结转和结余</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8,432.49</w:t>
            </w: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年末结转和结余</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60</w:t>
            </w:r>
          </w:p>
        </w:tc>
        <w:tc>
          <w:tcPr>
            <w:tcW w:w="1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32,087.65</w:t>
            </w: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61</w:t>
            </w:r>
          </w:p>
        </w:tc>
        <w:tc>
          <w:tcPr>
            <w:tcW w:w="1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80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总计</w:t>
            </w:r>
          </w:p>
        </w:tc>
        <w:tc>
          <w:tcPr>
            <w:tcW w:w="570" w:type="dxa"/>
            <w:tcBorders>
              <w:top w:val="nil"/>
              <w:left w:val="nil"/>
              <w:bottom w:val="single" w:color="000000" w:sz="8"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w:t>
            </w:r>
          </w:p>
        </w:tc>
        <w:tc>
          <w:tcPr>
            <w:tcW w:w="1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86,294.06</w:t>
            </w:r>
          </w:p>
        </w:tc>
        <w:tc>
          <w:tcPr>
            <w:tcW w:w="3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总计</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62</w:t>
            </w:r>
          </w:p>
        </w:tc>
        <w:tc>
          <w:tcPr>
            <w:tcW w:w="1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86,294.06</w:t>
            </w:r>
          </w:p>
        </w:tc>
      </w:tr>
      <w:tr>
        <w:tblPrEx>
          <w:tblCellMar>
            <w:top w:w="0" w:type="dxa"/>
            <w:left w:w="0" w:type="dxa"/>
            <w:bottom w:w="0" w:type="dxa"/>
            <w:right w:w="0" w:type="dxa"/>
          </w:tblCellMar>
        </w:tblPrEx>
        <w:trPr>
          <w:trHeight w:val="308" w:hRule="atLeast"/>
        </w:trPr>
        <w:tc>
          <w:tcPr>
            <w:tcW w:w="10155" w:type="dxa"/>
            <w:gridSpan w:val="6"/>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注：本表反映部门本年度的总收支和年末结转结余情况。本套报表金额单位转换时可能存在尾数误差。</w:t>
            </w:r>
          </w:p>
        </w:tc>
      </w:tr>
    </w:tbl>
    <w:p>
      <w:pPr>
        <w:tabs>
          <w:tab w:val="left" w:pos="682"/>
        </w:tabs>
        <w:bidi w:val="0"/>
        <w:jc w:val="left"/>
        <w:rPr>
          <w:rFonts w:hint="eastAsia"/>
          <w:lang w:val="en-US" w:eastAsia="zh-CN"/>
        </w:rPr>
      </w:pPr>
    </w:p>
    <w:tbl>
      <w:tblPr>
        <w:tblStyle w:val="5"/>
        <w:tblW w:w="8874" w:type="dxa"/>
        <w:tblInd w:w="0" w:type="dxa"/>
        <w:shd w:val="clear" w:color="auto" w:fill="auto"/>
        <w:tblLayout w:type="fixed"/>
        <w:tblCellMar>
          <w:top w:w="0" w:type="dxa"/>
          <w:left w:w="0" w:type="dxa"/>
          <w:bottom w:w="0" w:type="dxa"/>
          <w:right w:w="0" w:type="dxa"/>
        </w:tblCellMar>
      </w:tblPr>
      <w:tblGrid>
        <w:gridCol w:w="1681"/>
        <w:gridCol w:w="112"/>
        <w:gridCol w:w="39"/>
        <w:gridCol w:w="2361"/>
        <w:gridCol w:w="613"/>
        <w:gridCol w:w="740"/>
        <w:gridCol w:w="613"/>
        <w:gridCol w:w="613"/>
        <w:gridCol w:w="585"/>
        <w:gridCol w:w="807"/>
        <w:gridCol w:w="710"/>
      </w:tblGrid>
      <w:tr>
        <w:tblPrEx>
          <w:shd w:val="clear" w:color="auto" w:fill="auto"/>
          <w:tblCellMar>
            <w:top w:w="0" w:type="dxa"/>
            <w:left w:w="0" w:type="dxa"/>
            <w:bottom w:w="0" w:type="dxa"/>
            <w:right w:w="0" w:type="dxa"/>
          </w:tblCellMar>
        </w:tblPrEx>
        <w:trPr>
          <w:trHeight w:val="225" w:hRule="atLeast"/>
        </w:trPr>
        <w:tc>
          <w:tcPr>
            <w:tcW w:w="1681" w:type="dxa"/>
            <w:tcBorders>
              <w:top w:val="nil"/>
              <w:left w:val="nil"/>
              <w:bottom w:val="nil"/>
              <w:right w:val="nil"/>
            </w:tcBorders>
            <w:shd w:val="clear" w:color="auto" w:fill="auto"/>
            <w:tcMar>
              <w:top w:w="15" w:type="dxa"/>
              <w:left w:w="15" w:type="dxa"/>
              <w:right w:w="15" w:type="dxa"/>
            </w:tcMar>
            <w:vAlign w:val="bottom"/>
          </w:tcPr>
          <w:p>
            <w:pPr>
              <w:rPr>
                <w:rFonts w:hint="eastAsia" w:ascii="Arial" w:hAnsi="Arial" w:cs="Arial"/>
                <w:i w:val="0"/>
                <w:color w:val="000000"/>
                <w:sz w:val="16"/>
                <w:szCs w:val="16"/>
                <w:u w:val="none"/>
              </w:rPr>
            </w:pPr>
          </w:p>
        </w:tc>
        <w:tc>
          <w:tcPr>
            <w:tcW w:w="112"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3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327" w:type="dxa"/>
            <w:gridSpan w:val="4"/>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20"/>
                <w:szCs w:val="20"/>
                <w:u w:val="none"/>
                <w:lang w:val="en-US" w:eastAsia="zh-CN" w:bidi="ar"/>
              </w:rPr>
              <w:t>收入决算表</w:t>
            </w:r>
          </w:p>
        </w:tc>
        <w:tc>
          <w:tcPr>
            <w:tcW w:w="61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8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80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1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r>
      <w:tr>
        <w:tblPrEx>
          <w:tblCellMar>
            <w:top w:w="0" w:type="dxa"/>
            <w:left w:w="0" w:type="dxa"/>
            <w:bottom w:w="0" w:type="dxa"/>
            <w:right w:w="0" w:type="dxa"/>
          </w:tblCellMar>
        </w:tblPrEx>
        <w:trPr>
          <w:trHeight w:val="225" w:hRule="atLeast"/>
        </w:trPr>
        <w:tc>
          <w:tcPr>
            <w:tcW w:w="168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12"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3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36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1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4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1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1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8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80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10"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公开02表</w:t>
            </w:r>
          </w:p>
        </w:tc>
      </w:tr>
      <w:tr>
        <w:tblPrEx>
          <w:tblCellMar>
            <w:top w:w="0" w:type="dxa"/>
            <w:left w:w="0" w:type="dxa"/>
            <w:bottom w:w="0" w:type="dxa"/>
            <w:right w:w="0" w:type="dxa"/>
          </w:tblCellMar>
        </w:tblPrEx>
        <w:trPr>
          <w:trHeight w:val="225" w:hRule="atLeast"/>
        </w:trPr>
        <w:tc>
          <w:tcPr>
            <w:tcW w:w="1681"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部门：石家庄市鹿泉区水利局（汇总）</w:t>
            </w:r>
          </w:p>
        </w:tc>
        <w:tc>
          <w:tcPr>
            <w:tcW w:w="112"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3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36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1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4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1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1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8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80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10"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CellMar>
            <w:top w:w="0" w:type="dxa"/>
            <w:left w:w="0" w:type="dxa"/>
            <w:bottom w:w="0" w:type="dxa"/>
            <w:right w:w="0" w:type="dxa"/>
          </w:tblCellMar>
        </w:tblPrEx>
        <w:trPr>
          <w:trHeight w:val="308" w:hRule="atLeast"/>
        </w:trPr>
        <w:tc>
          <w:tcPr>
            <w:tcW w:w="4193" w:type="dxa"/>
            <w:gridSpan w:val="4"/>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w:t>
            </w:r>
          </w:p>
        </w:tc>
        <w:tc>
          <w:tcPr>
            <w:tcW w:w="613"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本年收入合计</w:t>
            </w:r>
          </w:p>
        </w:tc>
        <w:tc>
          <w:tcPr>
            <w:tcW w:w="74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财政拨款收入</w:t>
            </w:r>
          </w:p>
        </w:tc>
        <w:tc>
          <w:tcPr>
            <w:tcW w:w="613"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上级补助收入</w:t>
            </w:r>
          </w:p>
        </w:tc>
        <w:tc>
          <w:tcPr>
            <w:tcW w:w="613"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事业收入</w:t>
            </w:r>
          </w:p>
        </w:tc>
        <w:tc>
          <w:tcPr>
            <w:tcW w:w="58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经营收入</w:t>
            </w:r>
          </w:p>
        </w:tc>
        <w:tc>
          <w:tcPr>
            <w:tcW w:w="807"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附属单位上缴收入</w:t>
            </w:r>
          </w:p>
        </w:tc>
        <w:tc>
          <w:tcPr>
            <w:tcW w:w="71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其他收入</w:t>
            </w:r>
          </w:p>
        </w:tc>
      </w:tr>
      <w:tr>
        <w:tblPrEx>
          <w:tblCellMar>
            <w:top w:w="0" w:type="dxa"/>
            <w:left w:w="0" w:type="dxa"/>
            <w:bottom w:w="0" w:type="dxa"/>
            <w:right w:w="0" w:type="dxa"/>
          </w:tblCellMar>
        </w:tblPrEx>
        <w:trPr>
          <w:trHeight w:val="308" w:hRule="atLeast"/>
        </w:trPr>
        <w:tc>
          <w:tcPr>
            <w:tcW w:w="1832"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功能分类科目编码</w:t>
            </w:r>
          </w:p>
        </w:tc>
        <w:tc>
          <w:tcPr>
            <w:tcW w:w="236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科目名称</w:t>
            </w:r>
          </w:p>
        </w:tc>
        <w:tc>
          <w:tcPr>
            <w:tcW w:w="61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4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1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1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0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1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6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1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4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1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1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0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1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6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1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4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1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1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0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1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4193"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栏次</w:t>
            </w:r>
          </w:p>
        </w:tc>
        <w:tc>
          <w:tcPr>
            <w:tcW w:w="61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74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61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61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58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80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w:t>
            </w:r>
          </w:p>
        </w:tc>
        <w:tc>
          <w:tcPr>
            <w:tcW w:w="7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w:t>
            </w:r>
          </w:p>
        </w:tc>
      </w:tr>
      <w:tr>
        <w:tblPrEx>
          <w:tblCellMar>
            <w:top w:w="0" w:type="dxa"/>
            <w:left w:w="0" w:type="dxa"/>
            <w:bottom w:w="0" w:type="dxa"/>
            <w:right w:w="0" w:type="dxa"/>
          </w:tblCellMar>
        </w:tblPrEx>
        <w:trPr>
          <w:trHeight w:val="308" w:hRule="atLeast"/>
        </w:trPr>
        <w:tc>
          <w:tcPr>
            <w:tcW w:w="4193"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合计</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77,861.57</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77,232.24</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629.34</w:t>
            </w: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一般公共服务支出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60.58</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43.98</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16.60</w:t>
            </w: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20103</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政府办公厅（室）及相关机构事务</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60.58</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43.98</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16.60</w:t>
            </w: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2010305</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专项业务活动</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60.58</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43.98</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16.60</w:t>
            </w: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社会保障和就业支出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4,550.90</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4,550.90</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20805</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行政事业单位养老支出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219.85</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219.85</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2080505</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机关事业单位基本养老保险缴费支出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166.67</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166.67</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2080506</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机关事业单位职业年金缴费支出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53.18</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53.18</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20809</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退役安置</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41.75</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41.75</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2080901</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退役士兵安置</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41.75</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41.75</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20822</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大中型水库移民后期扶持基金支出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3,826.66</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3,826.66</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2082201</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移民补助</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1,650.66</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1,650.66</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2082202</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基础设施建设和经济发展</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2,176.00</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2,176.00</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20823</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小型水库移民扶助基金安排的支出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462.64</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462.64</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2082301</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移民补助</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173.64</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173.64</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2082302</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基础设施建设和经济发展</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289.00</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289.00</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卫生健康支出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153.75</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153.75</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21011</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行政事业单位医疗</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153.75</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153.75</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2101101</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行政单位医疗</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11.79</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11.79</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2101102</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事业单位医疗</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141.96</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141.96</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212</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城乡社区支出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2,487.93</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2,487.93</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21208</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国有土地使用权出让收入安排的支出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2,487.93</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2,487.93</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2120803</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城市建设支出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200.00</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200.00</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2120804</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农村基础设施建设支出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2,287.93</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2,287.93</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农林水支出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32,607.42</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31,994.69</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612.74</w:t>
            </w: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21301</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农业农村</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8.30</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8.30</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2130104</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事业运行</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8.30</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8.30</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水利</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32,073.37</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31,460.64</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612.74</w:t>
            </w: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2130301</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行政运行</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1,994.60</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1,994.60</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2130302</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一般行政管理事务</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9.99</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5.00</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4.99</w:t>
            </w: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2130304</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水利行业业务管理</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125.30</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125.30</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2130305</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水利工程建设</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140.31</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73.30</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67.02</w:t>
            </w: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2130306</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水利工程运行与维护</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15.00</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15.00</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2130310</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水土保持</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22.14</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2.50</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19.64</w:t>
            </w: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2130311</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水资源节约管理与保护</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296.00</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296.00</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2130314</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防汛</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72.03</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72.03</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2130315</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抗旱</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14.52</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14.52</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2130316</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农村水利</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5.83</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5.83</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2130319</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江河湖库水系综合整治</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6,324.81</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5,824.81</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500.00</w:t>
            </w: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2130335</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农村人畜饮水</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72.21</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72.21</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2130399</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其他水利支出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22,980.62</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22,959.54</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21.09</w:t>
            </w: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21399</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其他农林水支出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525.75</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525.75</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2139999</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其他农林水支出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525.75</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525.75</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221</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住房保障支出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200.98</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200.98</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22102</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住房改革支出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200.98</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200.98</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2210201</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住房公积金</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200.98</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200.98</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229</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34,800.00</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34,800.00</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22904</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其他政府性基金及对应专项债务收入安排的支出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34,800.00</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34,800.00</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2290402</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其他地方自行试点项目收益专项债券收入安排的支出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34,800.00</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34,800.00</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234</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抗疫特别国债安排的支出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3,000.00</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3,000.00</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23401</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基础设施建设</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3,000.00</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3,000.00</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83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2340110</w:t>
            </w:r>
          </w:p>
        </w:tc>
        <w:tc>
          <w:tcPr>
            <w:tcW w:w="23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市政设施建设</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3,000.00</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3,000.00</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8874" w:type="dxa"/>
            <w:gridSpan w:val="11"/>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注：本表反映部门本年度取得的各项收入情况。</w:t>
            </w:r>
          </w:p>
        </w:tc>
      </w:tr>
    </w:tbl>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sectPr>
          <w:pgSz w:w="11906" w:h="16838"/>
          <w:pgMar w:top="2098" w:right="1531" w:bottom="1984" w:left="1531" w:header="851" w:footer="992" w:gutter="0"/>
          <w:pgNumType w:fmt="numberInDash"/>
          <w:cols w:space="0" w:num="1"/>
          <w:titlePg/>
          <w:docGrid w:type="lines" w:linePitch="312" w:charSpace="0"/>
        </w:sectPr>
      </w:pPr>
    </w:p>
    <w:tbl>
      <w:tblPr>
        <w:tblStyle w:val="5"/>
        <w:tblW w:w="8874" w:type="dxa"/>
        <w:tblInd w:w="0" w:type="dxa"/>
        <w:shd w:val="clear" w:color="auto" w:fill="auto"/>
        <w:tblLayout w:type="fixed"/>
        <w:tblCellMar>
          <w:top w:w="0" w:type="dxa"/>
          <w:left w:w="0" w:type="dxa"/>
          <w:bottom w:w="0" w:type="dxa"/>
          <w:right w:w="0" w:type="dxa"/>
        </w:tblCellMar>
      </w:tblPr>
      <w:tblGrid>
        <w:gridCol w:w="1803"/>
        <w:gridCol w:w="118"/>
        <w:gridCol w:w="167"/>
        <w:gridCol w:w="2533"/>
        <w:gridCol w:w="841"/>
        <w:gridCol w:w="753"/>
        <w:gridCol w:w="822"/>
        <w:gridCol w:w="646"/>
        <w:gridCol w:w="431"/>
        <w:gridCol w:w="760"/>
      </w:tblGrid>
      <w:tr>
        <w:tblPrEx>
          <w:shd w:val="clear" w:color="auto" w:fill="auto"/>
          <w:tblCellMar>
            <w:top w:w="0" w:type="dxa"/>
            <w:left w:w="0" w:type="dxa"/>
            <w:bottom w:w="0" w:type="dxa"/>
            <w:right w:w="0" w:type="dxa"/>
          </w:tblCellMar>
        </w:tblPrEx>
        <w:trPr>
          <w:trHeight w:val="225" w:hRule="atLeast"/>
        </w:trPr>
        <w:tc>
          <w:tcPr>
            <w:tcW w:w="1803" w:type="dxa"/>
            <w:tcBorders>
              <w:top w:val="nil"/>
              <w:left w:val="nil"/>
              <w:bottom w:val="nil"/>
              <w:right w:val="nil"/>
            </w:tcBorders>
            <w:shd w:val="clear" w:color="auto" w:fill="auto"/>
            <w:tcMar>
              <w:top w:w="15" w:type="dxa"/>
              <w:left w:w="15" w:type="dxa"/>
              <w:right w:w="15" w:type="dxa"/>
            </w:tcMar>
            <w:vAlign w:val="bottom"/>
          </w:tcPr>
          <w:p>
            <w:pPr>
              <w:rPr>
                <w:rFonts w:hint="eastAsia" w:ascii="Arial" w:hAnsi="Arial" w:cs="Arial"/>
                <w:i w:val="0"/>
                <w:color w:val="000000"/>
                <w:sz w:val="16"/>
                <w:szCs w:val="16"/>
                <w:u w:val="none"/>
              </w:rPr>
            </w:pPr>
          </w:p>
        </w:tc>
        <w:tc>
          <w:tcPr>
            <w:tcW w:w="11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6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533" w:type="dxa"/>
            <w:tcBorders>
              <w:top w:val="nil"/>
              <w:left w:val="nil"/>
              <w:bottom w:val="nil"/>
              <w:right w:val="nil"/>
            </w:tcBorders>
            <w:shd w:val="clear" w:color="auto" w:fill="auto"/>
            <w:tcMar>
              <w:top w:w="15" w:type="dxa"/>
              <w:left w:w="15" w:type="dxa"/>
              <w:right w:w="15" w:type="dxa"/>
            </w:tcMar>
            <w:vAlign w:val="center"/>
          </w:tcPr>
          <w:p>
            <w:pPr>
              <w:jc w:val="center"/>
              <w:rPr>
                <w:rFonts w:hint="default" w:ascii="Arial" w:hAnsi="Arial" w:cs="Arial"/>
                <w:i w:val="0"/>
                <w:color w:val="000000"/>
                <w:sz w:val="18"/>
                <w:szCs w:val="18"/>
                <w:u w:val="none"/>
              </w:rPr>
            </w:pPr>
            <w:r>
              <w:rPr>
                <w:rFonts w:hint="eastAsia" w:ascii="宋体" w:hAnsi="宋体" w:eastAsia="宋体" w:cs="宋体"/>
                <w:i w:val="0"/>
                <w:color w:val="000000"/>
                <w:kern w:val="0"/>
                <w:sz w:val="18"/>
                <w:szCs w:val="18"/>
                <w:u w:val="none"/>
                <w:lang w:val="en-US" w:eastAsia="zh-CN" w:bidi="ar"/>
              </w:rPr>
              <w:t>支出决算表</w:t>
            </w:r>
          </w:p>
        </w:tc>
        <w:tc>
          <w:tcPr>
            <w:tcW w:w="84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53"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16"/>
                <w:szCs w:val="16"/>
                <w:u w:val="none"/>
              </w:rPr>
            </w:pPr>
          </w:p>
        </w:tc>
        <w:tc>
          <w:tcPr>
            <w:tcW w:w="822"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4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3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6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r>
      <w:tr>
        <w:tblPrEx>
          <w:tblCellMar>
            <w:top w:w="0" w:type="dxa"/>
            <w:left w:w="0" w:type="dxa"/>
            <w:bottom w:w="0" w:type="dxa"/>
            <w:right w:w="0" w:type="dxa"/>
          </w:tblCellMar>
        </w:tblPrEx>
        <w:trPr>
          <w:trHeight w:val="225" w:hRule="atLeast"/>
        </w:trPr>
        <w:tc>
          <w:tcPr>
            <w:tcW w:w="180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1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6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53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84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5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822"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4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3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60"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公开03表</w:t>
            </w:r>
          </w:p>
        </w:tc>
      </w:tr>
      <w:tr>
        <w:tblPrEx>
          <w:tblCellMar>
            <w:top w:w="0" w:type="dxa"/>
            <w:left w:w="0" w:type="dxa"/>
            <w:bottom w:w="0" w:type="dxa"/>
            <w:right w:w="0" w:type="dxa"/>
          </w:tblCellMar>
        </w:tblPrEx>
        <w:trPr>
          <w:trHeight w:val="225" w:hRule="atLeast"/>
        </w:trPr>
        <w:tc>
          <w:tcPr>
            <w:tcW w:w="1803"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部门：石家庄市鹿泉区水利局（汇总）</w:t>
            </w:r>
          </w:p>
        </w:tc>
        <w:tc>
          <w:tcPr>
            <w:tcW w:w="11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6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53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84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5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822"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4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3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60"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CellMar>
            <w:top w:w="0" w:type="dxa"/>
            <w:left w:w="0" w:type="dxa"/>
            <w:bottom w:w="0" w:type="dxa"/>
            <w:right w:w="0" w:type="dxa"/>
          </w:tblCellMar>
        </w:tblPrEx>
        <w:trPr>
          <w:trHeight w:val="308" w:hRule="atLeast"/>
        </w:trPr>
        <w:tc>
          <w:tcPr>
            <w:tcW w:w="4621" w:type="dxa"/>
            <w:gridSpan w:val="4"/>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w:t>
            </w:r>
          </w:p>
        </w:tc>
        <w:tc>
          <w:tcPr>
            <w:tcW w:w="841"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本年支出合计</w:t>
            </w:r>
          </w:p>
        </w:tc>
        <w:tc>
          <w:tcPr>
            <w:tcW w:w="753"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基本支出</w:t>
            </w:r>
          </w:p>
        </w:tc>
        <w:tc>
          <w:tcPr>
            <w:tcW w:w="822"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项目支出</w:t>
            </w:r>
          </w:p>
        </w:tc>
        <w:tc>
          <w:tcPr>
            <w:tcW w:w="646"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上缴上级支出</w:t>
            </w:r>
          </w:p>
        </w:tc>
        <w:tc>
          <w:tcPr>
            <w:tcW w:w="431"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经营支出</w:t>
            </w:r>
          </w:p>
        </w:tc>
        <w:tc>
          <w:tcPr>
            <w:tcW w:w="76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对附属单位补助支出</w:t>
            </w:r>
          </w:p>
        </w:tc>
      </w:tr>
      <w:tr>
        <w:tblPrEx>
          <w:tblCellMar>
            <w:top w:w="0" w:type="dxa"/>
            <w:left w:w="0" w:type="dxa"/>
            <w:bottom w:w="0" w:type="dxa"/>
            <w:right w:w="0" w:type="dxa"/>
          </w:tblCellMar>
        </w:tblPrEx>
        <w:trPr>
          <w:trHeight w:val="308" w:hRule="atLeast"/>
        </w:trPr>
        <w:tc>
          <w:tcPr>
            <w:tcW w:w="2088"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功能分类科目编码</w:t>
            </w:r>
          </w:p>
        </w:tc>
        <w:tc>
          <w:tcPr>
            <w:tcW w:w="2533"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科目名称</w:t>
            </w:r>
          </w:p>
        </w:tc>
        <w:tc>
          <w:tcPr>
            <w:tcW w:w="84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5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2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4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3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6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53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4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5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2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4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3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6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53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4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5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2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4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3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6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4621"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栏次</w:t>
            </w:r>
          </w:p>
        </w:tc>
        <w:tc>
          <w:tcPr>
            <w:tcW w:w="84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7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82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64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43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76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w:t>
            </w:r>
          </w:p>
        </w:tc>
      </w:tr>
      <w:tr>
        <w:tblPrEx>
          <w:tblCellMar>
            <w:top w:w="0" w:type="dxa"/>
            <w:left w:w="0" w:type="dxa"/>
            <w:bottom w:w="0" w:type="dxa"/>
            <w:right w:w="0" w:type="dxa"/>
          </w:tblCellMar>
        </w:tblPrEx>
        <w:trPr>
          <w:trHeight w:val="308" w:hRule="atLeast"/>
        </w:trPr>
        <w:tc>
          <w:tcPr>
            <w:tcW w:w="4621"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合计</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54,206.41</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2,788.39</w:t>
            </w: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51,418.02</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一般公共服务支出</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60.58</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60.58</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20103</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政府办公厅（室）及相关机构事务</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60.58</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60.58</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2010305</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专项业务活动</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60.58</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60.58</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社会保障和就业支出</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4,354.59</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227.44</w:t>
            </w: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4,127.15</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20805</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行政事业单位养老支出</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227.44</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227.44</w:t>
            </w: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2080505</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机关事业单位基本养老保险缴费支出</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172.83</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172.83</w:t>
            </w: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2080506</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机关事业单位职业年金缴费支出</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54.61</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54.61</w:t>
            </w: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20809</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退役安置</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45.82</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45.82</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2080901</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退役士兵安置</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45.82</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45.82</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20822</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大中型水库移民后期扶持基金支出</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3,915.57</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3,915.57</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2082201</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移民补助</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1,628.36</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1,628.36</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2082202</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基础设施建设和经济发展</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2,287.21</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2,287.21</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20823</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小型水库移民扶助基金安排的支出</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165.76</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165.76</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2082301</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移民补助</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68.76</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68.76</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2082302</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基础设施建设和经济发展</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97.00</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97.00</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卫生健康支出</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160.02</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160.02</w:t>
            </w: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21011</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行政事业单位医疗</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160.02</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160.02</w:t>
            </w: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2101101</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行政单位医疗</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14.55</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14.55</w:t>
            </w: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2101102</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事业单位医疗</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145.47</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145.47</w:t>
            </w: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212</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城乡社区支出</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2,487.93</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2,487.93</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21208</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国有土地使用权出让收入安排的支出</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2,487.93</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2,487.93</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2120803</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城市建设支出</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200.00</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200.00</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212"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2120804</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农村基础设施建设支出</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2,287.93</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2,287.93</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农林水支出</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33,328.14</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2,199.94</w:t>
            </w: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31,128.20</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21301</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农业农村</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8.30</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8.30</w:t>
            </w: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2130104</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事业运行</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8.30</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8.30</w:t>
            </w: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水利</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33,319.84</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2,191.64</w:t>
            </w: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31,128.20</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2130301</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行政运行</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2,141.64</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2,141.64</w:t>
            </w: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2130302</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一般行政管理事务</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9.99</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9.99</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2130304</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水利行业业务管理</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121.52</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50.00</w:t>
            </w: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71.52</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2130305</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水利工程建设</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108.83</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108.83</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2130306</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水利工程运行与维护</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15.47</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15.47</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2130310</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水土保持</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186.04</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186.04</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2130311</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水资源节约管理与保护</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177.39</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177.39</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2130314</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防汛</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148.29</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148.29</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2130315</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抗旱</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33.30</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33.30</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2130316</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农村水利</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6.03</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6.03</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2130319</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江河湖库水系综合整治</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2,324.81</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2,324.81</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2130321</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大中型水库移民后期扶持专项支出</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50.74</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50.74</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2130335</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农村人畜饮水</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73.76</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73.76</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257"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2130336</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南水北调工程建设</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37.68</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37.68</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2"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2130399</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其他水利支出</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27,884.36</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27,884.36</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221</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住房保障支出</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200.98</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200.98</w:t>
            </w: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22102</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住房改革支出</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200.98</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200.98</w:t>
            </w: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2210201</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住房公积金</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200.98</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200.98</w:t>
            </w: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229</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其他支出</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12,571.17</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12,571.17</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22904</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其他政府性基金及对应专项债务收入安排的支出</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12,571.17</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12,571.17</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2290402</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其他地方自行试点项目收益专项债券收入安排的支出</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12,571.17</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12,571.17</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234</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抗疫特别国债安排的支出</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1,042.99</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1,042.99</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23401</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基础设施建设</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1,042.99</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1,042.99</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2340110</w:t>
            </w:r>
          </w:p>
        </w:tc>
        <w:tc>
          <w:tcPr>
            <w:tcW w:w="2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市政设施建设</w:t>
            </w:r>
          </w:p>
        </w:tc>
        <w:tc>
          <w:tcPr>
            <w:tcW w:w="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1,042.99</w:t>
            </w:r>
          </w:p>
        </w:tc>
        <w:tc>
          <w:tcPr>
            <w:tcW w:w="7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1,042.99</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8874" w:type="dxa"/>
            <w:gridSpan w:val="10"/>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注：本表反映部门本年度各项支出情况。</w:t>
            </w:r>
          </w:p>
        </w:tc>
      </w:tr>
    </w:tbl>
    <w:p>
      <w:pPr>
        <w:tabs>
          <w:tab w:val="left" w:pos="682"/>
        </w:tabs>
        <w:bidi w:val="0"/>
        <w:jc w:val="left"/>
        <w:rPr>
          <w:rFonts w:hint="eastAsia"/>
          <w:lang w:val="en-US" w:eastAsia="zh-CN"/>
        </w:rPr>
        <w:sectPr>
          <w:pgSz w:w="11906" w:h="16838"/>
          <w:pgMar w:top="2098" w:right="1531" w:bottom="1984" w:left="1531" w:header="851" w:footer="992" w:gutter="0"/>
          <w:pgNumType w:fmt="numberInDash"/>
          <w:cols w:space="0" w:num="1"/>
          <w:titlePg/>
          <w:docGrid w:type="lines" w:linePitch="312" w:charSpace="0"/>
        </w:sectPr>
      </w:pPr>
    </w:p>
    <w:tbl>
      <w:tblPr>
        <w:tblStyle w:val="5"/>
        <w:tblW w:w="8874" w:type="dxa"/>
        <w:tblInd w:w="0" w:type="dxa"/>
        <w:shd w:val="clear" w:color="auto" w:fill="auto"/>
        <w:tblLayout w:type="fixed"/>
        <w:tblCellMar>
          <w:top w:w="0" w:type="dxa"/>
          <w:left w:w="0" w:type="dxa"/>
          <w:bottom w:w="0" w:type="dxa"/>
          <w:right w:w="0" w:type="dxa"/>
        </w:tblCellMar>
      </w:tblPr>
      <w:tblGrid>
        <w:gridCol w:w="2209"/>
        <w:gridCol w:w="366"/>
        <w:gridCol w:w="631"/>
        <w:gridCol w:w="1953"/>
        <w:gridCol w:w="463"/>
        <w:gridCol w:w="751"/>
        <w:gridCol w:w="799"/>
        <w:gridCol w:w="775"/>
        <w:gridCol w:w="927"/>
      </w:tblGrid>
      <w:tr>
        <w:tblPrEx>
          <w:shd w:val="clear" w:color="auto" w:fill="auto"/>
          <w:tblCellMar>
            <w:top w:w="0" w:type="dxa"/>
            <w:left w:w="0" w:type="dxa"/>
            <w:bottom w:w="0" w:type="dxa"/>
            <w:right w:w="0" w:type="dxa"/>
          </w:tblCellMar>
        </w:tblPrEx>
        <w:trPr>
          <w:trHeight w:val="225" w:hRule="atLeast"/>
        </w:trPr>
        <w:tc>
          <w:tcPr>
            <w:tcW w:w="2209" w:type="dxa"/>
            <w:tcBorders>
              <w:top w:val="nil"/>
              <w:left w:val="nil"/>
              <w:bottom w:val="nil"/>
              <w:right w:val="nil"/>
            </w:tcBorders>
            <w:shd w:val="clear" w:color="auto" w:fill="auto"/>
            <w:tcMar>
              <w:top w:w="15" w:type="dxa"/>
              <w:left w:w="15" w:type="dxa"/>
              <w:right w:w="15" w:type="dxa"/>
            </w:tcMar>
            <w:vAlign w:val="bottom"/>
          </w:tcPr>
          <w:p>
            <w:pPr>
              <w:rPr>
                <w:rFonts w:hint="eastAsia" w:ascii="Arial" w:hAnsi="Arial" w:cs="Arial"/>
                <w:i w:val="0"/>
                <w:color w:val="000000"/>
                <w:sz w:val="16"/>
                <w:szCs w:val="16"/>
                <w:u w:val="none"/>
              </w:rPr>
            </w:pPr>
          </w:p>
        </w:tc>
        <w:tc>
          <w:tcPr>
            <w:tcW w:w="36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3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953"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财政拨款收入支出决算总表</w:t>
            </w:r>
          </w:p>
        </w:tc>
        <w:tc>
          <w:tcPr>
            <w:tcW w:w="46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5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9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7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92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r>
      <w:tr>
        <w:tblPrEx>
          <w:tblCellMar>
            <w:top w:w="0" w:type="dxa"/>
            <w:left w:w="0" w:type="dxa"/>
            <w:bottom w:w="0" w:type="dxa"/>
            <w:right w:w="0" w:type="dxa"/>
          </w:tblCellMar>
        </w:tblPrEx>
        <w:trPr>
          <w:trHeight w:val="225" w:hRule="atLeast"/>
        </w:trPr>
        <w:tc>
          <w:tcPr>
            <w:tcW w:w="220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36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3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95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6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5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9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7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927"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公开04表</w:t>
            </w:r>
          </w:p>
        </w:tc>
      </w:tr>
      <w:tr>
        <w:tblPrEx>
          <w:tblCellMar>
            <w:top w:w="0" w:type="dxa"/>
            <w:left w:w="0" w:type="dxa"/>
            <w:bottom w:w="0" w:type="dxa"/>
            <w:right w:w="0" w:type="dxa"/>
          </w:tblCellMar>
        </w:tblPrEx>
        <w:trPr>
          <w:trHeight w:val="225" w:hRule="atLeast"/>
        </w:trPr>
        <w:tc>
          <w:tcPr>
            <w:tcW w:w="2209"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部门：石家庄市鹿泉区水利局（汇总）</w:t>
            </w:r>
          </w:p>
        </w:tc>
        <w:tc>
          <w:tcPr>
            <w:tcW w:w="36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3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95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6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5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9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7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927"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CellMar>
            <w:top w:w="0" w:type="dxa"/>
            <w:left w:w="0" w:type="dxa"/>
            <w:bottom w:w="0" w:type="dxa"/>
            <w:right w:w="0" w:type="dxa"/>
          </w:tblCellMar>
        </w:tblPrEx>
        <w:trPr>
          <w:trHeight w:val="308" w:hRule="atLeast"/>
        </w:trPr>
        <w:tc>
          <w:tcPr>
            <w:tcW w:w="3206" w:type="dxa"/>
            <w:gridSpan w:val="3"/>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收     入</w:t>
            </w:r>
          </w:p>
        </w:tc>
        <w:tc>
          <w:tcPr>
            <w:tcW w:w="5668" w:type="dxa"/>
            <w:gridSpan w:val="6"/>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支     出</w:t>
            </w:r>
          </w:p>
        </w:tc>
      </w:tr>
      <w:tr>
        <w:tblPrEx>
          <w:tblCellMar>
            <w:top w:w="0" w:type="dxa"/>
            <w:left w:w="0" w:type="dxa"/>
            <w:bottom w:w="0" w:type="dxa"/>
            <w:right w:w="0" w:type="dxa"/>
          </w:tblCellMar>
        </w:tblPrEx>
        <w:trPr>
          <w:trHeight w:val="292" w:hRule="atLeast"/>
        </w:trPr>
        <w:tc>
          <w:tcPr>
            <w:tcW w:w="2209"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w:t>
            </w:r>
          </w:p>
        </w:tc>
        <w:tc>
          <w:tcPr>
            <w:tcW w:w="366"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行次</w:t>
            </w:r>
          </w:p>
        </w:tc>
        <w:tc>
          <w:tcPr>
            <w:tcW w:w="63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w:t>
            </w:r>
          </w:p>
        </w:tc>
        <w:tc>
          <w:tcPr>
            <w:tcW w:w="1953"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w:t>
            </w:r>
          </w:p>
        </w:tc>
        <w:tc>
          <w:tcPr>
            <w:tcW w:w="463"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行次</w:t>
            </w:r>
          </w:p>
        </w:tc>
        <w:tc>
          <w:tcPr>
            <w:tcW w:w="75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合计</w:t>
            </w:r>
          </w:p>
        </w:tc>
        <w:tc>
          <w:tcPr>
            <w:tcW w:w="799"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一般公共预算财政拨款</w:t>
            </w:r>
          </w:p>
        </w:tc>
        <w:tc>
          <w:tcPr>
            <w:tcW w:w="77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政府性基金预算财政拨款</w:t>
            </w:r>
          </w:p>
        </w:tc>
        <w:tc>
          <w:tcPr>
            <w:tcW w:w="927"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国有资本经营预算财政拨款</w:t>
            </w:r>
          </w:p>
        </w:tc>
      </w:tr>
      <w:tr>
        <w:tblPrEx>
          <w:tblCellMar>
            <w:top w:w="0" w:type="dxa"/>
            <w:left w:w="0" w:type="dxa"/>
            <w:bottom w:w="0" w:type="dxa"/>
            <w:right w:w="0" w:type="dxa"/>
          </w:tblCellMar>
        </w:tblPrEx>
        <w:trPr>
          <w:trHeight w:val="615" w:hRule="atLeast"/>
        </w:trPr>
        <w:tc>
          <w:tcPr>
            <w:tcW w:w="2209"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66"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3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95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6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5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99"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7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2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栏次</w:t>
            </w:r>
          </w:p>
        </w:tc>
        <w:tc>
          <w:tcPr>
            <w:tcW w:w="3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3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栏次</w:t>
            </w: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79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77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92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r>
      <w:tr>
        <w:tblPrEx>
          <w:tblCellMar>
            <w:top w:w="0" w:type="dxa"/>
            <w:left w:w="0" w:type="dxa"/>
            <w:bottom w:w="0" w:type="dxa"/>
            <w:right w:w="0" w:type="dxa"/>
          </w:tblCellMar>
        </w:tblPrEx>
        <w:trPr>
          <w:trHeight w:val="480"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一、一般公共预算财政拨款</w:t>
            </w:r>
          </w:p>
        </w:tc>
        <w:tc>
          <w:tcPr>
            <w:tcW w:w="3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6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32,655.00</w:t>
            </w: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一、一般公共服务支出</w:t>
            </w: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33</w:t>
            </w:r>
          </w:p>
        </w:tc>
        <w:tc>
          <w:tcPr>
            <w:tcW w:w="7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43.98</w:t>
            </w:r>
          </w:p>
        </w:tc>
        <w:tc>
          <w:tcPr>
            <w:tcW w:w="7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43.98</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420"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二、政府性基金预算财政拨款</w:t>
            </w:r>
          </w:p>
        </w:tc>
        <w:tc>
          <w:tcPr>
            <w:tcW w:w="3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6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44,577.23</w:t>
            </w: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二、外交支出</w:t>
            </w: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34</w:t>
            </w:r>
          </w:p>
        </w:tc>
        <w:tc>
          <w:tcPr>
            <w:tcW w:w="7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740"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三、国有资本经营财政拨款</w:t>
            </w:r>
          </w:p>
        </w:tc>
        <w:tc>
          <w:tcPr>
            <w:tcW w:w="3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6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三、国防支出</w:t>
            </w: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35</w:t>
            </w:r>
          </w:p>
        </w:tc>
        <w:tc>
          <w:tcPr>
            <w:tcW w:w="7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6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四、公共安全支出</w:t>
            </w: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36</w:t>
            </w:r>
          </w:p>
        </w:tc>
        <w:tc>
          <w:tcPr>
            <w:tcW w:w="7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6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五、教育支出</w:t>
            </w: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37</w:t>
            </w:r>
          </w:p>
        </w:tc>
        <w:tc>
          <w:tcPr>
            <w:tcW w:w="7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w:t>
            </w:r>
          </w:p>
        </w:tc>
        <w:tc>
          <w:tcPr>
            <w:tcW w:w="6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六、科学技术支出</w:t>
            </w: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38</w:t>
            </w:r>
          </w:p>
        </w:tc>
        <w:tc>
          <w:tcPr>
            <w:tcW w:w="7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w:t>
            </w:r>
          </w:p>
        </w:tc>
        <w:tc>
          <w:tcPr>
            <w:tcW w:w="6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七、文化旅游体育与传媒支出</w:t>
            </w: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w:t>
            </w:r>
          </w:p>
        </w:tc>
        <w:tc>
          <w:tcPr>
            <w:tcW w:w="7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w:t>
            </w:r>
          </w:p>
        </w:tc>
        <w:tc>
          <w:tcPr>
            <w:tcW w:w="6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八、社会保障和就业支出</w:t>
            </w: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w:t>
            </w:r>
          </w:p>
        </w:tc>
        <w:tc>
          <w:tcPr>
            <w:tcW w:w="7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4,354.59</w:t>
            </w:r>
          </w:p>
        </w:tc>
        <w:tc>
          <w:tcPr>
            <w:tcW w:w="7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273.26</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4,081.33</w:t>
            </w: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w:t>
            </w:r>
          </w:p>
        </w:tc>
        <w:tc>
          <w:tcPr>
            <w:tcW w:w="6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九、卫生健康支出</w:t>
            </w: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41</w:t>
            </w:r>
          </w:p>
        </w:tc>
        <w:tc>
          <w:tcPr>
            <w:tcW w:w="7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160.02</w:t>
            </w:r>
          </w:p>
        </w:tc>
        <w:tc>
          <w:tcPr>
            <w:tcW w:w="7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160.02</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c>
          <w:tcPr>
            <w:tcW w:w="6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十、节能环保支出</w:t>
            </w: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42</w:t>
            </w:r>
          </w:p>
        </w:tc>
        <w:tc>
          <w:tcPr>
            <w:tcW w:w="7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w:t>
            </w:r>
          </w:p>
        </w:tc>
        <w:tc>
          <w:tcPr>
            <w:tcW w:w="6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十一、城乡社区支出</w:t>
            </w: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w:t>
            </w:r>
          </w:p>
        </w:tc>
        <w:tc>
          <w:tcPr>
            <w:tcW w:w="7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2,487.93</w:t>
            </w:r>
          </w:p>
        </w:tc>
        <w:tc>
          <w:tcPr>
            <w:tcW w:w="7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2,487.93</w:t>
            </w: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w:t>
            </w:r>
          </w:p>
        </w:tc>
        <w:tc>
          <w:tcPr>
            <w:tcW w:w="6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十二、农林水支出</w:t>
            </w: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44</w:t>
            </w:r>
          </w:p>
        </w:tc>
        <w:tc>
          <w:tcPr>
            <w:tcW w:w="7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32,715.40</w:t>
            </w:r>
          </w:p>
        </w:tc>
        <w:tc>
          <w:tcPr>
            <w:tcW w:w="7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32,715.40</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w:t>
            </w:r>
          </w:p>
        </w:tc>
        <w:tc>
          <w:tcPr>
            <w:tcW w:w="6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十三、交通运输支出</w:t>
            </w: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45</w:t>
            </w:r>
          </w:p>
        </w:tc>
        <w:tc>
          <w:tcPr>
            <w:tcW w:w="7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w:t>
            </w:r>
          </w:p>
        </w:tc>
        <w:tc>
          <w:tcPr>
            <w:tcW w:w="6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十四、资源勘探工业信息等支出</w:t>
            </w: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46</w:t>
            </w:r>
          </w:p>
        </w:tc>
        <w:tc>
          <w:tcPr>
            <w:tcW w:w="7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w:t>
            </w:r>
          </w:p>
        </w:tc>
        <w:tc>
          <w:tcPr>
            <w:tcW w:w="6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十五、商业服务业等支出</w:t>
            </w: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47</w:t>
            </w:r>
          </w:p>
        </w:tc>
        <w:tc>
          <w:tcPr>
            <w:tcW w:w="7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w:t>
            </w:r>
          </w:p>
        </w:tc>
        <w:tc>
          <w:tcPr>
            <w:tcW w:w="6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十六、金融支出</w:t>
            </w: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48</w:t>
            </w:r>
          </w:p>
        </w:tc>
        <w:tc>
          <w:tcPr>
            <w:tcW w:w="7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w:t>
            </w:r>
          </w:p>
        </w:tc>
        <w:tc>
          <w:tcPr>
            <w:tcW w:w="6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十七、援助其他地区支出</w:t>
            </w: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49</w:t>
            </w:r>
          </w:p>
        </w:tc>
        <w:tc>
          <w:tcPr>
            <w:tcW w:w="7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w:t>
            </w:r>
          </w:p>
        </w:tc>
        <w:tc>
          <w:tcPr>
            <w:tcW w:w="6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十八、自然资源海洋气象等支出</w:t>
            </w: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w:t>
            </w:r>
          </w:p>
        </w:tc>
        <w:tc>
          <w:tcPr>
            <w:tcW w:w="7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227"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w:t>
            </w:r>
          </w:p>
        </w:tc>
        <w:tc>
          <w:tcPr>
            <w:tcW w:w="6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十九、住房保障支出</w:t>
            </w: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51</w:t>
            </w:r>
          </w:p>
        </w:tc>
        <w:tc>
          <w:tcPr>
            <w:tcW w:w="7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200.98</w:t>
            </w:r>
          </w:p>
        </w:tc>
        <w:tc>
          <w:tcPr>
            <w:tcW w:w="7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200.98</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c>
          <w:tcPr>
            <w:tcW w:w="6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二十、粮油物资储备支出</w:t>
            </w: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52</w:t>
            </w:r>
          </w:p>
        </w:tc>
        <w:tc>
          <w:tcPr>
            <w:tcW w:w="7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w:t>
            </w:r>
          </w:p>
        </w:tc>
        <w:tc>
          <w:tcPr>
            <w:tcW w:w="6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二十一、国有资本经营预算支出</w:t>
            </w: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53</w:t>
            </w:r>
          </w:p>
        </w:tc>
        <w:tc>
          <w:tcPr>
            <w:tcW w:w="7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w:t>
            </w:r>
          </w:p>
        </w:tc>
        <w:tc>
          <w:tcPr>
            <w:tcW w:w="6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二十二、灾害防治及应急管理支出</w:t>
            </w: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54</w:t>
            </w:r>
          </w:p>
        </w:tc>
        <w:tc>
          <w:tcPr>
            <w:tcW w:w="7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w:t>
            </w:r>
          </w:p>
        </w:tc>
        <w:tc>
          <w:tcPr>
            <w:tcW w:w="6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二十三、其他支出</w:t>
            </w: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55</w:t>
            </w:r>
          </w:p>
        </w:tc>
        <w:tc>
          <w:tcPr>
            <w:tcW w:w="7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12,571.17</w:t>
            </w:r>
          </w:p>
        </w:tc>
        <w:tc>
          <w:tcPr>
            <w:tcW w:w="7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12,571.17</w:t>
            </w: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b/>
                <w:i w:val="0"/>
                <w:color w:val="000000"/>
                <w:sz w:val="16"/>
                <w:szCs w:val="16"/>
                <w:u w:val="none"/>
              </w:rPr>
            </w:pPr>
          </w:p>
        </w:tc>
        <w:tc>
          <w:tcPr>
            <w:tcW w:w="3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w:t>
            </w:r>
          </w:p>
        </w:tc>
        <w:tc>
          <w:tcPr>
            <w:tcW w:w="6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二十四、债务还本支出</w:t>
            </w: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56</w:t>
            </w:r>
          </w:p>
        </w:tc>
        <w:tc>
          <w:tcPr>
            <w:tcW w:w="7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25</w:t>
            </w:r>
          </w:p>
        </w:tc>
        <w:tc>
          <w:tcPr>
            <w:tcW w:w="6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二十五、债务付息支出</w:t>
            </w: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57</w:t>
            </w:r>
          </w:p>
        </w:tc>
        <w:tc>
          <w:tcPr>
            <w:tcW w:w="7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26</w:t>
            </w:r>
          </w:p>
        </w:tc>
        <w:tc>
          <w:tcPr>
            <w:tcW w:w="6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二十六、抗疫特别国债安排的支出</w:t>
            </w: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58</w:t>
            </w:r>
          </w:p>
        </w:tc>
        <w:tc>
          <w:tcPr>
            <w:tcW w:w="7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1,042.99</w:t>
            </w:r>
          </w:p>
        </w:tc>
        <w:tc>
          <w:tcPr>
            <w:tcW w:w="7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1,042.99</w:t>
            </w: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本年收入合计</w:t>
            </w:r>
          </w:p>
        </w:tc>
        <w:tc>
          <w:tcPr>
            <w:tcW w:w="3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27</w:t>
            </w:r>
          </w:p>
        </w:tc>
        <w:tc>
          <w:tcPr>
            <w:tcW w:w="6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77,232.24</w:t>
            </w: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本年支出合计</w:t>
            </w: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59</w:t>
            </w:r>
          </w:p>
        </w:tc>
        <w:tc>
          <w:tcPr>
            <w:tcW w:w="7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53,577.07</w:t>
            </w:r>
          </w:p>
        </w:tc>
        <w:tc>
          <w:tcPr>
            <w:tcW w:w="7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33,393.65</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20,183.42</w:t>
            </w: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年初财政拨款结转和结余</w:t>
            </w:r>
          </w:p>
        </w:tc>
        <w:tc>
          <w:tcPr>
            <w:tcW w:w="3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28</w:t>
            </w:r>
          </w:p>
        </w:tc>
        <w:tc>
          <w:tcPr>
            <w:tcW w:w="6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8,432.49</w:t>
            </w: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年末财政拨款结转和结余</w:t>
            </w: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60</w:t>
            </w:r>
          </w:p>
        </w:tc>
        <w:tc>
          <w:tcPr>
            <w:tcW w:w="7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32,087.65</w:t>
            </w:r>
          </w:p>
        </w:tc>
        <w:tc>
          <w:tcPr>
            <w:tcW w:w="7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6,650.15</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25,437.50</w:t>
            </w: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一般公共预算财政拨款</w:t>
            </w:r>
          </w:p>
        </w:tc>
        <w:tc>
          <w:tcPr>
            <w:tcW w:w="3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w:t>
            </w:r>
          </w:p>
        </w:tc>
        <w:tc>
          <w:tcPr>
            <w:tcW w:w="6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7,388.79</w:t>
            </w: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61</w:t>
            </w:r>
          </w:p>
        </w:tc>
        <w:tc>
          <w:tcPr>
            <w:tcW w:w="7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政府性基金预算财政拨款</w:t>
            </w:r>
          </w:p>
        </w:tc>
        <w:tc>
          <w:tcPr>
            <w:tcW w:w="3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w:t>
            </w:r>
          </w:p>
        </w:tc>
        <w:tc>
          <w:tcPr>
            <w:tcW w:w="6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1,043.69</w:t>
            </w: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62</w:t>
            </w:r>
          </w:p>
        </w:tc>
        <w:tc>
          <w:tcPr>
            <w:tcW w:w="7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国有资本经营预算财政拨款</w:t>
            </w:r>
          </w:p>
        </w:tc>
        <w:tc>
          <w:tcPr>
            <w:tcW w:w="3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w:t>
            </w:r>
          </w:p>
        </w:tc>
        <w:tc>
          <w:tcPr>
            <w:tcW w:w="6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63</w:t>
            </w:r>
          </w:p>
        </w:tc>
        <w:tc>
          <w:tcPr>
            <w:tcW w:w="7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0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总计</w:t>
            </w:r>
          </w:p>
        </w:tc>
        <w:tc>
          <w:tcPr>
            <w:tcW w:w="366" w:type="dxa"/>
            <w:tcBorders>
              <w:top w:val="nil"/>
              <w:left w:val="nil"/>
              <w:bottom w:val="single" w:color="000000" w:sz="8"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32</w:t>
            </w:r>
          </w:p>
        </w:tc>
        <w:tc>
          <w:tcPr>
            <w:tcW w:w="6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85,664.73</w:t>
            </w:r>
          </w:p>
        </w:tc>
        <w:tc>
          <w:tcPr>
            <w:tcW w:w="19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总计</w:t>
            </w:r>
          </w:p>
        </w:tc>
        <w:tc>
          <w:tcPr>
            <w:tcW w:w="46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64</w:t>
            </w:r>
          </w:p>
        </w:tc>
        <w:tc>
          <w:tcPr>
            <w:tcW w:w="7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85,664.73</w:t>
            </w:r>
          </w:p>
        </w:tc>
        <w:tc>
          <w:tcPr>
            <w:tcW w:w="7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40,043.80</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45,620.93</w:t>
            </w: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7947"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注：本表反映部门本年度一般公共预算财政拨款、政府性基金预算财政拨款和国有资本经营预算财政拨款的总收支和年末结转结余情况。</w:t>
            </w:r>
          </w:p>
        </w:tc>
        <w:tc>
          <w:tcPr>
            <w:tcW w:w="927" w:type="dxa"/>
            <w:tcBorders>
              <w:top w:val="nil"/>
              <w:left w:val="nil"/>
              <w:bottom w:val="nil"/>
              <w:right w:val="nil"/>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bl>
    <w:p>
      <w:pPr>
        <w:tabs>
          <w:tab w:val="left" w:pos="682"/>
        </w:tabs>
        <w:bidi w:val="0"/>
        <w:jc w:val="left"/>
        <w:rPr>
          <w:rFonts w:hint="eastAsia"/>
          <w:lang w:val="en-US" w:eastAsia="zh-CN"/>
        </w:rPr>
        <w:sectPr>
          <w:pgSz w:w="11906" w:h="16838"/>
          <w:pgMar w:top="2098" w:right="1531" w:bottom="1984" w:left="1531" w:header="851" w:footer="992" w:gutter="0"/>
          <w:pgNumType w:fmt="numberInDash"/>
          <w:cols w:space="0" w:num="1"/>
          <w:titlePg/>
          <w:docGrid w:type="lines" w:linePitch="312" w:charSpace="0"/>
        </w:sectPr>
      </w:pPr>
    </w:p>
    <w:tbl>
      <w:tblPr>
        <w:tblStyle w:val="5"/>
        <w:tblW w:w="8874" w:type="dxa"/>
        <w:tblInd w:w="0" w:type="dxa"/>
        <w:shd w:val="clear" w:color="auto" w:fill="auto"/>
        <w:tblLayout w:type="fixed"/>
        <w:tblCellMar>
          <w:top w:w="0" w:type="dxa"/>
          <w:left w:w="0" w:type="dxa"/>
          <w:bottom w:w="0" w:type="dxa"/>
          <w:right w:w="0" w:type="dxa"/>
        </w:tblCellMar>
      </w:tblPr>
      <w:tblGrid>
        <w:gridCol w:w="2334"/>
        <w:gridCol w:w="284"/>
        <w:gridCol w:w="284"/>
        <w:gridCol w:w="2335"/>
        <w:gridCol w:w="1314"/>
        <w:gridCol w:w="1098"/>
        <w:gridCol w:w="1225"/>
      </w:tblGrid>
      <w:tr>
        <w:tblPrEx>
          <w:shd w:val="clear" w:color="auto" w:fill="auto"/>
          <w:tblCellMar>
            <w:top w:w="0" w:type="dxa"/>
            <w:left w:w="0" w:type="dxa"/>
            <w:bottom w:w="0" w:type="dxa"/>
            <w:right w:w="0" w:type="dxa"/>
          </w:tblCellMar>
        </w:tblPrEx>
        <w:trPr>
          <w:trHeight w:val="225" w:hRule="atLeast"/>
        </w:trPr>
        <w:tc>
          <w:tcPr>
            <w:tcW w:w="2334" w:type="dxa"/>
            <w:tcBorders>
              <w:top w:val="nil"/>
              <w:left w:val="nil"/>
              <w:bottom w:val="nil"/>
              <w:right w:val="nil"/>
            </w:tcBorders>
            <w:shd w:val="clear" w:color="auto" w:fill="auto"/>
            <w:tcMar>
              <w:top w:w="15" w:type="dxa"/>
              <w:left w:w="15" w:type="dxa"/>
              <w:right w:w="15" w:type="dxa"/>
            </w:tcMar>
            <w:vAlign w:val="bottom"/>
          </w:tcPr>
          <w:p>
            <w:pPr>
              <w:rPr>
                <w:rFonts w:hint="eastAsia" w:ascii="Arial" w:hAnsi="Arial" w:cs="Arial"/>
                <w:i w:val="0"/>
                <w:color w:val="000000"/>
                <w:sz w:val="16"/>
                <w:szCs w:val="16"/>
                <w:u w:val="none"/>
              </w:rPr>
            </w:pPr>
          </w:p>
        </w:tc>
        <w:tc>
          <w:tcPr>
            <w:tcW w:w="28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8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335" w:type="dxa"/>
            <w:tcBorders>
              <w:top w:val="nil"/>
              <w:left w:val="nil"/>
              <w:bottom w:val="nil"/>
              <w:right w:val="nil"/>
            </w:tcBorders>
            <w:shd w:val="clear" w:color="auto" w:fill="auto"/>
            <w:tcMar>
              <w:top w:w="15" w:type="dxa"/>
              <w:left w:w="15" w:type="dxa"/>
              <w:right w:w="15" w:type="dxa"/>
            </w:tcMar>
            <w:vAlign w:val="center"/>
          </w:tcPr>
          <w:p>
            <w:pPr>
              <w:jc w:val="center"/>
              <w:rPr>
                <w:rFonts w:hint="default" w:ascii="Arial" w:hAnsi="Arial" w:cs="Arial"/>
                <w:i w:val="0"/>
                <w:color w:val="000000"/>
                <w:sz w:val="16"/>
                <w:szCs w:val="16"/>
                <w:u w:val="none"/>
              </w:rPr>
            </w:pPr>
            <w:r>
              <w:rPr>
                <w:rFonts w:hint="eastAsia" w:ascii="宋体" w:hAnsi="宋体" w:eastAsia="宋体" w:cs="宋体"/>
                <w:i w:val="0"/>
                <w:color w:val="000000"/>
                <w:kern w:val="0"/>
                <w:sz w:val="18"/>
                <w:szCs w:val="18"/>
                <w:u w:val="none"/>
                <w:lang w:val="en-US" w:eastAsia="zh-CN" w:bidi="ar"/>
              </w:rPr>
              <w:t>一般公共预算财政拨款支出决算表</w:t>
            </w:r>
          </w:p>
        </w:tc>
        <w:tc>
          <w:tcPr>
            <w:tcW w:w="1314"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16"/>
                <w:szCs w:val="16"/>
                <w:u w:val="none"/>
              </w:rPr>
            </w:pPr>
          </w:p>
        </w:tc>
        <w:tc>
          <w:tcPr>
            <w:tcW w:w="109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22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r>
      <w:tr>
        <w:tblPrEx>
          <w:tblCellMar>
            <w:top w:w="0" w:type="dxa"/>
            <w:left w:w="0" w:type="dxa"/>
            <w:bottom w:w="0" w:type="dxa"/>
            <w:right w:w="0" w:type="dxa"/>
          </w:tblCellMar>
        </w:tblPrEx>
        <w:trPr>
          <w:trHeight w:val="225" w:hRule="atLeast"/>
        </w:trPr>
        <w:tc>
          <w:tcPr>
            <w:tcW w:w="233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8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8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33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31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09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225"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公开05表</w:t>
            </w:r>
          </w:p>
        </w:tc>
      </w:tr>
      <w:tr>
        <w:tblPrEx>
          <w:tblCellMar>
            <w:top w:w="0" w:type="dxa"/>
            <w:left w:w="0" w:type="dxa"/>
            <w:bottom w:w="0" w:type="dxa"/>
            <w:right w:w="0" w:type="dxa"/>
          </w:tblCellMar>
        </w:tblPrEx>
        <w:trPr>
          <w:trHeight w:val="225" w:hRule="atLeast"/>
        </w:trPr>
        <w:tc>
          <w:tcPr>
            <w:tcW w:w="2334"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部门：石家庄市鹿泉区水利局（汇总）</w:t>
            </w:r>
          </w:p>
        </w:tc>
        <w:tc>
          <w:tcPr>
            <w:tcW w:w="28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8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33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31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09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225"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CellMar>
            <w:top w:w="0" w:type="dxa"/>
            <w:left w:w="0" w:type="dxa"/>
            <w:bottom w:w="0" w:type="dxa"/>
            <w:right w:w="0" w:type="dxa"/>
          </w:tblCellMar>
        </w:tblPrEx>
        <w:trPr>
          <w:trHeight w:val="308" w:hRule="atLeast"/>
        </w:trPr>
        <w:tc>
          <w:tcPr>
            <w:tcW w:w="5237" w:type="dxa"/>
            <w:gridSpan w:val="4"/>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w:t>
            </w:r>
          </w:p>
        </w:tc>
        <w:tc>
          <w:tcPr>
            <w:tcW w:w="3637"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本年支出</w:t>
            </w:r>
          </w:p>
        </w:tc>
      </w:tr>
      <w:tr>
        <w:tblPrEx>
          <w:tblCellMar>
            <w:top w:w="0" w:type="dxa"/>
            <w:left w:w="0" w:type="dxa"/>
            <w:bottom w:w="0" w:type="dxa"/>
            <w:right w:w="0" w:type="dxa"/>
          </w:tblCellMar>
        </w:tblPrEx>
        <w:trPr>
          <w:trHeight w:val="308" w:hRule="atLeast"/>
        </w:trPr>
        <w:tc>
          <w:tcPr>
            <w:tcW w:w="2902"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功能分类科目编码</w:t>
            </w:r>
          </w:p>
        </w:tc>
        <w:tc>
          <w:tcPr>
            <w:tcW w:w="233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科目名称</w:t>
            </w:r>
          </w:p>
        </w:tc>
        <w:tc>
          <w:tcPr>
            <w:tcW w:w="1314"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小计</w:t>
            </w:r>
          </w:p>
        </w:tc>
        <w:tc>
          <w:tcPr>
            <w:tcW w:w="1098"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基本支出</w:t>
            </w:r>
          </w:p>
        </w:tc>
        <w:tc>
          <w:tcPr>
            <w:tcW w:w="122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项目支出</w:t>
            </w:r>
          </w:p>
        </w:tc>
      </w:tr>
      <w:tr>
        <w:tblPrEx>
          <w:tblCellMar>
            <w:top w:w="0" w:type="dxa"/>
            <w:left w:w="0" w:type="dxa"/>
            <w:bottom w:w="0" w:type="dxa"/>
            <w:right w:w="0" w:type="dxa"/>
          </w:tblCellMar>
        </w:tblPrEx>
        <w:trPr>
          <w:trHeight w:val="277" w:hRule="atLeast"/>
        </w:trPr>
        <w:tc>
          <w:tcPr>
            <w:tcW w:w="2902"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3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314"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98"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2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902"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3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314"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98"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2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5237"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栏次</w:t>
            </w:r>
          </w:p>
        </w:tc>
        <w:tc>
          <w:tcPr>
            <w:tcW w:w="131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109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12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r>
      <w:tr>
        <w:tblPrEx>
          <w:tblCellMar>
            <w:top w:w="0" w:type="dxa"/>
            <w:left w:w="0" w:type="dxa"/>
            <w:bottom w:w="0" w:type="dxa"/>
            <w:right w:w="0" w:type="dxa"/>
          </w:tblCellMar>
        </w:tblPrEx>
        <w:trPr>
          <w:trHeight w:val="308" w:hRule="atLeast"/>
        </w:trPr>
        <w:tc>
          <w:tcPr>
            <w:tcW w:w="5237"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合计</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33,393.65</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2,788.39</w:t>
            </w: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30,605.26</w:t>
            </w: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一般公共服务支出</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43.98</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43.98</w:t>
            </w: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20103</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政府办公厅（室）及相关机构事务</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43.98</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43.98</w:t>
            </w: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2010305</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专项业务活动</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43.98</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43.98</w:t>
            </w: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社会保障和就业支出</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273.26</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227.44</w:t>
            </w: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45.82</w:t>
            </w: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20805</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行政事业单位养老支出</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227.44</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227.44</w:t>
            </w: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2080505</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机关事业单位基本养老保险缴费支出</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172.83</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172.83</w:t>
            </w: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2080506</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机关事业单位职业年金缴费支出</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54.61</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54.61</w:t>
            </w: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20809</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退役安置</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45.82</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45.82</w:t>
            </w: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2080901</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退役士兵安置</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45.82</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45.82</w:t>
            </w: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卫生健康支出</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160.02</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160.02</w:t>
            </w: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21011</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行政事业单位医疗</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160.02</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160.02</w:t>
            </w: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2101101</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行政单位医疗</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14.55</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14.55</w:t>
            </w: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2101102</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事业单位医疗</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145.47</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145.47</w:t>
            </w: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农林水支出</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32,715.40</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2,199.94</w:t>
            </w: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30,515.46</w:t>
            </w: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21301</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农业农村</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8.30</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8.30</w:t>
            </w: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2130104</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事业运行</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8.30</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8.30</w:t>
            </w: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水利</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32,707.10</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2,191.64</w:t>
            </w: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30,515.46</w:t>
            </w: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2130301</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行政运行</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2,141.64</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2,141.64</w:t>
            </w: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2130302</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一般行政管理事务</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5.00</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5.00</w:t>
            </w: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2130304</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水利行业业务管理</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121.52</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50.00</w:t>
            </w: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71.52</w:t>
            </w: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2130305</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水利工程建设</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41.81</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41.81</w:t>
            </w: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2130306</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水利工程运行与维护</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15.47</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15.47</w:t>
            </w: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2130310</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水土保持</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166.39</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166.39</w:t>
            </w: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2130311</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水资源节约管理与保护</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177.39</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177.39</w:t>
            </w: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2130314</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防汛</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148.29</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148.29</w:t>
            </w: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2130315</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抗旱</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33.30</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33.30</w:t>
            </w: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2130316</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农村水利</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6.03</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6.03</w:t>
            </w: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2130319</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江河湖库水系综合整治</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1,824.81</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1,824.81</w:t>
            </w: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2130321</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大中型水库移民后期扶持专项支出</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50.74</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50.74</w:t>
            </w: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2130335</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农村人畜饮水</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73.76</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73.76</w:t>
            </w: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2130336</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南水北调工程建设</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37.68</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37.68</w:t>
            </w: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2130399</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其他水利支出</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27,863.27</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27,863.27</w:t>
            </w: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221</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住房保障支出</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200.98</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200.98</w:t>
            </w: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22102</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住房改革支出</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200.98</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200.98</w:t>
            </w: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9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2210201</w:t>
            </w:r>
          </w:p>
        </w:tc>
        <w:tc>
          <w:tcPr>
            <w:tcW w:w="23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住房公积金</w:t>
            </w:r>
          </w:p>
        </w:tc>
        <w:tc>
          <w:tcPr>
            <w:tcW w:w="13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200.98</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200.98</w:t>
            </w:r>
          </w:p>
        </w:tc>
        <w:tc>
          <w:tcPr>
            <w:tcW w:w="12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bl>
    <w:p>
      <w:pPr>
        <w:tabs>
          <w:tab w:val="left" w:pos="682"/>
        </w:tabs>
        <w:bidi w:val="0"/>
        <w:jc w:val="left"/>
        <w:rPr>
          <w:rFonts w:hint="eastAsia"/>
          <w:sz w:val="16"/>
          <w:szCs w:val="16"/>
          <w:lang w:val="en-US" w:eastAsia="zh-CN"/>
        </w:rPr>
        <w:sectPr>
          <w:pgSz w:w="11906" w:h="16838"/>
          <w:pgMar w:top="2098" w:right="1531" w:bottom="1984" w:left="1531" w:header="851" w:footer="992" w:gutter="0"/>
          <w:pgNumType w:fmt="numberInDash"/>
          <w:cols w:space="0" w:num="1"/>
          <w:titlePg/>
          <w:docGrid w:type="lines" w:linePitch="312" w:charSpace="0"/>
        </w:sectPr>
      </w:pPr>
      <w:r>
        <w:rPr>
          <w:rFonts w:hint="eastAsia"/>
          <w:sz w:val="16"/>
          <w:szCs w:val="16"/>
          <w:lang w:val="en-US" w:eastAsia="zh-CN"/>
        </w:rPr>
        <w:t>注：本表反映部门本年度一般公共预算财政拨款支出情况。</w:t>
      </w:r>
    </w:p>
    <w:tbl>
      <w:tblPr>
        <w:tblStyle w:val="5"/>
        <w:tblW w:w="8874" w:type="dxa"/>
        <w:tblInd w:w="0" w:type="dxa"/>
        <w:shd w:val="clear" w:color="auto" w:fill="auto"/>
        <w:tblLayout w:type="fixed"/>
        <w:tblCellMar>
          <w:top w:w="0" w:type="dxa"/>
          <w:left w:w="0" w:type="dxa"/>
          <w:bottom w:w="0" w:type="dxa"/>
          <w:right w:w="0" w:type="dxa"/>
        </w:tblCellMar>
      </w:tblPr>
      <w:tblGrid>
        <w:gridCol w:w="1693"/>
        <w:gridCol w:w="1497"/>
        <w:gridCol w:w="699"/>
        <w:gridCol w:w="461"/>
        <w:gridCol w:w="1008"/>
        <w:gridCol w:w="452"/>
        <w:gridCol w:w="461"/>
        <w:gridCol w:w="1888"/>
        <w:gridCol w:w="715"/>
      </w:tblGrid>
      <w:tr>
        <w:tblPrEx>
          <w:shd w:val="clear" w:color="auto" w:fill="auto"/>
          <w:tblCellMar>
            <w:top w:w="0" w:type="dxa"/>
            <w:left w:w="0" w:type="dxa"/>
            <w:bottom w:w="0" w:type="dxa"/>
            <w:right w:w="0" w:type="dxa"/>
          </w:tblCellMar>
        </w:tblPrEx>
        <w:trPr>
          <w:trHeight w:val="225" w:hRule="atLeast"/>
        </w:trPr>
        <w:tc>
          <w:tcPr>
            <w:tcW w:w="1693" w:type="dxa"/>
            <w:tcBorders>
              <w:top w:val="nil"/>
              <w:left w:val="nil"/>
              <w:bottom w:val="nil"/>
              <w:right w:val="nil"/>
            </w:tcBorders>
            <w:shd w:val="clear" w:color="auto" w:fill="auto"/>
            <w:tcMar>
              <w:top w:w="15" w:type="dxa"/>
              <w:left w:w="15" w:type="dxa"/>
              <w:right w:w="15" w:type="dxa"/>
            </w:tcMar>
            <w:vAlign w:val="bottom"/>
          </w:tcPr>
          <w:p>
            <w:pPr>
              <w:rPr>
                <w:rFonts w:hint="eastAsia" w:ascii="Arial" w:hAnsi="Arial" w:cs="Arial"/>
                <w:i w:val="0"/>
                <w:color w:val="000000"/>
                <w:sz w:val="16"/>
                <w:szCs w:val="16"/>
                <w:u w:val="none"/>
              </w:rPr>
            </w:pPr>
          </w:p>
        </w:tc>
        <w:tc>
          <w:tcPr>
            <w:tcW w:w="149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168" w:type="dxa"/>
            <w:gridSpan w:val="3"/>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8"/>
                <w:szCs w:val="18"/>
                <w:u w:val="none"/>
                <w:lang w:val="en-US" w:eastAsia="zh-CN" w:bidi="ar"/>
              </w:rPr>
              <w:t>一般公共预算财政拨款基本支出决算表</w:t>
            </w:r>
          </w:p>
        </w:tc>
        <w:tc>
          <w:tcPr>
            <w:tcW w:w="452"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6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88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1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r>
      <w:tr>
        <w:tblPrEx>
          <w:tblCellMar>
            <w:top w:w="0" w:type="dxa"/>
            <w:left w:w="0" w:type="dxa"/>
            <w:bottom w:w="0" w:type="dxa"/>
            <w:right w:w="0" w:type="dxa"/>
          </w:tblCellMar>
        </w:tblPrEx>
        <w:trPr>
          <w:trHeight w:val="225" w:hRule="atLeast"/>
        </w:trPr>
        <w:tc>
          <w:tcPr>
            <w:tcW w:w="169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49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9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6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00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52"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6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88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15"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公开06表</w:t>
            </w:r>
          </w:p>
        </w:tc>
      </w:tr>
      <w:tr>
        <w:tblPrEx>
          <w:tblCellMar>
            <w:top w:w="0" w:type="dxa"/>
            <w:left w:w="0" w:type="dxa"/>
            <w:bottom w:w="0" w:type="dxa"/>
            <w:right w:w="0" w:type="dxa"/>
          </w:tblCellMar>
        </w:tblPrEx>
        <w:trPr>
          <w:trHeight w:val="225" w:hRule="atLeast"/>
        </w:trPr>
        <w:tc>
          <w:tcPr>
            <w:tcW w:w="1693"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部门：石家庄市鹿泉区水利局（汇总）</w:t>
            </w:r>
          </w:p>
        </w:tc>
        <w:tc>
          <w:tcPr>
            <w:tcW w:w="149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9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6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00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52"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6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88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15"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CellMar>
            <w:top w:w="0" w:type="dxa"/>
            <w:left w:w="0" w:type="dxa"/>
            <w:bottom w:w="0" w:type="dxa"/>
            <w:right w:w="0" w:type="dxa"/>
          </w:tblCellMar>
        </w:tblPrEx>
        <w:trPr>
          <w:trHeight w:val="308" w:hRule="atLeast"/>
        </w:trPr>
        <w:tc>
          <w:tcPr>
            <w:tcW w:w="3889" w:type="dxa"/>
            <w:gridSpan w:val="3"/>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人员经费</w:t>
            </w:r>
          </w:p>
        </w:tc>
        <w:tc>
          <w:tcPr>
            <w:tcW w:w="4985" w:type="dxa"/>
            <w:gridSpan w:val="6"/>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公用经费</w:t>
            </w:r>
          </w:p>
        </w:tc>
      </w:tr>
      <w:tr>
        <w:tblPrEx>
          <w:tblCellMar>
            <w:top w:w="0" w:type="dxa"/>
            <w:left w:w="0" w:type="dxa"/>
            <w:bottom w:w="0" w:type="dxa"/>
            <w:right w:w="0" w:type="dxa"/>
          </w:tblCellMar>
        </w:tblPrEx>
        <w:trPr>
          <w:trHeight w:val="308" w:hRule="atLeast"/>
        </w:trPr>
        <w:tc>
          <w:tcPr>
            <w:tcW w:w="1693"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科目编码</w:t>
            </w:r>
          </w:p>
        </w:tc>
        <w:tc>
          <w:tcPr>
            <w:tcW w:w="1497"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科目名称</w:t>
            </w:r>
          </w:p>
        </w:tc>
        <w:tc>
          <w:tcPr>
            <w:tcW w:w="699"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决算数</w:t>
            </w:r>
          </w:p>
        </w:tc>
        <w:tc>
          <w:tcPr>
            <w:tcW w:w="46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科目编码</w:t>
            </w:r>
          </w:p>
        </w:tc>
        <w:tc>
          <w:tcPr>
            <w:tcW w:w="1008"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科目名称</w:t>
            </w:r>
          </w:p>
        </w:tc>
        <w:tc>
          <w:tcPr>
            <w:tcW w:w="452"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决算数</w:t>
            </w:r>
          </w:p>
        </w:tc>
        <w:tc>
          <w:tcPr>
            <w:tcW w:w="46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科目编码</w:t>
            </w:r>
          </w:p>
        </w:tc>
        <w:tc>
          <w:tcPr>
            <w:tcW w:w="1888"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科目名称</w:t>
            </w:r>
          </w:p>
        </w:tc>
        <w:tc>
          <w:tcPr>
            <w:tcW w:w="71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决算数</w:t>
            </w:r>
          </w:p>
        </w:tc>
      </w:tr>
      <w:tr>
        <w:tblPrEx>
          <w:tblCellMar>
            <w:top w:w="0" w:type="dxa"/>
            <w:left w:w="0" w:type="dxa"/>
            <w:bottom w:w="0" w:type="dxa"/>
            <w:right w:w="0" w:type="dxa"/>
          </w:tblCellMar>
        </w:tblPrEx>
        <w:trPr>
          <w:trHeight w:val="308" w:hRule="atLeast"/>
        </w:trPr>
        <w:tc>
          <w:tcPr>
            <w:tcW w:w="1693"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9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99"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6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08"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5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6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88"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1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69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w:t>
            </w:r>
          </w:p>
        </w:tc>
        <w:tc>
          <w:tcPr>
            <w:tcW w:w="14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工资福利支出</w:t>
            </w:r>
          </w:p>
        </w:tc>
        <w:tc>
          <w:tcPr>
            <w:tcW w:w="6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2,440.78</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w:t>
            </w:r>
          </w:p>
        </w:tc>
        <w:tc>
          <w:tcPr>
            <w:tcW w:w="100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商品和服务支出</w:t>
            </w:r>
          </w:p>
        </w:tc>
        <w:tc>
          <w:tcPr>
            <w:tcW w:w="4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281.11</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307</w:t>
            </w:r>
          </w:p>
        </w:tc>
        <w:tc>
          <w:tcPr>
            <w:tcW w:w="188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债务利息及费用支出</w:t>
            </w:r>
          </w:p>
        </w:tc>
        <w:tc>
          <w:tcPr>
            <w:tcW w:w="7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69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30101</w:t>
            </w:r>
          </w:p>
        </w:tc>
        <w:tc>
          <w:tcPr>
            <w:tcW w:w="14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基本工资</w:t>
            </w:r>
          </w:p>
        </w:tc>
        <w:tc>
          <w:tcPr>
            <w:tcW w:w="6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598.16</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30201</w:t>
            </w:r>
          </w:p>
        </w:tc>
        <w:tc>
          <w:tcPr>
            <w:tcW w:w="100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办公费</w:t>
            </w:r>
          </w:p>
        </w:tc>
        <w:tc>
          <w:tcPr>
            <w:tcW w:w="4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18.05</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30701</w:t>
            </w:r>
          </w:p>
        </w:tc>
        <w:tc>
          <w:tcPr>
            <w:tcW w:w="188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国内债务付息</w:t>
            </w:r>
          </w:p>
        </w:tc>
        <w:tc>
          <w:tcPr>
            <w:tcW w:w="7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69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30102</w:t>
            </w:r>
          </w:p>
        </w:tc>
        <w:tc>
          <w:tcPr>
            <w:tcW w:w="14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津贴补贴</w:t>
            </w:r>
          </w:p>
        </w:tc>
        <w:tc>
          <w:tcPr>
            <w:tcW w:w="6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239.23</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30202</w:t>
            </w:r>
          </w:p>
        </w:tc>
        <w:tc>
          <w:tcPr>
            <w:tcW w:w="100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印刷费</w:t>
            </w:r>
          </w:p>
        </w:tc>
        <w:tc>
          <w:tcPr>
            <w:tcW w:w="4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1.49</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30702</w:t>
            </w:r>
          </w:p>
        </w:tc>
        <w:tc>
          <w:tcPr>
            <w:tcW w:w="188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国外债务付息</w:t>
            </w:r>
          </w:p>
        </w:tc>
        <w:tc>
          <w:tcPr>
            <w:tcW w:w="7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69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30103</w:t>
            </w:r>
          </w:p>
        </w:tc>
        <w:tc>
          <w:tcPr>
            <w:tcW w:w="14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奖金</w:t>
            </w:r>
          </w:p>
        </w:tc>
        <w:tc>
          <w:tcPr>
            <w:tcW w:w="6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439.70</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30203</w:t>
            </w:r>
          </w:p>
        </w:tc>
        <w:tc>
          <w:tcPr>
            <w:tcW w:w="100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咨询费</w:t>
            </w:r>
          </w:p>
        </w:tc>
        <w:tc>
          <w:tcPr>
            <w:tcW w:w="4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0.83</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w:t>
            </w:r>
          </w:p>
        </w:tc>
        <w:tc>
          <w:tcPr>
            <w:tcW w:w="188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资本性支出</w:t>
            </w:r>
          </w:p>
        </w:tc>
        <w:tc>
          <w:tcPr>
            <w:tcW w:w="7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12.13</w:t>
            </w:r>
          </w:p>
        </w:tc>
      </w:tr>
      <w:tr>
        <w:tblPrEx>
          <w:tblCellMar>
            <w:top w:w="0" w:type="dxa"/>
            <w:left w:w="0" w:type="dxa"/>
            <w:bottom w:w="0" w:type="dxa"/>
            <w:right w:w="0" w:type="dxa"/>
          </w:tblCellMar>
        </w:tblPrEx>
        <w:trPr>
          <w:trHeight w:val="308" w:hRule="atLeast"/>
        </w:trPr>
        <w:tc>
          <w:tcPr>
            <w:tcW w:w="169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30106</w:t>
            </w:r>
          </w:p>
        </w:tc>
        <w:tc>
          <w:tcPr>
            <w:tcW w:w="14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伙食补助费</w:t>
            </w:r>
          </w:p>
        </w:tc>
        <w:tc>
          <w:tcPr>
            <w:tcW w:w="6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30204</w:t>
            </w:r>
          </w:p>
        </w:tc>
        <w:tc>
          <w:tcPr>
            <w:tcW w:w="100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手续费</w:t>
            </w:r>
          </w:p>
        </w:tc>
        <w:tc>
          <w:tcPr>
            <w:tcW w:w="4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0.09</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31001</w:t>
            </w:r>
          </w:p>
        </w:tc>
        <w:tc>
          <w:tcPr>
            <w:tcW w:w="188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房屋建筑物购建</w:t>
            </w:r>
          </w:p>
        </w:tc>
        <w:tc>
          <w:tcPr>
            <w:tcW w:w="7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69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30107</w:t>
            </w:r>
          </w:p>
        </w:tc>
        <w:tc>
          <w:tcPr>
            <w:tcW w:w="14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绩效工资</w:t>
            </w:r>
          </w:p>
        </w:tc>
        <w:tc>
          <w:tcPr>
            <w:tcW w:w="6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485.10</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30205</w:t>
            </w:r>
          </w:p>
        </w:tc>
        <w:tc>
          <w:tcPr>
            <w:tcW w:w="100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水费</w:t>
            </w:r>
          </w:p>
        </w:tc>
        <w:tc>
          <w:tcPr>
            <w:tcW w:w="4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4.50</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31002</w:t>
            </w:r>
          </w:p>
        </w:tc>
        <w:tc>
          <w:tcPr>
            <w:tcW w:w="188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办公设备购置</w:t>
            </w:r>
          </w:p>
        </w:tc>
        <w:tc>
          <w:tcPr>
            <w:tcW w:w="7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12.13</w:t>
            </w:r>
          </w:p>
        </w:tc>
      </w:tr>
      <w:tr>
        <w:tblPrEx>
          <w:tblCellMar>
            <w:top w:w="0" w:type="dxa"/>
            <w:left w:w="0" w:type="dxa"/>
            <w:bottom w:w="0" w:type="dxa"/>
            <w:right w:w="0" w:type="dxa"/>
          </w:tblCellMar>
        </w:tblPrEx>
        <w:trPr>
          <w:trHeight w:val="308" w:hRule="atLeast"/>
        </w:trPr>
        <w:tc>
          <w:tcPr>
            <w:tcW w:w="169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30108</w:t>
            </w:r>
          </w:p>
        </w:tc>
        <w:tc>
          <w:tcPr>
            <w:tcW w:w="14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机关事业单位基本养老保险缴费</w:t>
            </w:r>
          </w:p>
        </w:tc>
        <w:tc>
          <w:tcPr>
            <w:tcW w:w="6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169.08</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30206</w:t>
            </w:r>
          </w:p>
        </w:tc>
        <w:tc>
          <w:tcPr>
            <w:tcW w:w="100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电费</w:t>
            </w:r>
          </w:p>
        </w:tc>
        <w:tc>
          <w:tcPr>
            <w:tcW w:w="4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4.45</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31003</w:t>
            </w:r>
          </w:p>
        </w:tc>
        <w:tc>
          <w:tcPr>
            <w:tcW w:w="188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专用设备购置</w:t>
            </w:r>
          </w:p>
        </w:tc>
        <w:tc>
          <w:tcPr>
            <w:tcW w:w="7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69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30109</w:t>
            </w:r>
          </w:p>
        </w:tc>
        <w:tc>
          <w:tcPr>
            <w:tcW w:w="14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职业年金缴费</w:t>
            </w:r>
          </w:p>
        </w:tc>
        <w:tc>
          <w:tcPr>
            <w:tcW w:w="6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62.76</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30207</w:t>
            </w:r>
          </w:p>
        </w:tc>
        <w:tc>
          <w:tcPr>
            <w:tcW w:w="100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邮电费</w:t>
            </w:r>
          </w:p>
        </w:tc>
        <w:tc>
          <w:tcPr>
            <w:tcW w:w="4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41.89</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31005</w:t>
            </w:r>
          </w:p>
        </w:tc>
        <w:tc>
          <w:tcPr>
            <w:tcW w:w="188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基础设施建设</w:t>
            </w:r>
          </w:p>
        </w:tc>
        <w:tc>
          <w:tcPr>
            <w:tcW w:w="7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69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30110</w:t>
            </w:r>
          </w:p>
        </w:tc>
        <w:tc>
          <w:tcPr>
            <w:tcW w:w="14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职工基本医疗保险缴费</w:t>
            </w:r>
          </w:p>
        </w:tc>
        <w:tc>
          <w:tcPr>
            <w:tcW w:w="6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98.59</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30208</w:t>
            </w:r>
          </w:p>
        </w:tc>
        <w:tc>
          <w:tcPr>
            <w:tcW w:w="100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取暖费</w:t>
            </w:r>
          </w:p>
        </w:tc>
        <w:tc>
          <w:tcPr>
            <w:tcW w:w="4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13.71</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31006</w:t>
            </w:r>
          </w:p>
        </w:tc>
        <w:tc>
          <w:tcPr>
            <w:tcW w:w="188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大型修缮</w:t>
            </w:r>
          </w:p>
        </w:tc>
        <w:tc>
          <w:tcPr>
            <w:tcW w:w="7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69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30111</w:t>
            </w:r>
          </w:p>
        </w:tc>
        <w:tc>
          <w:tcPr>
            <w:tcW w:w="14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公务员医疗补助缴费</w:t>
            </w:r>
          </w:p>
        </w:tc>
        <w:tc>
          <w:tcPr>
            <w:tcW w:w="6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56.46</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30209</w:t>
            </w:r>
          </w:p>
        </w:tc>
        <w:tc>
          <w:tcPr>
            <w:tcW w:w="100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物业管理费</w:t>
            </w:r>
          </w:p>
        </w:tc>
        <w:tc>
          <w:tcPr>
            <w:tcW w:w="4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10.01</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31007</w:t>
            </w:r>
          </w:p>
        </w:tc>
        <w:tc>
          <w:tcPr>
            <w:tcW w:w="188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信息网络及软件购置更新</w:t>
            </w:r>
          </w:p>
        </w:tc>
        <w:tc>
          <w:tcPr>
            <w:tcW w:w="7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69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30112</w:t>
            </w:r>
          </w:p>
        </w:tc>
        <w:tc>
          <w:tcPr>
            <w:tcW w:w="14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其他社会保障缴费</w:t>
            </w:r>
          </w:p>
        </w:tc>
        <w:tc>
          <w:tcPr>
            <w:tcW w:w="6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21.38</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30211</w:t>
            </w:r>
          </w:p>
        </w:tc>
        <w:tc>
          <w:tcPr>
            <w:tcW w:w="100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差旅费</w:t>
            </w:r>
          </w:p>
        </w:tc>
        <w:tc>
          <w:tcPr>
            <w:tcW w:w="4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0.64</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31008</w:t>
            </w:r>
          </w:p>
        </w:tc>
        <w:tc>
          <w:tcPr>
            <w:tcW w:w="188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物资储备</w:t>
            </w:r>
          </w:p>
        </w:tc>
        <w:tc>
          <w:tcPr>
            <w:tcW w:w="7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69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30113</w:t>
            </w:r>
          </w:p>
        </w:tc>
        <w:tc>
          <w:tcPr>
            <w:tcW w:w="14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住房公积金</w:t>
            </w:r>
          </w:p>
        </w:tc>
        <w:tc>
          <w:tcPr>
            <w:tcW w:w="6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200.98</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30212</w:t>
            </w:r>
          </w:p>
        </w:tc>
        <w:tc>
          <w:tcPr>
            <w:tcW w:w="100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因公出国（境）费用</w:t>
            </w:r>
          </w:p>
        </w:tc>
        <w:tc>
          <w:tcPr>
            <w:tcW w:w="4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31009</w:t>
            </w:r>
          </w:p>
        </w:tc>
        <w:tc>
          <w:tcPr>
            <w:tcW w:w="188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土地补偿</w:t>
            </w:r>
          </w:p>
        </w:tc>
        <w:tc>
          <w:tcPr>
            <w:tcW w:w="7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69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30114</w:t>
            </w:r>
          </w:p>
        </w:tc>
        <w:tc>
          <w:tcPr>
            <w:tcW w:w="14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医疗费</w:t>
            </w:r>
          </w:p>
        </w:tc>
        <w:tc>
          <w:tcPr>
            <w:tcW w:w="6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30213</w:t>
            </w:r>
          </w:p>
        </w:tc>
        <w:tc>
          <w:tcPr>
            <w:tcW w:w="100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维修（护）费</w:t>
            </w:r>
          </w:p>
        </w:tc>
        <w:tc>
          <w:tcPr>
            <w:tcW w:w="4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40.18</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31010</w:t>
            </w:r>
          </w:p>
        </w:tc>
        <w:tc>
          <w:tcPr>
            <w:tcW w:w="188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安置补助</w:t>
            </w:r>
          </w:p>
        </w:tc>
        <w:tc>
          <w:tcPr>
            <w:tcW w:w="7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69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30199</w:t>
            </w:r>
          </w:p>
        </w:tc>
        <w:tc>
          <w:tcPr>
            <w:tcW w:w="14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其他工资福利支出</w:t>
            </w:r>
          </w:p>
        </w:tc>
        <w:tc>
          <w:tcPr>
            <w:tcW w:w="6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69.35</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30214</w:t>
            </w:r>
          </w:p>
        </w:tc>
        <w:tc>
          <w:tcPr>
            <w:tcW w:w="100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租赁费</w:t>
            </w:r>
          </w:p>
        </w:tc>
        <w:tc>
          <w:tcPr>
            <w:tcW w:w="4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1.02</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31011</w:t>
            </w:r>
          </w:p>
        </w:tc>
        <w:tc>
          <w:tcPr>
            <w:tcW w:w="188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地上附着物和青苗补偿</w:t>
            </w:r>
          </w:p>
        </w:tc>
        <w:tc>
          <w:tcPr>
            <w:tcW w:w="7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69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w:t>
            </w:r>
          </w:p>
        </w:tc>
        <w:tc>
          <w:tcPr>
            <w:tcW w:w="14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对个人和家庭的补助</w:t>
            </w:r>
          </w:p>
        </w:tc>
        <w:tc>
          <w:tcPr>
            <w:tcW w:w="6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54.37</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30215</w:t>
            </w:r>
          </w:p>
        </w:tc>
        <w:tc>
          <w:tcPr>
            <w:tcW w:w="100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会议费</w:t>
            </w:r>
          </w:p>
        </w:tc>
        <w:tc>
          <w:tcPr>
            <w:tcW w:w="4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31012</w:t>
            </w:r>
          </w:p>
        </w:tc>
        <w:tc>
          <w:tcPr>
            <w:tcW w:w="188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拆迁补偿</w:t>
            </w:r>
          </w:p>
        </w:tc>
        <w:tc>
          <w:tcPr>
            <w:tcW w:w="7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69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30301</w:t>
            </w:r>
          </w:p>
        </w:tc>
        <w:tc>
          <w:tcPr>
            <w:tcW w:w="14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离休费</w:t>
            </w:r>
          </w:p>
        </w:tc>
        <w:tc>
          <w:tcPr>
            <w:tcW w:w="6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21.41</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30216</w:t>
            </w:r>
          </w:p>
        </w:tc>
        <w:tc>
          <w:tcPr>
            <w:tcW w:w="100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培训费</w:t>
            </w:r>
          </w:p>
        </w:tc>
        <w:tc>
          <w:tcPr>
            <w:tcW w:w="4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31013</w:t>
            </w:r>
          </w:p>
        </w:tc>
        <w:tc>
          <w:tcPr>
            <w:tcW w:w="188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公务用车购置</w:t>
            </w:r>
          </w:p>
        </w:tc>
        <w:tc>
          <w:tcPr>
            <w:tcW w:w="7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69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30302</w:t>
            </w:r>
          </w:p>
        </w:tc>
        <w:tc>
          <w:tcPr>
            <w:tcW w:w="14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退休费</w:t>
            </w:r>
          </w:p>
        </w:tc>
        <w:tc>
          <w:tcPr>
            <w:tcW w:w="6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18.30</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30217</w:t>
            </w:r>
          </w:p>
        </w:tc>
        <w:tc>
          <w:tcPr>
            <w:tcW w:w="100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公务接待费</w:t>
            </w:r>
          </w:p>
        </w:tc>
        <w:tc>
          <w:tcPr>
            <w:tcW w:w="4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31019</w:t>
            </w:r>
          </w:p>
        </w:tc>
        <w:tc>
          <w:tcPr>
            <w:tcW w:w="188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其他交通工具购置</w:t>
            </w:r>
          </w:p>
        </w:tc>
        <w:tc>
          <w:tcPr>
            <w:tcW w:w="7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69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30303</w:t>
            </w:r>
          </w:p>
        </w:tc>
        <w:tc>
          <w:tcPr>
            <w:tcW w:w="14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退职（役）费</w:t>
            </w:r>
          </w:p>
        </w:tc>
        <w:tc>
          <w:tcPr>
            <w:tcW w:w="6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30218</w:t>
            </w:r>
          </w:p>
        </w:tc>
        <w:tc>
          <w:tcPr>
            <w:tcW w:w="100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专用材料费</w:t>
            </w:r>
          </w:p>
        </w:tc>
        <w:tc>
          <w:tcPr>
            <w:tcW w:w="4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31021</w:t>
            </w:r>
          </w:p>
        </w:tc>
        <w:tc>
          <w:tcPr>
            <w:tcW w:w="188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文物和陈列品购置</w:t>
            </w:r>
          </w:p>
        </w:tc>
        <w:tc>
          <w:tcPr>
            <w:tcW w:w="7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69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30304</w:t>
            </w:r>
          </w:p>
        </w:tc>
        <w:tc>
          <w:tcPr>
            <w:tcW w:w="14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抚恤金</w:t>
            </w:r>
          </w:p>
        </w:tc>
        <w:tc>
          <w:tcPr>
            <w:tcW w:w="6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0.44</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30224</w:t>
            </w:r>
          </w:p>
        </w:tc>
        <w:tc>
          <w:tcPr>
            <w:tcW w:w="100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被装购置费</w:t>
            </w:r>
          </w:p>
        </w:tc>
        <w:tc>
          <w:tcPr>
            <w:tcW w:w="4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31022</w:t>
            </w:r>
          </w:p>
        </w:tc>
        <w:tc>
          <w:tcPr>
            <w:tcW w:w="188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无形资产购置</w:t>
            </w:r>
          </w:p>
        </w:tc>
        <w:tc>
          <w:tcPr>
            <w:tcW w:w="7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69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30305</w:t>
            </w:r>
          </w:p>
        </w:tc>
        <w:tc>
          <w:tcPr>
            <w:tcW w:w="14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生活补助</w:t>
            </w:r>
          </w:p>
        </w:tc>
        <w:tc>
          <w:tcPr>
            <w:tcW w:w="6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13.91</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30225</w:t>
            </w:r>
          </w:p>
        </w:tc>
        <w:tc>
          <w:tcPr>
            <w:tcW w:w="100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专用燃料费</w:t>
            </w:r>
          </w:p>
        </w:tc>
        <w:tc>
          <w:tcPr>
            <w:tcW w:w="4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31099</w:t>
            </w:r>
          </w:p>
        </w:tc>
        <w:tc>
          <w:tcPr>
            <w:tcW w:w="188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其他资本性支出</w:t>
            </w:r>
          </w:p>
        </w:tc>
        <w:tc>
          <w:tcPr>
            <w:tcW w:w="7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69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30306</w:t>
            </w:r>
          </w:p>
        </w:tc>
        <w:tc>
          <w:tcPr>
            <w:tcW w:w="14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救济费</w:t>
            </w:r>
          </w:p>
        </w:tc>
        <w:tc>
          <w:tcPr>
            <w:tcW w:w="6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30226</w:t>
            </w:r>
          </w:p>
        </w:tc>
        <w:tc>
          <w:tcPr>
            <w:tcW w:w="100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劳务费</w:t>
            </w:r>
          </w:p>
        </w:tc>
        <w:tc>
          <w:tcPr>
            <w:tcW w:w="4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4.06</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399</w:t>
            </w:r>
          </w:p>
        </w:tc>
        <w:tc>
          <w:tcPr>
            <w:tcW w:w="188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其他支出</w:t>
            </w:r>
          </w:p>
        </w:tc>
        <w:tc>
          <w:tcPr>
            <w:tcW w:w="7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69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30307</w:t>
            </w:r>
          </w:p>
        </w:tc>
        <w:tc>
          <w:tcPr>
            <w:tcW w:w="14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医疗费补助</w:t>
            </w:r>
          </w:p>
        </w:tc>
        <w:tc>
          <w:tcPr>
            <w:tcW w:w="6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30227</w:t>
            </w:r>
          </w:p>
        </w:tc>
        <w:tc>
          <w:tcPr>
            <w:tcW w:w="100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委托业务费</w:t>
            </w:r>
          </w:p>
        </w:tc>
        <w:tc>
          <w:tcPr>
            <w:tcW w:w="4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99.93</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39906</w:t>
            </w:r>
          </w:p>
        </w:tc>
        <w:tc>
          <w:tcPr>
            <w:tcW w:w="188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赠与</w:t>
            </w:r>
          </w:p>
        </w:tc>
        <w:tc>
          <w:tcPr>
            <w:tcW w:w="7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69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30308</w:t>
            </w:r>
          </w:p>
        </w:tc>
        <w:tc>
          <w:tcPr>
            <w:tcW w:w="14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助学金</w:t>
            </w:r>
          </w:p>
        </w:tc>
        <w:tc>
          <w:tcPr>
            <w:tcW w:w="6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30228</w:t>
            </w:r>
          </w:p>
        </w:tc>
        <w:tc>
          <w:tcPr>
            <w:tcW w:w="100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工会经费</w:t>
            </w:r>
          </w:p>
        </w:tc>
        <w:tc>
          <w:tcPr>
            <w:tcW w:w="4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13.15</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39907</w:t>
            </w:r>
          </w:p>
        </w:tc>
        <w:tc>
          <w:tcPr>
            <w:tcW w:w="188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国家赔偿费用支出</w:t>
            </w:r>
          </w:p>
        </w:tc>
        <w:tc>
          <w:tcPr>
            <w:tcW w:w="7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69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30309</w:t>
            </w:r>
          </w:p>
        </w:tc>
        <w:tc>
          <w:tcPr>
            <w:tcW w:w="14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奖励金</w:t>
            </w:r>
          </w:p>
        </w:tc>
        <w:tc>
          <w:tcPr>
            <w:tcW w:w="6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0.31</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30229</w:t>
            </w:r>
          </w:p>
        </w:tc>
        <w:tc>
          <w:tcPr>
            <w:tcW w:w="100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福利费</w:t>
            </w:r>
          </w:p>
        </w:tc>
        <w:tc>
          <w:tcPr>
            <w:tcW w:w="4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12.10</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39908</w:t>
            </w:r>
          </w:p>
        </w:tc>
        <w:tc>
          <w:tcPr>
            <w:tcW w:w="188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对民间非营利组织和群众性自治组织补贴</w:t>
            </w:r>
          </w:p>
        </w:tc>
        <w:tc>
          <w:tcPr>
            <w:tcW w:w="7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69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30310</w:t>
            </w:r>
          </w:p>
        </w:tc>
        <w:tc>
          <w:tcPr>
            <w:tcW w:w="14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个人农业生产补贴</w:t>
            </w:r>
          </w:p>
        </w:tc>
        <w:tc>
          <w:tcPr>
            <w:tcW w:w="6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30231</w:t>
            </w:r>
          </w:p>
        </w:tc>
        <w:tc>
          <w:tcPr>
            <w:tcW w:w="100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公务用车运行维护费</w:t>
            </w:r>
          </w:p>
        </w:tc>
        <w:tc>
          <w:tcPr>
            <w:tcW w:w="4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6.11</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39999</w:t>
            </w:r>
          </w:p>
        </w:tc>
        <w:tc>
          <w:tcPr>
            <w:tcW w:w="188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其他支出</w:t>
            </w:r>
          </w:p>
        </w:tc>
        <w:tc>
          <w:tcPr>
            <w:tcW w:w="7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69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30311</w:t>
            </w:r>
          </w:p>
        </w:tc>
        <w:tc>
          <w:tcPr>
            <w:tcW w:w="14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代缴社会保险费</w:t>
            </w:r>
          </w:p>
        </w:tc>
        <w:tc>
          <w:tcPr>
            <w:tcW w:w="6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30239</w:t>
            </w:r>
          </w:p>
        </w:tc>
        <w:tc>
          <w:tcPr>
            <w:tcW w:w="100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其他交通费用</w:t>
            </w:r>
          </w:p>
        </w:tc>
        <w:tc>
          <w:tcPr>
            <w:tcW w:w="4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7.45</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88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7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69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30399</w:t>
            </w:r>
          </w:p>
        </w:tc>
        <w:tc>
          <w:tcPr>
            <w:tcW w:w="14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其他对个人和家庭的补助</w:t>
            </w:r>
          </w:p>
        </w:tc>
        <w:tc>
          <w:tcPr>
            <w:tcW w:w="6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30240</w:t>
            </w:r>
          </w:p>
        </w:tc>
        <w:tc>
          <w:tcPr>
            <w:tcW w:w="100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税金及附加费用</w:t>
            </w:r>
          </w:p>
        </w:tc>
        <w:tc>
          <w:tcPr>
            <w:tcW w:w="4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88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7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69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4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30299</w:t>
            </w:r>
          </w:p>
        </w:tc>
        <w:tc>
          <w:tcPr>
            <w:tcW w:w="100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其他商品和服务支出</w:t>
            </w:r>
          </w:p>
        </w:tc>
        <w:tc>
          <w:tcPr>
            <w:tcW w:w="4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1.45</w:t>
            </w:r>
          </w:p>
        </w:tc>
        <w:tc>
          <w:tcPr>
            <w:tcW w:w="4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88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7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3190"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人员经费合计</w:t>
            </w:r>
          </w:p>
        </w:tc>
        <w:tc>
          <w:tcPr>
            <w:tcW w:w="6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2,495.15</w:t>
            </w:r>
          </w:p>
        </w:tc>
        <w:tc>
          <w:tcPr>
            <w:tcW w:w="4270"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公用经费合计</w:t>
            </w:r>
          </w:p>
        </w:tc>
        <w:tc>
          <w:tcPr>
            <w:tcW w:w="7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293.24</w:t>
            </w:r>
          </w:p>
        </w:tc>
      </w:tr>
    </w:tbl>
    <w:p>
      <w:pPr>
        <w:tabs>
          <w:tab w:val="left" w:pos="682"/>
        </w:tabs>
        <w:bidi w:val="0"/>
        <w:jc w:val="left"/>
        <w:rPr>
          <w:rFonts w:hint="eastAsia"/>
          <w:sz w:val="16"/>
          <w:szCs w:val="16"/>
          <w:lang w:val="en-US" w:eastAsia="zh-CN"/>
        </w:rPr>
        <w:sectPr>
          <w:pgSz w:w="11906" w:h="16838"/>
          <w:pgMar w:top="2098" w:right="1531" w:bottom="1984" w:left="1531" w:header="851" w:footer="992" w:gutter="0"/>
          <w:pgNumType w:fmt="numberInDash"/>
          <w:cols w:space="0" w:num="1"/>
          <w:titlePg/>
          <w:docGrid w:type="lines" w:linePitch="312" w:charSpace="0"/>
        </w:sectPr>
      </w:pPr>
      <w:r>
        <w:rPr>
          <w:rFonts w:hint="eastAsia"/>
          <w:sz w:val="16"/>
          <w:szCs w:val="16"/>
          <w:lang w:val="en-US" w:eastAsia="zh-CN"/>
        </w:rPr>
        <w:t>注：本表反映部门本年度一般公共预算财政拨款基本支出明细情况。</w:t>
      </w:r>
    </w:p>
    <w:tbl>
      <w:tblPr>
        <w:tblStyle w:val="5"/>
        <w:tblW w:w="8874" w:type="dxa"/>
        <w:tblInd w:w="0" w:type="dxa"/>
        <w:shd w:val="clear" w:color="auto" w:fill="auto"/>
        <w:tblLayout w:type="fixed"/>
        <w:tblCellMar>
          <w:top w:w="0" w:type="dxa"/>
          <w:left w:w="0" w:type="dxa"/>
          <w:bottom w:w="0" w:type="dxa"/>
          <w:right w:w="0" w:type="dxa"/>
        </w:tblCellMar>
      </w:tblPr>
      <w:tblGrid>
        <w:gridCol w:w="2560"/>
        <w:gridCol w:w="524"/>
        <w:gridCol w:w="524"/>
        <w:gridCol w:w="524"/>
        <w:gridCol w:w="524"/>
        <w:gridCol w:w="812"/>
        <w:gridCol w:w="462"/>
        <w:gridCol w:w="298"/>
        <w:gridCol w:w="524"/>
        <w:gridCol w:w="524"/>
        <w:gridCol w:w="525"/>
        <w:gridCol w:w="1073"/>
      </w:tblGrid>
      <w:tr>
        <w:tblPrEx>
          <w:shd w:val="clear" w:color="auto" w:fill="auto"/>
          <w:tblCellMar>
            <w:top w:w="0" w:type="dxa"/>
            <w:left w:w="0" w:type="dxa"/>
            <w:bottom w:w="0" w:type="dxa"/>
            <w:right w:w="0" w:type="dxa"/>
          </w:tblCellMar>
        </w:tblPrEx>
        <w:trPr>
          <w:trHeight w:val="1149" w:hRule="atLeast"/>
        </w:trPr>
        <w:tc>
          <w:tcPr>
            <w:tcW w:w="2560" w:type="dxa"/>
            <w:tcBorders>
              <w:top w:val="nil"/>
              <w:left w:val="nil"/>
              <w:bottom w:val="nil"/>
              <w:right w:val="nil"/>
            </w:tcBorders>
            <w:shd w:val="clear" w:color="auto" w:fill="auto"/>
            <w:tcMar>
              <w:top w:w="15" w:type="dxa"/>
              <w:left w:w="15" w:type="dxa"/>
              <w:right w:w="15" w:type="dxa"/>
            </w:tcMar>
            <w:vAlign w:val="bottom"/>
          </w:tcPr>
          <w:p>
            <w:pPr>
              <w:rPr>
                <w:rFonts w:hint="eastAsia" w:ascii="Arial" w:hAnsi="Arial" w:cs="Arial"/>
                <w:i w:val="0"/>
                <w:color w:val="000000"/>
                <w:sz w:val="16"/>
                <w:szCs w:val="16"/>
                <w:u w:val="none"/>
              </w:rPr>
            </w:pPr>
          </w:p>
        </w:tc>
        <w:tc>
          <w:tcPr>
            <w:tcW w:w="52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2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620" w:type="dxa"/>
            <w:gridSpan w:val="5"/>
            <w:tcBorders>
              <w:top w:val="nil"/>
              <w:left w:val="nil"/>
              <w:bottom w:val="nil"/>
              <w:right w:val="nil"/>
            </w:tcBorders>
            <w:shd w:val="clear" w:color="auto" w:fill="auto"/>
            <w:tcMar>
              <w:top w:w="15" w:type="dxa"/>
              <w:left w:w="15" w:type="dxa"/>
              <w:right w:w="15" w:type="dxa"/>
            </w:tcMar>
            <w:vAlign w:val="center"/>
          </w:tcPr>
          <w:p>
            <w:pPr>
              <w:jc w:val="center"/>
              <w:rPr>
                <w:rFonts w:hint="default" w:ascii="Arial" w:hAnsi="Arial" w:cs="Arial"/>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一般公共预算财政拨款“三公”经费支出决算表</w:t>
            </w:r>
          </w:p>
        </w:tc>
        <w:tc>
          <w:tcPr>
            <w:tcW w:w="52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2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2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07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r>
      <w:tr>
        <w:tblPrEx>
          <w:tblCellMar>
            <w:top w:w="0" w:type="dxa"/>
            <w:left w:w="0" w:type="dxa"/>
            <w:bottom w:w="0" w:type="dxa"/>
            <w:right w:w="0" w:type="dxa"/>
          </w:tblCellMar>
        </w:tblPrEx>
        <w:trPr>
          <w:trHeight w:val="225" w:hRule="atLeast"/>
        </w:trPr>
        <w:tc>
          <w:tcPr>
            <w:tcW w:w="256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2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2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2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2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812"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62"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9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2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2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2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073"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公开07表</w:t>
            </w:r>
          </w:p>
        </w:tc>
      </w:tr>
      <w:tr>
        <w:tblPrEx>
          <w:tblCellMar>
            <w:top w:w="0" w:type="dxa"/>
            <w:left w:w="0" w:type="dxa"/>
            <w:bottom w:w="0" w:type="dxa"/>
            <w:right w:w="0" w:type="dxa"/>
          </w:tblCellMar>
        </w:tblPrEx>
        <w:trPr>
          <w:trHeight w:val="225" w:hRule="atLeast"/>
        </w:trPr>
        <w:tc>
          <w:tcPr>
            <w:tcW w:w="2560"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部门：石家庄市鹿泉区水利局（汇总）</w:t>
            </w:r>
          </w:p>
        </w:tc>
        <w:tc>
          <w:tcPr>
            <w:tcW w:w="52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2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2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2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812"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62"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9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2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2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2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073"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CellMar>
            <w:top w:w="0" w:type="dxa"/>
            <w:left w:w="0" w:type="dxa"/>
            <w:bottom w:w="0" w:type="dxa"/>
            <w:right w:w="0" w:type="dxa"/>
          </w:tblCellMar>
        </w:tblPrEx>
        <w:trPr>
          <w:trHeight w:val="308" w:hRule="atLeast"/>
        </w:trPr>
        <w:tc>
          <w:tcPr>
            <w:tcW w:w="5468" w:type="dxa"/>
            <w:gridSpan w:val="6"/>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3406" w:type="dxa"/>
            <w:gridSpan w:val="6"/>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决算数</w:t>
            </w:r>
          </w:p>
        </w:tc>
      </w:tr>
      <w:tr>
        <w:tblPrEx>
          <w:tblCellMar>
            <w:top w:w="0" w:type="dxa"/>
            <w:left w:w="0" w:type="dxa"/>
            <w:bottom w:w="0" w:type="dxa"/>
            <w:right w:w="0" w:type="dxa"/>
          </w:tblCellMar>
        </w:tblPrEx>
        <w:trPr>
          <w:trHeight w:val="308" w:hRule="atLeast"/>
        </w:trPr>
        <w:tc>
          <w:tcPr>
            <w:tcW w:w="2560"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合计</w:t>
            </w:r>
          </w:p>
        </w:tc>
        <w:tc>
          <w:tcPr>
            <w:tcW w:w="524"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因公出国（境）费</w:t>
            </w:r>
          </w:p>
        </w:tc>
        <w:tc>
          <w:tcPr>
            <w:tcW w:w="1572"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公务用车购置及运行费</w:t>
            </w:r>
          </w:p>
        </w:tc>
        <w:tc>
          <w:tcPr>
            <w:tcW w:w="812"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公务接待费</w:t>
            </w:r>
          </w:p>
        </w:tc>
        <w:tc>
          <w:tcPr>
            <w:tcW w:w="462"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合计</w:t>
            </w:r>
          </w:p>
        </w:tc>
        <w:tc>
          <w:tcPr>
            <w:tcW w:w="298"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因公出国（境）费</w:t>
            </w:r>
          </w:p>
        </w:tc>
        <w:tc>
          <w:tcPr>
            <w:tcW w:w="1573"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公务用车购置及运行费</w:t>
            </w:r>
          </w:p>
        </w:tc>
        <w:tc>
          <w:tcPr>
            <w:tcW w:w="1073"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公务接待费</w:t>
            </w:r>
          </w:p>
        </w:tc>
      </w:tr>
      <w:tr>
        <w:tblPrEx>
          <w:tblCellMar>
            <w:top w:w="0" w:type="dxa"/>
            <w:left w:w="0" w:type="dxa"/>
            <w:bottom w:w="0" w:type="dxa"/>
            <w:right w:w="0" w:type="dxa"/>
          </w:tblCellMar>
        </w:tblPrEx>
        <w:trPr>
          <w:trHeight w:val="615" w:hRule="atLeast"/>
        </w:trPr>
        <w:tc>
          <w:tcPr>
            <w:tcW w:w="2560"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24"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2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小计</w:t>
            </w:r>
          </w:p>
        </w:tc>
        <w:tc>
          <w:tcPr>
            <w:tcW w:w="52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公务用车购置费</w:t>
            </w:r>
          </w:p>
        </w:tc>
        <w:tc>
          <w:tcPr>
            <w:tcW w:w="52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公务用车运行费</w:t>
            </w:r>
          </w:p>
        </w:tc>
        <w:tc>
          <w:tcPr>
            <w:tcW w:w="81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6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98"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2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小计</w:t>
            </w:r>
          </w:p>
        </w:tc>
        <w:tc>
          <w:tcPr>
            <w:tcW w:w="52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公务用车购置费</w:t>
            </w:r>
          </w:p>
        </w:tc>
        <w:tc>
          <w:tcPr>
            <w:tcW w:w="5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公务用车运行费</w:t>
            </w:r>
          </w:p>
        </w:tc>
        <w:tc>
          <w:tcPr>
            <w:tcW w:w="107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56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52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52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52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52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8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w:t>
            </w:r>
          </w:p>
        </w:tc>
        <w:tc>
          <w:tcPr>
            <w:tcW w:w="46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w:t>
            </w:r>
          </w:p>
        </w:tc>
        <w:tc>
          <w:tcPr>
            <w:tcW w:w="29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w:t>
            </w:r>
          </w:p>
        </w:tc>
        <w:tc>
          <w:tcPr>
            <w:tcW w:w="52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w:t>
            </w:r>
          </w:p>
        </w:tc>
        <w:tc>
          <w:tcPr>
            <w:tcW w:w="52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c>
          <w:tcPr>
            <w:tcW w:w="5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w:t>
            </w:r>
          </w:p>
        </w:tc>
        <w:tc>
          <w:tcPr>
            <w:tcW w:w="10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w:t>
            </w:r>
          </w:p>
        </w:tc>
      </w:tr>
      <w:tr>
        <w:tblPrEx>
          <w:tblCellMar>
            <w:top w:w="0" w:type="dxa"/>
            <w:left w:w="0" w:type="dxa"/>
            <w:bottom w:w="0" w:type="dxa"/>
            <w:right w:w="0" w:type="dxa"/>
          </w:tblCellMar>
        </w:tblPrEx>
        <w:trPr>
          <w:trHeight w:val="308" w:hRule="atLeast"/>
        </w:trPr>
        <w:tc>
          <w:tcPr>
            <w:tcW w:w="25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13.50</w:t>
            </w:r>
          </w:p>
        </w:tc>
        <w:tc>
          <w:tcPr>
            <w:tcW w:w="5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13.50</w:t>
            </w:r>
          </w:p>
        </w:tc>
        <w:tc>
          <w:tcPr>
            <w:tcW w:w="5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13.50</w:t>
            </w:r>
          </w:p>
        </w:tc>
        <w:tc>
          <w:tcPr>
            <w:tcW w:w="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6.11</w:t>
            </w:r>
          </w:p>
        </w:tc>
        <w:tc>
          <w:tcPr>
            <w:tcW w:w="2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6.11</w:t>
            </w:r>
          </w:p>
        </w:tc>
        <w:tc>
          <w:tcPr>
            <w:tcW w:w="5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6.11</w:t>
            </w: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bl>
    <w:p>
      <w:pPr>
        <w:tabs>
          <w:tab w:val="left" w:pos="682"/>
        </w:tabs>
        <w:bidi w:val="0"/>
        <w:jc w:val="left"/>
        <w:rPr>
          <w:rFonts w:hint="eastAsia"/>
          <w:lang w:val="en-US" w:eastAsia="zh-CN"/>
        </w:rPr>
        <w:sectPr>
          <w:pgSz w:w="11906" w:h="16838"/>
          <w:pgMar w:top="2098" w:right="1531" w:bottom="1984" w:left="1531" w:header="851" w:footer="992" w:gutter="0"/>
          <w:pgNumType w:fmt="numberInDash"/>
          <w:cols w:space="0" w:num="1"/>
          <w:titlePg/>
          <w:docGrid w:type="lines" w:linePitch="312" w:charSpace="0"/>
        </w:sectPr>
      </w:pPr>
      <w:r>
        <w:rPr>
          <w:rFonts w:hint="eastAsia" w:ascii="宋体" w:hAnsi="宋体" w:eastAsia="宋体" w:cs="宋体"/>
          <w:sz w:val="16"/>
          <w:szCs w:val="16"/>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p>
    <w:tbl>
      <w:tblPr>
        <w:tblStyle w:val="5"/>
        <w:tblW w:w="8874" w:type="dxa"/>
        <w:tblInd w:w="0" w:type="dxa"/>
        <w:shd w:val="clear" w:color="auto" w:fill="auto"/>
        <w:tblLayout w:type="fixed"/>
        <w:tblCellMar>
          <w:top w:w="0" w:type="dxa"/>
          <w:left w:w="0" w:type="dxa"/>
          <w:bottom w:w="0" w:type="dxa"/>
          <w:right w:w="0" w:type="dxa"/>
        </w:tblCellMar>
      </w:tblPr>
      <w:tblGrid>
        <w:gridCol w:w="1826"/>
        <w:gridCol w:w="423"/>
        <w:gridCol w:w="398"/>
        <w:gridCol w:w="2008"/>
        <w:gridCol w:w="660"/>
        <w:gridCol w:w="1055"/>
        <w:gridCol w:w="578"/>
        <w:gridCol w:w="578"/>
        <w:gridCol w:w="578"/>
        <w:gridCol w:w="770"/>
      </w:tblGrid>
      <w:tr>
        <w:tblPrEx>
          <w:shd w:val="clear" w:color="auto" w:fill="auto"/>
          <w:tblCellMar>
            <w:top w:w="0" w:type="dxa"/>
            <w:left w:w="0" w:type="dxa"/>
            <w:bottom w:w="0" w:type="dxa"/>
            <w:right w:w="0" w:type="dxa"/>
          </w:tblCellMar>
        </w:tblPrEx>
        <w:trPr>
          <w:trHeight w:val="225" w:hRule="atLeast"/>
        </w:trPr>
        <w:tc>
          <w:tcPr>
            <w:tcW w:w="1826" w:type="dxa"/>
            <w:tcBorders>
              <w:top w:val="nil"/>
              <w:left w:val="nil"/>
              <w:bottom w:val="nil"/>
              <w:right w:val="nil"/>
            </w:tcBorders>
            <w:shd w:val="clear" w:color="auto" w:fill="auto"/>
            <w:tcMar>
              <w:top w:w="15" w:type="dxa"/>
              <w:left w:w="15" w:type="dxa"/>
              <w:right w:w="15" w:type="dxa"/>
            </w:tcMar>
            <w:vAlign w:val="bottom"/>
          </w:tcPr>
          <w:p>
            <w:pPr>
              <w:rPr>
                <w:rFonts w:hint="eastAsia" w:ascii="Arial" w:hAnsi="Arial" w:cs="Arial"/>
                <w:i w:val="0"/>
                <w:color w:val="000000"/>
                <w:sz w:val="16"/>
                <w:szCs w:val="16"/>
                <w:u w:val="none"/>
              </w:rPr>
            </w:pPr>
          </w:p>
        </w:tc>
        <w:tc>
          <w:tcPr>
            <w:tcW w:w="42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39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3723" w:type="dxa"/>
            <w:gridSpan w:val="3"/>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政府性基金预算财政拨款收入支出决算表</w:t>
            </w:r>
          </w:p>
        </w:tc>
        <w:tc>
          <w:tcPr>
            <w:tcW w:w="57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7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7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7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r>
      <w:tr>
        <w:tblPrEx>
          <w:tblCellMar>
            <w:top w:w="0" w:type="dxa"/>
            <w:left w:w="0" w:type="dxa"/>
            <w:bottom w:w="0" w:type="dxa"/>
            <w:right w:w="0" w:type="dxa"/>
          </w:tblCellMar>
        </w:tblPrEx>
        <w:trPr>
          <w:trHeight w:val="225" w:hRule="atLeast"/>
        </w:trPr>
        <w:tc>
          <w:tcPr>
            <w:tcW w:w="182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2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39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00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6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05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7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7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7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70"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公开08表</w:t>
            </w:r>
          </w:p>
        </w:tc>
      </w:tr>
      <w:tr>
        <w:tblPrEx>
          <w:tblCellMar>
            <w:top w:w="0" w:type="dxa"/>
            <w:left w:w="0" w:type="dxa"/>
            <w:bottom w:w="0" w:type="dxa"/>
            <w:right w:w="0" w:type="dxa"/>
          </w:tblCellMar>
        </w:tblPrEx>
        <w:trPr>
          <w:trHeight w:val="225" w:hRule="atLeast"/>
        </w:trPr>
        <w:tc>
          <w:tcPr>
            <w:tcW w:w="1826"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部门：石家庄市鹿泉区水利局（汇总）</w:t>
            </w:r>
          </w:p>
        </w:tc>
        <w:tc>
          <w:tcPr>
            <w:tcW w:w="42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39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00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6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05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7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7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7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70"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CellMar>
            <w:top w:w="0" w:type="dxa"/>
            <w:left w:w="0" w:type="dxa"/>
            <w:bottom w:w="0" w:type="dxa"/>
            <w:right w:w="0" w:type="dxa"/>
          </w:tblCellMar>
        </w:tblPrEx>
        <w:trPr>
          <w:trHeight w:val="308" w:hRule="atLeast"/>
        </w:trPr>
        <w:tc>
          <w:tcPr>
            <w:tcW w:w="4655" w:type="dxa"/>
            <w:gridSpan w:val="4"/>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w:t>
            </w:r>
          </w:p>
        </w:tc>
        <w:tc>
          <w:tcPr>
            <w:tcW w:w="66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年初结转和结余</w:t>
            </w:r>
          </w:p>
        </w:tc>
        <w:tc>
          <w:tcPr>
            <w:tcW w:w="105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本年收入</w:t>
            </w:r>
          </w:p>
        </w:tc>
        <w:tc>
          <w:tcPr>
            <w:tcW w:w="1734"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本年支出</w:t>
            </w:r>
          </w:p>
        </w:tc>
        <w:tc>
          <w:tcPr>
            <w:tcW w:w="77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年末结转和结余</w:t>
            </w:r>
          </w:p>
        </w:tc>
      </w:tr>
      <w:tr>
        <w:tblPrEx>
          <w:tblCellMar>
            <w:top w:w="0" w:type="dxa"/>
            <w:left w:w="0" w:type="dxa"/>
            <w:bottom w:w="0" w:type="dxa"/>
            <w:right w:w="0" w:type="dxa"/>
          </w:tblCellMar>
        </w:tblPrEx>
        <w:trPr>
          <w:trHeight w:val="308" w:hRule="atLeast"/>
        </w:trPr>
        <w:tc>
          <w:tcPr>
            <w:tcW w:w="2647"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功能分类科目编码</w:t>
            </w:r>
          </w:p>
        </w:tc>
        <w:tc>
          <w:tcPr>
            <w:tcW w:w="2008"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科目名称</w:t>
            </w:r>
          </w:p>
        </w:tc>
        <w:tc>
          <w:tcPr>
            <w:tcW w:w="66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5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78"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小计</w:t>
            </w:r>
          </w:p>
        </w:tc>
        <w:tc>
          <w:tcPr>
            <w:tcW w:w="578"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基本支出</w:t>
            </w:r>
          </w:p>
        </w:tc>
        <w:tc>
          <w:tcPr>
            <w:tcW w:w="578"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项目支出</w:t>
            </w:r>
          </w:p>
        </w:tc>
        <w:tc>
          <w:tcPr>
            <w:tcW w:w="77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647"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08"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6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5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78"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78"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78"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7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647"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08"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6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5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78"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78"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78"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7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4655"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栏次</w:t>
            </w:r>
          </w:p>
        </w:tc>
        <w:tc>
          <w:tcPr>
            <w:tcW w:w="66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10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57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57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57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7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w:t>
            </w:r>
          </w:p>
        </w:tc>
      </w:tr>
      <w:tr>
        <w:tblPrEx>
          <w:tblCellMar>
            <w:top w:w="0" w:type="dxa"/>
            <w:left w:w="0" w:type="dxa"/>
            <w:bottom w:w="0" w:type="dxa"/>
            <w:right w:w="0" w:type="dxa"/>
          </w:tblCellMar>
        </w:tblPrEx>
        <w:trPr>
          <w:trHeight w:val="308" w:hRule="atLeast"/>
        </w:trPr>
        <w:tc>
          <w:tcPr>
            <w:tcW w:w="4655"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合计</w:t>
            </w:r>
          </w:p>
        </w:tc>
        <w:tc>
          <w:tcPr>
            <w:tcW w:w="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1,043.69</w:t>
            </w:r>
          </w:p>
        </w:tc>
        <w:tc>
          <w:tcPr>
            <w:tcW w:w="10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44,577.23</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20,183.42</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20,183.42</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25,437.50</w:t>
            </w:r>
          </w:p>
        </w:tc>
      </w:tr>
      <w:tr>
        <w:tblPrEx>
          <w:tblCellMar>
            <w:top w:w="0" w:type="dxa"/>
            <w:left w:w="0" w:type="dxa"/>
            <w:bottom w:w="0" w:type="dxa"/>
            <w:right w:w="0" w:type="dxa"/>
          </w:tblCellMar>
        </w:tblPrEx>
        <w:trPr>
          <w:trHeight w:val="308" w:hRule="atLeast"/>
        </w:trPr>
        <w:tc>
          <w:tcPr>
            <w:tcW w:w="26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w:t>
            </w:r>
          </w:p>
        </w:tc>
        <w:tc>
          <w:tcPr>
            <w:tcW w:w="2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社会保障和就业支出</w:t>
            </w:r>
          </w:p>
        </w:tc>
        <w:tc>
          <w:tcPr>
            <w:tcW w:w="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1,043.69</w:t>
            </w:r>
          </w:p>
        </w:tc>
        <w:tc>
          <w:tcPr>
            <w:tcW w:w="10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4,289.30</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4,081.33</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4,081.33</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1,251.66</w:t>
            </w:r>
          </w:p>
        </w:tc>
      </w:tr>
      <w:tr>
        <w:tblPrEx>
          <w:tblCellMar>
            <w:top w:w="0" w:type="dxa"/>
            <w:left w:w="0" w:type="dxa"/>
            <w:bottom w:w="0" w:type="dxa"/>
            <w:right w:w="0" w:type="dxa"/>
          </w:tblCellMar>
        </w:tblPrEx>
        <w:trPr>
          <w:trHeight w:val="308" w:hRule="atLeast"/>
        </w:trPr>
        <w:tc>
          <w:tcPr>
            <w:tcW w:w="26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20822</w:t>
            </w:r>
          </w:p>
        </w:tc>
        <w:tc>
          <w:tcPr>
            <w:tcW w:w="2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大中型水库移民后期扶持基金支出</w:t>
            </w:r>
          </w:p>
        </w:tc>
        <w:tc>
          <w:tcPr>
            <w:tcW w:w="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958.21</w:t>
            </w:r>
          </w:p>
        </w:tc>
        <w:tc>
          <w:tcPr>
            <w:tcW w:w="10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3,826.66</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3,915.57</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3,915.57</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869.30</w:t>
            </w:r>
          </w:p>
        </w:tc>
      </w:tr>
      <w:tr>
        <w:tblPrEx>
          <w:tblCellMar>
            <w:top w:w="0" w:type="dxa"/>
            <w:left w:w="0" w:type="dxa"/>
            <w:bottom w:w="0" w:type="dxa"/>
            <w:right w:w="0" w:type="dxa"/>
          </w:tblCellMar>
        </w:tblPrEx>
        <w:trPr>
          <w:trHeight w:val="308" w:hRule="atLeast"/>
        </w:trPr>
        <w:tc>
          <w:tcPr>
            <w:tcW w:w="26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2082201</w:t>
            </w:r>
          </w:p>
        </w:tc>
        <w:tc>
          <w:tcPr>
            <w:tcW w:w="2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移民补助</w:t>
            </w:r>
          </w:p>
        </w:tc>
        <w:tc>
          <w:tcPr>
            <w:tcW w:w="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1,650.66</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1,628.36</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1,628.36</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22.30</w:t>
            </w:r>
          </w:p>
        </w:tc>
      </w:tr>
      <w:tr>
        <w:tblPrEx>
          <w:tblCellMar>
            <w:top w:w="0" w:type="dxa"/>
            <w:left w:w="0" w:type="dxa"/>
            <w:bottom w:w="0" w:type="dxa"/>
            <w:right w:w="0" w:type="dxa"/>
          </w:tblCellMar>
        </w:tblPrEx>
        <w:trPr>
          <w:trHeight w:val="308" w:hRule="atLeast"/>
        </w:trPr>
        <w:tc>
          <w:tcPr>
            <w:tcW w:w="26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2082202</w:t>
            </w:r>
          </w:p>
        </w:tc>
        <w:tc>
          <w:tcPr>
            <w:tcW w:w="2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基础设施建设和经济发展</w:t>
            </w:r>
          </w:p>
        </w:tc>
        <w:tc>
          <w:tcPr>
            <w:tcW w:w="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958.21</w:t>
            </w:r>
          </w:p>
        </w:tc>
        <w:tc>
          <w:tcPr>
            <w:tcW w:w="10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2,176.00</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2,287.21</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2,287.21</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847.00</w:t>
            </w:r>
          </w:p>
        </w:tc>
      </w:tr>
      <w:tr>
        <w:tblPrEx>
          <w:tblCellMar>
            <w:top w:w="0" w:type="dxa"/>
            <w:left w:w="0" w:type="dxa"/>
            <w:bottom w:w="0" w:type="dxa"/>
            <w:right w:w="0" w:type="dxa"/>
          </w:tblCellMar>
        </w:tblPrEx>
        <w:trPr>
          <w:trHeight w:val="308" w:hRule="atLeast"/>
        </w:trPr>
        <w:tc>
          <w:tcPr>
            <w:tcW w:w="26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20823</w:t>
            </w:r>
          </w:p>
        </w:tc>
        <w:tc>
          <w:tcPr>
            <w:tcW w:w="2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小型水库移民扶助基金安排的支出</w:t>
            </w:r>
          </w:p>
        </w:tc>
        <w:tc>
          <w:tcPr>
            <w:tcW w:w="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85.48</w:t>
            </w:r>
          </w:p>
        </w:tc>
        <w:tc>
          <w:tcPr>
            <w:tcW w:w="10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462.64</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165.76</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165.76</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382.37</w:t>
            </w:r>
          </w:p>
        </w:tc>
      </w:tr>
      <w:tr>
        <w:tblPrEx>
          <w:tblCellMar>
            <w:top w:w="0" w:type="dxa"/>
            <w:left w:w="0" w:type="dxa"/>
            <w:bottom w:w="0" w:type="dxa"/>
            <w:right w:w="0" w:type="dxa"/>
          </w:tblCellMar>
        </w:tblPrEx>
        <w:trPr>
          <w:trHeight w:val="308" w:hRule="atLeast"/>
        </w:trPr>
        <w:tc>
          <w:tcPr>
            <w:tcW w:w="26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2082301</w:t>
            </w:r>
          </w:p>
        </w:tc>
        <w:tc>
          <w:tcPr>
            <w:tcW w:w="2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移民补助</w:t>
            </w:r>
          </w:p>
        </w:tc>
        <w:tc>
          <w:tcPr>
            <w:tcW w:w="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47.48</w:t>
            </w:r>
          </w:p>
        </w:tc>
        <w:tc>
          <w:tcPr>
            <w:tcW w:w="10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173.64</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68.76</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68.76</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152.37</w:t>
            </w:r>
          </w:p>
        </w:tc>
      </w:tr>
      <w:tr>
        <w:tblPrEx>
          <w:tblCellMar>
            <w:top w:w="0" w:type="dxa"/>
            <w:left w:w="0" w:type="dxa"/>
            <w:bottom w:w="0" w:type="dxa"/>
            <w:right w:w="0" w:type="dxa"/>
          </w:tblCellMar>
        </w:tblPrEx>
        <w:trPr>
          <w:trHeight w:val="308" w:hRule="atLeast"/>
        </w:trPr>
        <w:tc>
          <w:tcPr>
            <w:tcW w:w="26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2082302</w:t>
            </w:r>
          </w:p>
        </w:tc>
        <w:tc>
          <w:tcPr>
            <w:tcW w:w="2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基础设施建设和经济发展</w:t>
            </w:r>
          </w:p>
        </w:tc>
        <w:tc>
          <w:tcPr>
            <w:tcW w:w="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38.00</w:t>
            </w:r>
          </w:p>
        </w:tc>
        <w:tc>
          <w:tcPr>
            <w:tcW w:w="10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289.00</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97.00</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97.00</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230.00</w:t>
            </w:r>
          </w:p>
        </w:tc>
      </w:tr>
      <w:tr>
        <w:tblPrEx>
          <w:tblCellMar>
            <w:top w:w="0" w:type="dxa"/>
            <w:left w:w="0" w:type="dxa"/>
            <w:bottom w:w="0" w:type="dxa"/>
            <w:right w:w="0" w:type="dxa"/>
          </w:tblCellMar>
        </w:tblPrEx>
        <w:trPr>
          <w:trHeight w:val="308" w:hRule="atLeast"/>
        </w:trPr>
        <w:tc>
          <w:tcPr>
            <w:tcW w:w="26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212</w:t>
            </w:r>
          </w:p>
        </w:tc>
        <w:tc>
          <w:tcPr>
            <w:tcW w:w="2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城乡社区支出</w:t>
            </w:r>
          </w:p>
        </w:tc>
        <w:tc>
          <w:tcPr>
            <w:tcW w:w="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2,487.93</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2,487.93</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2,487.93</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6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21208</w:t>
            </w:r>
          </w:p>
        </w:tc>
        <w:tc>
          <w:tcPr>
            <w:tcW w:w="2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国有土地使用权出让收入安排的支出</w:t>
            </w:r>
          </w:p>
        </w:tc>
        <w:tc>
          <w:tcPr>
            <w:tcW w:w="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2,487.93</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2,487.93</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2,487.93</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6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2120803</w:t>
            </w:r>
          </w:p>
        </w:tc>
        <w:tc>
          <w:tcPr>
            <w:tcW w:w="2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城市建设支出</w:t>
            </w:r>
          </w:p>
        </w:tc>
        <w:tc>
          <w:tcPr>
            <w:tcW w:w="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200.00</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200.00</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200.00</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6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2120804</w:t>
            </w:r>
          </w:p>
        </w:tc>
        <w:tc>
          <w:tcPr>
            <w:tcW w:w="2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农村基础设施建设支出</w:t>
            </w:r>
          </w:p>
        </w:tc>
        <w:tc>
          <w:tcPr>
            <w:tcW w:w="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2,287.93</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2,287.93</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2,287.93</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6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229</w:t>
            </w:r>
          </w:p>
        </w:tc>
        <w:tc>
          <w:tcPr>
            <w:tcW w:w="2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其他支出</w:t>
            </w:r>
          </w:p>
        </w:tc>
        <w:tc>
          <w:tcPr>
            <w:tcW w:w="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34,800.00</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12,571.17</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12,571.17</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22,228.83</w:t>
            </w:r>
          </w:p>
        </w:tc>
      </w:tr>
      <w:tr>
        <w:tblPrEx>
          <w:tblCellMar>
            <w:top w:w="0" w:type="dxa"/>
            <w:left w:w="0" w:type="dxa"/>
            <w:bottom w:w="0" w:type="dxa"/>
            <w:right w:w="0" w:type="dxa"/>
          </w:tblCellMar>
        </w:tblPrEx>
        <w:trPr>
          <w:trHeight w:val="308" w:hRule="atLeast"/>
        </w:trPr>
        <w:tc>
          <w:tcPr>
            <w:tcW w:w="26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22904</w:t>
            </w:r>
          </w:p>
        </w:tc>
        <w:tc>
          <w:tcPr>
            <w:tcW w:w="2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其他政府性基金及对应专项债务收入安排的支出</w:t>
            </w:r>
          </w:p>
        </w:tc>
        <w:tc>
          <w:tcPr>
            <w:tcW w:w="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34,800.00</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12,571.17</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12,571.17</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22,228.83</w:t>
            </w:r>
          </w:p>
        </w:tc>
      </w:tr>
      <w:tr>
        <w:tblPrEx>
          <w:tblCellMar>
            <w:top w:w="0" w:type="dxa"/>
            <w:left w:w="0" w:type="dxa"/>
            <w:bottom w:w="0" w:type="dxa"/>
            <w:right w:w="0" w:type="dxa"/>
          </w:tblCellMar>
        </w:tblPrEx>
        <w:trPr>
          <w:trHeight w:val="308" w:hRule="atLeast"/>
        </w:trPr>
        <w:tc>
          <w:tcPr>
            <w:tcW w:w="26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2290402</w:t>
            </w:r>
          </w:p>
        </w:tc>
        <w:tc>
          <w:tcPr>
            <w:tcW w:w="2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其他地方自行试点项目收益专项债券收入安排的支出</w:t>
            </w:r>
          </w:p>
        </w:tc>
        <w:tc>
          <w:tcPr>
            <w:tcW w:w="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34,800.00</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12,571.17</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12,571.17</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22,228.83</w:t>
            </w:r>
          </w:p>
        </w:tc>
      </w:tr>
      <w:tr>
        <w:tblPrEx>
          <w:tblCellMar>
            <w:top w:w="0" w:type="dxa"/>
            <w:left w:w="0" w:type="dxa"/>
            <w:bottom w:w="0" w:type="dxa"/>
            <w:right w:w="0" w:type="dxa"/>
          </w:tblCellMar>
        </w:tblPrEx>
        <w:trPr>
          <w:trHeight w:val="308" w:hRule="atLeast"/>
        </w:trPr>
        <w:tc>
          <w:tcPr>
            <w:tcW w:w="26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234</w:t>
            </w:r>
          </w:p>
        </w:tc>
        <w:tc>
          <w:tcPr>
            <w:tcW w:w="2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抗疫特别国债安排的支出</w:t>
            </w:r>
          </w:p>
        </w:tc>
        <w:tc>
          <w:tcPr>
            <w:tcW w:w="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3,000.00</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1,042.99</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1,042.99</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1,957.01</w:t>
            </w:r>
          </w:p>
        </w:tc>
      </w:tr>
      <w:tr>
        <w:tblPrEx>
          <w:tblCellMar>
            <w:top w:w="0" w:type="dxa"/>
            <w:left w:w="0" w:type="dxa"/>
            <w:bottom w:w="0" w:type="dxa"/>
            <w:right w:w="0" w:type="dxa"/>
          </w:tblCellMar>
        </w:tblPrEx>
        <w:trPr>
          <w:trHeight w:val="308" w:hRule="atLeast"/>
        </w:trPr>
        <w:tc>
          <w:tcPr>
            <w:tcW w:w="26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23401</w:t>
            </w:r>
          </w:p>
        </w:tc>
        <w:tc>
          <w:tcPr>
            <w:tcW w:w="2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基础设施建设</w:t>
            </w:r>
          </w:p>
        </w:tc>
        <w:tc>
          <w:tcPr>
            <w:tcW w:w="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3,000.00</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1,042.99</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1,042.99</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1,957.01</w:t>
            </w:r>
          </w:p>
        </w:tc>
      </w:tr>
      <w:tr>
        <w:tblPrEx>
          <w:tblCellMar>
            <w:top w:w="0" w:type="dxa"/>
            <w:left w:w="0" w:type="dxa"/>
            <w:bottom w:w="0" w:type="dxa"/>
            <w:right w:w="0" w:type="dxa"/>
          </w:tblCellMar>
        </w:tblPrEx>
        <w:trPr>
          <w:trHeight w:val="308" w:hRule="atLeast"/>
        </w:trPr>
        <w:tc>
          <w:tcPr>
            <w:tcW w:w="26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2340110</w:t>
            </w:r>
          </w:p>
        </w:tc>
        <w:tc>
          <w:tcPr>
            <w:tcW w:w="2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市政设施建设</w:t>
            </w:r>
          </w:p>
        </w:tc>
        <w:tc>
          <w:tcPr>
            <w:tcW w:w="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3,000.00</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1,042.99</w:t>
            </w: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1,042.99</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1,957.01</w:t>
            </w:r>
          </w:p>
        </w:tc>
      </w:tr>
    </w:tbl>
    <w:p>
      <w:pPr>
        <w:tabs>
          <w:tab w:val="left" w:pos="682"/>
        </w:tabs>
        <w:bidi w:val="0"/>
        <w:jc w:val="left"/>
        <w:rPr>
          <w:rFonts w:hint="eastAsia"/>
          <w:sz w:val="16"/>
          <w:szCs w:val="16"/>
          <w:lang w:val="en-US" w:eastAsia="zh-CN"/>
        </w:rPr>
      </w:pPr>
      <w:r>
        <w:rPr>
          <w:rFonts w:hint="eastAsia"/>
          <w:sz w:val="16"/>
          <w:szCs w:val="16"/>
          <w:lang w:val="en-US" w:eastAsia="zh-CN"/>
        </w:rPr>
        <w:t>注：本表反映部门本年度政府性基金预算财政拨款收入、支出及结转和结余情况。</w:t>
      </w:r>
    </w:p>
    <w:p>
      <w:pPr>
        <w:tabs>
          <w:tab w:val="left" w:pos="682"/>
        </w:tabs>
        <w:bidi w:val="0"/>
        <w:jc w:val="left"/>
        <w:rPr>
          <w:rFonts w:hint="eastAsia"/>
          <w:sz w:val="16"/>
          <w:szCs w:val="16"/>
          <w:lang w:val="en-US" w:eastAsia="zh-CN"/>
        </w:rPr>
      </w:pPr>
    </w:p>
    <w:p>
      <w:pPr>
        <w:tabs>
          <w:tab w:val="left" w:pos="682"/>
        </w:tabs>
        <w:bidi w:val="0"/>
        <w:jc w:val="left"/>
        <w:rPr>
          <w:rFonts w:hint="eastAsia"/>
          <w:sz w:val="16"/>
          <w:szCs w:val="16"/>
          <w:lang w:val="en-US" w:eastAsia="zh-CN"/>
        </w:rPr>
      </w:pPr>
    </w:p>
    <w:p>
      <w:pPr>
        <w:tabs>
          <w:tab w:val="left" w:pos="682"/>
        </w:tabs>
        <w:bidi w:val="0"/>
        <w:jc w:val="left"/>
        <w:rPr>
          <w:rFonts w:hint="eastAsia"/>
          <w:sz w:val="16"/>
          <w:szCs w:val="16"/>
          <w:lang w:val="en-US" w:eastAsia="zh-CN"/>
        </w:rPr>
      </w:pPr>
    </w:p>
    <w:p>
      <w:pPr>
        <w:tabs>
          <w:tab w:val="left" w:pos="682"/>
        </w:tabs>
        <w:bidi w:val="0"/>
        <w:jc w:val="left"/>
        <w:rPr>
          <w:rFonts w:hint="eastAsia"/>
          <w:sz w:val="16"/>
          <w:szCs w:val="16"/>
          <w:lang w:val="en-US" w:eastAsia="zh-CN"/>
        </w:rPr>
      </w:pPr>
    </w:p>
    <w:p>
      <w:pPr>
        <w:tabs>
          <w:tab w:val="left" w:pos="682"/>
        </w:tabs>
        <w:bidi w:val="0"/>
        <w:jc w:val="left"/>
        <w:rPr>
          <w:rFonts w:hint="eastAsia"/>
          <w:sz w:val="16"/>
          <w:szCs w:val="16"/>
          <w:lang w:val="en-US" w:eastAsia="zh-CN"/>
        </w:rPr>
        <w:sectPr>
          <w:pgSz w:w="11906" w:h="16838"/>
          <w:pgMar w:top="2098" w:right="1531" w:bottom="1984" w:left="1531" w:header="851" w:footer="992" w:gutter="0"/>
          <w:pgNumType w:fmt="numberInDash"/>
          <w:cols w:space="0" w:num="1"/>
          <w:titlePg/>
          <w:docGrid w:type="lines" w:linePitch="312" w:charSpace="0"/>
        </w:sectPr>
      </w:pPr>
    </w:p>
    <w:tbl>
      <w:tblPr>
        <w:tblStyle w:val="5"/>
        <w:tblW w:w="8874" w:type="dxa"/>
        <w:tblInd w:w="0" w:type="dxa"/>
        <w:shd w:val="clear" w:color="auto" w:fill="auto"/>
        <w:tblLayout w:type="fixed"/>
        <w:tblCellMar>
          <w:top w:w="0" w:type="dxa"/>
          <w:left w:w="0" w:type="dxa"/>
          <w:bottom w:w="0" w:type="dxa"/>
          <w:right w:w="0" w:type="dxa"/>
        </w:tblCellMar>
      </w:tblPr>
      <w:tblGrid>
        <w:gridCol w:w="3220"/>
        <w:gridCol w:w="293"/>
        <w:gridCol w:w="293"/>
        <w:gridCol w:w="564"/>
        <w:gridCol w:w="2157"/>
        <w:gridCol w:w="870"/>
        <w:gridCol w:w="1477"/>
      </w:tblGrid>
      <w:tr>
        <w:tblPrEx>
          <w:shd w:val="clear" w:color="auto" w:fill="auto"/>
          <w:tblCellMar>
            <w:top w:w="0" w:type="dxa"/>
            <w:left w:w="0" w:type="dxa"/>
            <w:bottom w:w="0" w:type="dxa"/>
            <w:right w:w="0" w:type="dxa"/>
          </w:tblCellMar>
        </w:tblPrEx>
        <w:trPr>
          <w:trHeight w:val="390" w:hRule="atLeast"/>
        </w:trPr>
        <w:tc>
          <w:tcPr>
            <w:tcW w:w="3220" w:type="dxa"/>
            <w:tcBorders>
              <w:top w:val="nil"/>
              <w:left w:val="nil"/>
              <w:bottom w:val="nil"/>
              <w:right w:val="nil"/>
            </w:tcBorders>
            <w:shd w:val="clear" w:color="auto" w:fill="auto"/>
            <w:tcMar>
              <w:top w:w="15" w:type="dxa"/>
              <w:left w:w="15" w:type="dxa"/>
              <w:right w:w="15" w:type="dxa"/>
            </w:tcMar>
            <w:vAlign w:val="bottom"/>
          </w:tcPr>
          <w:p>
            <w:pPr>
              <w:rPr>
                <w:rFonts w:hint="eastAsia" w:ascii="Arial" w:hAnsi="Arial" w:cs="Arial"/>
                <w:i w:val="0"/>
                <w:color w:val="000000"/>
                <w:sz w:val="20"/>
                <w:szCs w:val="20"/>
                <w:u w:val="none"/>
              </w:rPr>
            </w:pPr>
          </w:p>
        </w:tc>
        <w:tc>
          <w:tcPr>
            <w:tcW w:w="29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29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2721" w:type="dxa"/>
            <w:gridSpan w:val="2"/>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30"/>
                <w:szCs w:val="30"/>
                <w:u w:val="none"/>
              </w:rPr>
            </w:pPr>
            <w:r>
              <w:rPr>
                <w:rFonts w:hint="eastAsia" w:ascii="宋体" w:hAnsi="宋体" w:eastAsia="宋体" w:cs="宋体"/>
                <w:i w:val="0"/>
                <w:color w:val="000000"/>
                <w:kern w:val="0"/>
                <w:sz w:val="18"/>
                <w:szCs w:val="18"/>
                <w:u w:val="none"/>
                <w:lang w:val="en-US" w:eastAsia="zh-CN" w:bidi="ar"/>
              </w:rPr>
              <w:t>国有资本经营预算财政拨款支出决算表</w:t>
            </w:r>
          </w:p>
        </w:tc>
        <w:tc>
          <w:tcPr>
            <w:tcW w:w="87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147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r>
      <w:tr>
        <w:tblPrEx>
          <w:tblCellMar>
            <w:top w:w="0" w:type="dxa"/>
            <w:left w:w="0" w:type="dxa"/>
            <w:bottom w:w="0" w:type="dxa"/>
            <w:right w:w="0" w:type="dxa"/>
          </w:tblCellMar>
        </w:tblPrEx>
        <w:trPr>
          <w:trHeight w:val="255" w:hRule="atLeast"/>
        </w:trPr>
        <w:tc>
          <w:tcPr>
            <w:tcW w:w="322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29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29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56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215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87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1477"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公开09表</w:t>
            </w:r>
          </w:p>
        </w:tc>
      </w:tr>
      <w:tr>
        <w:tblPrEx>
          <w:tblCellMar>
            <w:top w:w="0" w:type="dxa"/>
            <w:left w:w="0" w:type="dxa"/>
            <w:bottom w:w="0" w:type="dxa"/>
            <w:right w:w="0" w:type="dxa"/>
          </w:tblCellMar>
        </w:tblPrEx>
        <w:trPr>
          <w:trHeight w:val="255" w:hRule="atLeast"/>
        </w:trPr>
        <w:tc>
          <w:tcPr>
            <w:tcW w:w="3220"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部门：石家庄市鹿泉区水利局（汇总）</w:t>
            </w:r>
          </w:p>
        </w:tc>
        <w:tc>
          <w:tcPr>
            <w:tcW w:w="29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9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6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15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87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477"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CellMar>
            <w:top w:w="0" w:type="dxa"/>
            <w:left w:w="0" w:type="dxa"/>
            <w:bottom w:w="0" w:type="dxa"/>
            <w:right w:w="0" w:type="dxa"/>
          </w:tblCellMar>
        </w:tblPrEx>
        <w:trPr>
          <w:trHeight w:val="308" w:hRule="atLeast"/>
        </w:trPr>
        <w:tc>
          <w:tcPr>
            <w:tcW w:w="4370" w:type="dxa"/>
            <w:gridSpan w:val="4"/>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w:t>
            </w:r>
          </w:p>
        </w:tc>
        <w:tc>
          <w:tcPr>
            <w:tcW w:w="4504"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本年支出</w:t>
            </w:r>
          </w:p>
        </w:tc>
      </w:tr>
      <w:tr>
        <w:tblPrEx>
          <w:tblCellMar>
            <w:top w:w="0" w:type="dxa"/>
            <w:left w:w="0" w:type="dxa"/>
            <w:bottom w:w="0" w:type="dxa"/>
            <w:right w:w="0" w:type="dxa"/>
          </w:tblCellMar>
        </w:tblPrEx>
        <w:trPr>
          <w:trHeight w:val="308" w:hRule="atLeast"/>
        </w:trPr>
        <w:tc>
          <w:tcPr>
            <w:tcW w:w="3806"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功能分类科目编码</w:t>
            </w:r>
          </w:p>
        </w:tc>
        <w:tc>
          <w:tcPr>
            <w:tcW w:w="564"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科目名称</w:t>
            </w:r>
          </w:p>
        </w:tc>
        <w:tc>
          <w:tcPr>
            <w:tcW w:w="2157"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合计</w:t>
            </w:r>
          </w:p>
        </w:tc>
        <w:tc>
          <w:tcPr>
            <w:tcW w:w="87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基本支出</w:t>
            </w:r>
          </w:p>
        </w:tc>
        <w:tc>
          <w:tcPr>
            <w:tcW w:w="1477"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项目支出</w:t>
            </w:r>
          </w:p>
        </w:tc>
      </w:tr>
      <w:tr>
        <w:tblPrEx>
          <w:tblCellMar>
            <w:top w:w="0" w:type="dxa"/>
            <w:left w:w="0" w:type="dxa"/>
            <w:bottom w:w="0" w:type="dxa"/>
            <w:right w:w="0" w:type="dxa"/>
          </w:tblCellMar>
        </w:tblPrEx>
        <w:trPr>
          <w:trHeight w:val="308" w:hRule="atLeast"/>
        </w:trPr>
        <w:tc>
          <w:tcPr>
            <w:tcW w:w="3806"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64"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15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7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3806"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64"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15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7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4370"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栏次</w:t>
            </w:r>
          </w:p>
        </w:tc>
        <w:tc>
          <w:tcPr>
            <w:tcW w:w="215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8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147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r>
      <w:tr>
        <w:tblPrEx>
          <w:tblCellMar>
            <w:top w:w="0" w:type="dxa"/>
            <w:left w:w="0" w:type="dxa"/>
            <w:bottom w:w="0" w:type="dxa"/>
            <w:right w:w="0" w:type="dxa"/>
          </w:tblCellMar>
        </w:tblPrEx>
        <w:trPr>
          <w:trHeight w:val="308" w:hRule="atLeast"/>
        </w:trPr>
        <w:tc>
          <w:tcPr>
            <w:tcW w:w="4370"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合计</w:t>
            </w:r>
          </w:p>
        </w:tc>
        <w:tc>
          <w:tcPr>
            <w:tcW w:w="21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i w:val="0"/>
                <w:color w:val="000000"/>
                <w:sz w:val="16"/>
                <w:szCs w:val="16"/>
                <w:u w:val="none"/>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i w:val="0"/>
                <w:color w:val="000000"/>
                <w:sz w:val="16"/>
                <w:szCs w:val="16"/>
                <w:u w:val="none"/>
              </w:rPr>
            </w:pPr>
          </w:p>
        </w:tc>
        <w:tc>
          <w:tcPr>
            <w:tcW w:w="1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i w:val="0"/>
                <w:color w:val="000000"/>
                <w:sz w:val="16"/>
                <w:szCs w:val="16"/>
                <w:u w:val="none"/>
              </w:rPr>
            </w:pPr>
          </w:p>
        </w:tc>
      </w:tr>
      <w:tr>
        <w:tblPrEx>
          <w:tblCellMar>
            <w:top w:w="0" w:type="dxa"/>
            <w:left w:w="0" w:type="dxa"/>
            <w:bottom w:w="0" w:type="dxa"/>
            <w:right w:w="0" w:type="dxa"/>
          </w:tblCellMar>
        </w:tblPrEx>
        <w:trPr>
          <w:trHeight w:val="308" w:hRule="atLeast"/>
        </w:trPr>
        <w:tc>
          <w:tcPr>
            <w:tcW w:w="380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1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380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1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380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1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380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1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380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1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380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1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380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1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380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1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bl>
    <w:p>
      <w:pPr>
        <w:tabs>
          <w:tab w:val="left" w:pos="682"/>
        </w:tabs>
        <w:bidi w:val="0"/>
        <w:jc w:val="left"/>
        <w:rPr>
          <w:rFonts w:hint="eastAsia"/>
          <w:sz w:val="16"/>
          <w:szCs w:val="16"/>
          <w:lang w:val="en-US" w:eastAsia="zh-CN"/>
        </w:rPr>
        <w:sectPr>
          <w:pgSz w:w="11906" w:h="16838"/>
          <w:pgMar w:top="2098" w:right="1531" w:bottom="1984" w:left="1531" w:header="851" w:footer="992" w:gutter="0"/>
          <w:pgNumType w:fmt="numberInDash"/>
          <w:cols w:space="0" w:num="1"/>
          <w:titlePg/>
          <w:docGrid w:type="lines" w:linePitch="312" w:charSpace="0"/>
        </w:sectPr>
      </w:pPr>
      <w:r>
        <w:rPr>
          <w:rFonts w:hint="eastAsia"/>
          <w:sz w:val="16"/>
          <w:szCs w:val="16"/>
          <w:lang w:val="en-US" w:eastAsia="zh-CN"/>
        </w:rPr>
        <w:t>注：本部门本年度无相关收入（或支出、收支及结转结余等）情况，按要求以空表列示。</w:t>
      </w:r>
    </w:p>
    <w:tbl>
      <w:tblPr>
        <w:tblStyle w:val="5"/>
        <w:tblW w:w="8930" w:type="dxa"/>
        <w:tblInd w:w="0" w:type="dxa"/>
        <w:shd w:val="clear" w:color="auto" w:fill="auto"/>
        <w:tblLayout w:type="fixed"/>
        <w:tblCellMar>
          <w:top w:w="0" w:type="dxa"/>
          <w:left w:w="0" w:type="dxa"/>
          <w:bottom w:w="0" w:type="dxa"/>
          <w:right w:w="0" w:type="dxa"/>
        </w:tblCellMar>
      </w:tblPr>
      <w:tblGrid>
        <w:gridCol w:w="444"/>
        <w:gridCol w:w="444"/>
        <w:gridCol w:w="445"/>
        <w:gridCol w:w="307"/>
        <w:gridCol w:w="387"/>
        <w:gridCol w:w="1404"/>
        <w:gridCol w:w="2454"/>
        <w:gridCol w:w="405"/>
        <w:gridCol w:w="375"/>
        <w:gridCol w:w="345"/>
        <w:gridCol w:w="420"/>
        <w:gridCol w:w="285"/>
        <w:gridCol w:w="300"/>
        <w:gridCol w:w="330"/>
        <w:gridCol w:w="585"/>
      </w:tblGrid>
      <w:tr>
        <w:tblPrEx>
          <w:shd w:val="clear" w:color="auto" w:fill="auto"/>
          <w:tblCellMar>
            <w:top w:w="0" w:type="dxa"/>
            <w:left w:w="0" w:type="dxa"/>
            <w:bottom w:w="0" w:type="dxa"/>
            <w:right w:w="0" w:type="dxa"/>
          </w:tblCellMar>
        </w:tblPrEx>
        <w:trPr>
          <w:trHeight w:val="529" w:hRule="atLeast"/>
        </w:trPr>
        <w:tc>
          <w:tcPr>
            <w:tcW w:w="8930" w:type="dxa"/>
            <w:gridSpan w:val="15"/>
            <w:tcBorders>
              <w:top w:val="nil"/>
              <w:left w:val="nil"/>
              <w:bottom w:val="single" w:color="000000" w:sz="4" w:space="0"/>
              <w:right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ascii="黑体" w:hAnsi="宋体" w:eastAsia="黑体" w:cs="黑体"/>
                <w:b/>
                <w:i w:val="0"/>
                <w:color w:val="000000"/>
                <w:sz w:val="16"/>
                <w:szCs w:val="16"/>
                <w:u w:val="none"/>
              </w:rPr>
            </w:pPr>
            <w:r>
              <w:rPr>
                <w:rFonts w:hint="eastAsia" w:ascii="仿宋_GB2312" w:hAnsi="宋体" w:eastAsia="仿宋_GB2312" w:cs="宋体"/>
                <w:kern w:val="0"/>
                <w:sz w:val="22"/>
                <w:szCs w:val="22"/>
              </w:rPr>
              <w:t>2019年鹿泉区节水型社会达标建设节水载体补</w:t>
            </w:r>
            <w:r>
              <w:rPr>
                <w:rFonts w:hint="eastAsia" w:ascii="仿宋_GB2312" w:hAnsi="宋体" w:eastAsia="仿宋_GB2312" w:cs="宋体"/>
                <w:kern w:val="0"/>
                <w:sz w:val="22"/>
                <w:szCs w:val="22"/>
                <w:lang w:val="en-US" w:eastAsia="zh-CN"/>
              </w:rPr>
              <w:t>助项目绩效自评表</w:t>
            </w:r>
          </w:p>
        </w:tc>
      </w:tr>
      <w:tr>
        <w:tblPrEx>
          <w:shd w:val="clear" w:color="auto" w:fill="auto"/>
          <w:tblCellMar>
            <w:top w:w="0" w:type="dxa"/>
            <w:left w:w="0" w:type="dxa"/>
            <w:bottom w:w="0" w:type="dxa"/>
            <w:right w:w="0" w:type="dxa"/>
          </w:tblCellMar>
        </w:tblPrEx>
        <w:trPr>
          <w:trHeight w:val="345" w:hRule="atLeast"/>
        </w:trPr>
        <w:tc>
          <w:tcPr>
            <w:tcW w:w="1640"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市</w:t>
            </w:r>
          </w:p>
        </w:tc>
        <w:tc>
          <w:tcPr>
            <w:tcW w:w="5025" w:type="dxa"/>
            <w:gridSpan w:val="5"/>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w:t>
            </w:r>
          </w:p>
        </w:tc>
        <w:tc>
          <w:tcPr>
            <w:tcW w:w="76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省级主管部门</w:t>
            </w:r>
          </w:p>
        </w:tc>
        <w:tc>
          <w:tcPr>
            <w:tcW w:w="1500"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河北省水利厅</w:t>
            </w:r>
          </w:p>
        </w:tc>
      </w:tr>
      <w:tr>
        <w:tblPrEx>
          <w:shd w:val="clear" w:color="auto" w:fill="auto"/>
          <w:tblCellMar>
            <w:top w:w="0" w:type="dxa"/>
            <w:left w:w="0" w:type="dxa"/>
            <w:bottom w:w="0" w:type="dxa"/>
            <w:right w:w="0" w:type="dxa"/>
          </w:tblCellMar>
        </w:tblPrEx>
        <w:trPr>
          <w:trHeight w:val="345" w:hRule="atLeast"/>
        </w:trPr>
        <w:tc>
          <w:tcPr>
            <w:tcW w:w="1640"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市级财政部门</w:t>
            </w:r>
          </w:p>
        </w:tc>
        <w:tc>
          <w:tcPr>
            <w:tcW w:w="5025" w:type="dxa"/>
            <w:gridSpan w:val="5"/>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石家庄市财政局</w:t>
            </w:r>
          </w:p>
        </w:tc>
        <w:tc>
          <w:tcPr>
            <w:tcW w:w="76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市级主管部门</w:t>
            </w:r>
          </w:p>
        </w:tc>
        <w:tc>
          <w:tcPr>
            <w:tcW w:w="1500"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石家庄市水利局</w:t>
            </w:r>
          </w:p>
        </w:tc>
      </w:tr>
      <w:tr>
        <w:tblPrEx>
          <w:shd w:val="clear" w:color="auto" w:fill="auto"/>
          <w:tblCellMar>
            <w:top w:w="0" w:type="dxa"/>
            <w:left w:w="0" w:type="dxa"/>
            <w:bottom w:w="0" w:type="dxa"/>
            <w:right w:w="0" w:type="dxa"/>
          </w:tblCellMar>
        </w:tblPrEx>
        <w:trPr>
          <w:trHeight w:val="345" w:hRule="atLeast"/>
        </w:trPr>
        <w:tc>
          <w:tcPr>
            <w:tcW w:w="44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到位</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情况</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（万元）</w:t>
            </w: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批复预算数：</w:t>
            </w:r>
          </w:p>
        </w:tc>
        <w:tc>
          <w:tcPr>
            <w:tcW w:w="387" w:type="dxa"/>
            <w:tcBorders>
              <w:top w:val="single" w:color="000000" w:sz="4" w:space="0"/>
              <w:left w:val="nil"/>
              <w:bottom w:val="single" w:color="000000" w:sz="4" w:space="0"/>
              <w:right w:val="nil"/>
            </w:tcBorders>
            <w:shd w:val="clear" w:color="auto"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404" w:type="dxa"/>
            <w:tcBorders>
              <w:top w:val="single" w:color="000000" w:sz="4" w:space="0"/>
              <w:left w:val="nil"/>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24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扣除国家级贫困县资金后预算数：</w:t>
            </w:r>
          </w:p>
        </w:tc>
        <w:tc>
          <w:tcPr>
            <w:tcW w:w="78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6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实际到位数：</w:t>
            </w:r>
          </w:p>
        </w:tc>
        <w:tc>
          <w:tcPr>
            <w:tcW w:w="1500"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shd w:val="clear" w:color="auto" w:fill="auto"/>
          <w:tblCellMar>
            <w:top w:w="0" w:type="dxa"/>
            <w:left w:w="0" w:type="dxa"/>
            <w:bottom w:w="0" w:type="dxa"/>
            <w:right w:w="0" w:type="dxa"/>
          </w:tblCellMar>
        </w:tblPrEx>
        <w:trPr>
          <w:trHeight w:val="345"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其中：中央财政</w:t>
            </w:r>
          </w:p>
        </w:tc>
        <w:tc>
          <w:tcPr>
            <w:tcW w:w="1791"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100.00 </w:t>
            </w:r>
          </w:p>
        </w:tc>
        <w:tc>
          <w:tcPr>
            <w:tcW w:w="24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其中: 中央财政</w:t>
            </w:r>
          </w:p>
        </w:tc>
        <w:tc>
          <w:tcPr>
            <w:tcW w:w="78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6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其中：中央财政</w:t>
            </w:r>
          </w:p>
        </w:tc>
        <w:tc>
          <w:tcPr>
            <w:tcW w:w="1500"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shd w:val="clear" w:color="auto" w:fill="auto"/>
          <w:tblCellMar>
            <w:top w:w="0" w:type="dxa"/>
            <w:left w:w="0" w:type="dxa"/>
            <w:bottom w:w="0" w:type="dxa"/>
            <w:right w:w="0" w:type="dxa"/>
          </w:tblCellMar>
        </w:tblPrEx>
        <w:trPr>
          <w:trHeight w:val="345"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省级财政</w:t>
            </w:r>
          </w:p>
        </w:tc>
        <w:tc>
          <w:tcPr>
            <w:tcW w:w="1791"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4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省级财政</w:t>
            </w:r>
          </w:p>
        </w:tc>
        <w:tc>
          <w:tcPr>
            <w:tcW w:w="78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6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省级财政</w:t>
            </w:r>
          </w:p>
        </w:tc>
        <w:tc>
          <w:tcPr>
            <w:tcW w:w="1500"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345"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地县财政</w:t>
            </w:r>
          </w:p>
        </w:tc>
        <w:tc>
          <w:tcPr>
            <w:tcW w:w="387" w:type="dxa"/>
            <w:tcBorders>
              <w:top w:val="single" w:color="000000" w:sz="4" w:space="0"/>
              <w:left w:val="single" w:color="000000" w:sz="4" w:space="0"/>
              <w:bottom w:val="single" w:color="000000" w:sz="4" w:space="0"/>
              <w:right w:val="nil"/>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04" w:type="dxa"/>
            <w:tcBorders>
              <w:top w:val="single" w:color="000000" w:sz="4" w:space="0"/>
              <w:left w:val="nil"/>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4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地县财政</w:t>
            </w:r>
          </w:p>
        </w:tc>
        <w:tc>
          <w:tcPr>
            <w:tcW w:w="405" w:type="dxa"/>
            <w:tcBorders>
              <w:top w:val="single" w:color="000000" w:sz="4" w:space="0"/>
              <w:left w:val="single" w:color="000000" w:sz="4" w:space="0"/>
              <w:bottom w:val="single" w:color="000000" w:sz="4" w:space="0"/>
              <w:right w:val="nil"/>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5" w:type="dxa"/>
            <w:tcBorders>
              <w:top w:val="single" w:color="000000" w:sz="4" w:space="0"/>
              <w:left w:val="nil"/>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6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地县财政</w:t>
            </w:r>
          </w:p>
        </w:tc>
        <w:tc>
          <w:tcPr>
            <w:tcW w:w="285" w:type="dxa"/>
            <w:tcBorders>
              <w:top w:val="single" w:color="000000" w:sz="4" w:space="0"/>
              <w:left w:val="single" w:color="000000" w:sz="4" w:space="0"/>
              <w:bottom w:val="single" w:color="000000" w:sz="4" w:space="0"/>
              <w:right w:val="nil"/>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0" w:type="dxa"/>
            <w:tcBorders>
              <w:top w:val="single" w:color="000000" w:sz="4" w:space="0"/>
              <w:left w:val="nil"/>
              <w:bottom w:val="single" w:color="000000" w:sz="4" w:space="0"/>
              <w:right w:val="nil"/>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30" w:type="dxa"/>
            <w:tcBorders>
              <w:top w:val="single" w:color="000000" w:sz="4" w:space="0"/>
              <w:left w:val="nil"/>
              <w:bottom w:val="single" w:color="000000" w:sz="4" w:space="0"/>
              <w:right w:val="nil"/>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tcBorders>
              <w:top w:val="single" w:color="000000" w:sz="4" w:space="0"/>
              <w:left w:val="nil"/>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345"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其他资金</w:t>
            </w:r>
          </w:p>
        </w:tc>
        <w:tc>
          <w:tcPr>
            <w:tcW w:w="1791"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4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其他资金</w:t>
            </w:r>
          </w:p>
        </w:tc>
        <w:tc>
          <w:tcPr>
            <w:tcW w:w="78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6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其他资金</w:t>
            </w:r>
          </w:p>
        </w:tc>
        <w:tc>
          <w:tcPr>
            <w:tcW w:w="1500"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345" w:hRule="atLeast"/>
        </w:trPr>
        <w:tc>
          <w:tcPr>
            <w:tcW w:w="44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目标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完成</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情况</w:t>
            </w:r>
          </w:p>
        </w:tc>
        <w:tc>
          <w:tcPr>
            <w:tcW w:w="6221" w:type="dxa"/>
            <w:gridSpan w:val="8"/>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年初设定目标</w:t>
            </w:r>
          </w:p>
        </w:tc>
        <w:tc>
          <w:tcPr>
            <w:tcW w:w="2265" w:type="dxa"/>
            <w:gridSpan w:val="6"/>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全年实际完成情况</w:t>
            </w:r>
          </w:p>
        </w:tc>
      </w:tr>
      <w:tr>
        <w:tblPrEx>
          <w:shd w:val="clear" w:color="auto" w:fill="auto"/>
          <w:tblCellMar>
            <w:top w:w="0" w:type="dxa"/>
            <w:left w:w="0" w:type="dxa"/>
            <w:bottom w:w="0" w:type="dxa"/>
            <w:right w:w="0" w:type="dxa"/>
          </w:tblCellMar>
        </w:tblPrEx>
        <w:trPr>
          <w:trHeight w:val="810"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221" w:type="dxa"/>
            <w:gridSpan w:val="8"/>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定性描述水利发展资金年度目标。</w:t>
            </w:r>
          </w:p>
        </w:tc>
        <w:tc>
          <w:tcPr>
            <w:tcW w:w="2265" w:type="dxa"/>
            <w:gridSpan w:val="6"/>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定性描述扣除国家级贫困县资金后年度绩效目标调整情况，年度目标实际完成情况。</w:t>
            </w:r>
          </w:p>
        </w:tc>
      </w:tr>
      <w:tr>
        <w:tblPrEx>
          <w:shd w:val="clear" w:color="auto" w:fill="auto"/>
          <w:tblCellMar>
            <w:top w:w="0" w:type="dxa"/>
            <w:left w:w="0" w:type="dxa"/>
            <w:bottom w:w="0" w:type="dxa"/>
            <w:right w:w="0" w:type="dxa"/>
          </w:tblCellMar>
        </w:tblPrEx>
        <w:trPr>
          <w:trHeight w:val="1065" w:hRule="atLeast"/>
        </w:trPr>
        <w:tc>
          <w:tcPr>
            <w:tcW w:w="44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绩效</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完成</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情况</w:t>
            </w:r>
          </w:p>
        </w:tc>
        <w:tc>
          <w:tcPr>
            <w:tcW w:w="44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4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分值</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38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分值</w:t>
            </w: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单位</w:t>
            </w:r>
          </w:p>
        </w:tc>
        <w:tc>
          <w:tcPr>
            <w:tcW w:w="37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分值</w:t>
            </w: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批复年度指标值</w:t>
            </w: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调整后年度指标值</w:t>
            </w: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全年完成值</w:t>
            </w: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得分</w:t>
            </w: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完成超30%和未完成原因及改进措施</w:t>
            </w:r>
          </w:p>
        </w:tc>
        <w:tc>
          <w:tcPr>
            <w:tcW w:w="5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评分标准</w:t>
            </w:r>
          </w:p>
        </w:tc>
      </w:tr>
      <w:tr>
        <w:tblPrEx>
          <w:shd w:val="clear" w:color="auto" w:fill="auto"/>
          <w:tblCellMar>
            <w:top w:w="0" w:type="dxa"/>
            <w:left w:w="0" w:type="dxa"/>
            <w:bottom w:w="0" w:type="dxa"/>
            <w:right w:w="0" w:type="dxa"/>
          </w:tblCellMar>
        </w:tblPrEx>
        <w:trPr>
          <w:trHeight w:val="975" w:hRule="atLeast"/>
        </w:trPr>
        <w:tc>
          <w:tcPr>
            <w:tcW w:w="44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管理</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工作</w:t>
            </w:r>
          </w:p>
        </w:tc>
        <w:tc>
          <w:tcPr>
            <w:tcW w:w="44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项目决策</w:t>
            </w:r>
          </w:p>
        </w:tc>
        <w:tc>
          <w:tcPr>
            <w:tcW w:w="44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c>
          <w:tcPr>
            <w:tcW w:w="30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资金分配</w:t>
            </w:r>
          </w:p>
        </w:tc>
        <w:tc>
          <w:tcPr>
            <w:tcW w:w="38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分配挂钩</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7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4.0 </w:t>
            </w: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建立分配挂钩机制（2分），绩效评价结果与市县资金分配挂钩（2分）</w:t>
            </w:r>
          </w:p>
        </w:tc>
      </w:tr>
      <w:tr>
        <w:tblPrEx>
          <w:shd w:val="clear" w:color="auto" w:fill="auto"/>
          <w:tblCellMar>
            <w:top w:w="0" w:type="dxa"/>
            <w:left w:w="0" w:type="dxa"/>
            <w:bottom w:w="0" w:type="dxa"/>
            <w:right w:w="0" w:type="dxa"/>
          </w:tblCellMar>
        </w:tblPrEx>
        <w:trPr>
          <w:trHeight w:val="945"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分配结果</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7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w:t>
            </w: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6.0 </w:t>
            </w: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资金分配符合相关管理办法规定（3分），资金及时分解下达（3分）</w:t>
            </w:r>
          </w:p>
        </w:tc>
      </w:tr>
      <w:tr>
        <w:tblPrEx>
          <w:shd w:val="clear" w:color="auto" w:fill="auto"/>
          <w:tblCellMar>
            <w:top w:w="0" w:type="dxa"/>
            <w:left w:w="0" w:type="dxa"/>
            <w:bottom w:w="0" w:type="dxa"/>
            <w:right w:w="0" w:type="dxa"/>
          </w:tblCellMar>
        </w:tblPrEx>
        <w:trPr>
          <w:trHeight w:val="1482"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项目管理</w:t>
            </w:r>
          </w:p>
        </w:tc>
        <w:tc>
          <w:tcPr>
            <w:tcW w:w="44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w:t>
            </w:r>
          </w:p>
        </w:tc>
        <w:tc>
          <w:tcPr>
            <w:tcW w:w="30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w:t>
            </w:r>
          </w:p>
        </w:tc>
        <w:tc>
          <w:tcPr>
            <w:tcW w:w="38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省级以上财政资金到位率</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7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3.0 </w:t>
            </w: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中央和省级财政资金实际到位数除以中央和省级财政资金预算数（均扣除国家级贫困县相应资金），按比例得分（3分），最高不超过3分</w:t>
            </w:r>
          </w:p>
        </w:tc>
      </w:tr>
      <w:tr>
        <w:tblPrEx>
          <w:shd w:val="clear" w:color="auto" w:fill="auto"/>
          <w:tblCellMar>
            <w:top w:w="0" w:type="dxa"/>
            <w:left w:w="0" w:type="dxa"/>
            <w:bottom w:w="0" w:type="dxa"/>
            <w:right w:w="0" w:type="dxa"/>
          </w:tblCellMar>
        </w:tblPrEx>
        <w:trPr>
          <w:trHeight w:val="975"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到位时效</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7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2.0 </w:t>
            </w: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及时到位（2分），未及时到位但未影响项目进度（1分）</w:t>
            </w:r>
          </w:p>
        </w:tc>
      </w:tr>
      <w:tr>
        <w:tblPrEx>
          <w:shd w:val="clear" w:color="auto" w:fill="auto"/>
          <w:tblCellMar>
            <w:top w:w="0" w:type="dxa"/>
            <w:left w:w="0" w:type="dxa"/>
            <w:bottom w:w="0" w:type="dxa"/>
            <w:right w:w="0" w:type="dxa"/>
          </w:tblCellMar>
        </w:tblPrEx>
        <w:trPr>
          <w:trHeight w:val="130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nil"/>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资金安全</w:t>
            </w:r>
          </w:p>
        </w:tc>
        <w:tc>
          <w:tcPr>
            <w:tcW w:w="387" w:type="dxa"/>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w:t>
            </w: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资金问题</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7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w:t>
            </w: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w:t>
            </w: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绩效评价及各类检查中存在资金问题的，按情节轻重扣分</w:t>
            </w:r>
          </w:p>
        </w:tc>
      </w:tr>
      <w:tr>
        <w:tblPrEx>
          <w:shd w:val="clear" w:color="auto" w:fill="auto"/>
          <w:tblCellMar>
            <w:top w:w="0" w:type="dxa"/>
            <w:left w:w="0" w:type="dxa"/>
            <w:bottom w:w="0" w:type="dxa"/>
            <w:right w:w="0" w:type="dxa"/>
          </w:tblCellMar>
        </w:tblPrEx>
        <w:trPr>
          <w:trHeight w:val="645"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组织实施</w:t>
            </w:r>
          </w:p>
        </w:tc>
        <w:tc>
          <w:tcPr>
            <w:tcW w:w="38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目标分解</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7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2.0 </w:t>
            </w: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市级绩效目标全部分解到县（2分）</w:t>
            </w:r>
          </w:p>
        </w:tc>
      </w:tr>
      <w:tr>
        <w:tblPrEx>
          <w:shd w:val="clear" w:color="auto" w:fill="auto"/>
          <w:tblCellMar>
            <w:top w:w="0" w:type="dxa"/>
            <w:left w:w="0" w:type="dxa"/>
            <w:bottom w:w="0" w:type="dxa"/>
            <w:right w:w="0" w:type="dxa"/>
          </w:tblCellMar>
        </w:tblPrEx>
        <w:trPr>
          <w:trHeight w:val="1950"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组织管理</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7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1.0 </w:t>
            </w: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组织县开展绩效评价工作（1分），县级自评材料填报、盖章不规范的，每个县根据情节扣0.5分或1分，扣完为止</w:t>
            </w:r>
          </w:p>
        </w:tc>
      </w:tr>
      <w:tr>
        <w:tblPrEx>
          <w:shd w:val="clear" w:color="auto" w:fill="auto"/>
          <w:tblCellMar>
            <w:top w:w="0" w:type="dxa"/>
            <w:left w:w="0" w:type="dxa"/>
            <w:bottom w:w="0" w:type="dxa"/>
            <w:right w:w="0" w:type="dxa"/>
          </w:tblCellMar>
        </w:tblPrEx>
        <w:trPr>
          <w:trHeight w:val="1800"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绩效管理</w:t>
            </w:r>
          </w:p>
        </w:tc>
        <w:tc>
          <w:tcPr>
            <w:tcW w:w="38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报送质量</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7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w:t>
            </w: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6.0 </w:t>
            </w: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绩效目标申报合理准确（2分），自评材料报送完整（2分），自评材料报送准确（2分）</w:t>
            </w:r>
          </w:p>
        </w:tc>
      </w:tr>
      <w:tr>
        <w:tblPrEx>
          <w:shd w:val="clear" w:color="auto" w:fill="auto"/>
          <w:tblCellMar>
            <w:top w:w="0" w:type="dxa"/>
            <w:left w:w="0" w:type="dxa"/>
            <w:bottom w:w="0" w:type="dxa"/>
            <w:right w:w="0" w:type="dxa"/>
          </w:tblCellMar>
        </w:tblPrEx>
        <w:trPr>
          <w:trHeight w:val="1665"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报送时效性</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7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4.0 </w:t>
            </w: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在规定时间内报送绩效目标（2分），每超一天扣0.5分，扣完为止；在规定时间内报送绩效自评材料（2分），每超一天扣0.5分，扣完为止</w:t>
            </w:r>
          </w:p>
        </w:tc>
      </w:tr>
      <w:tr>
        <w:tblPrEx>
          <w:shd w:val="clear" w:color="auto" w:fill="auto"/>
          <w:tblCellMar>
            <w:top w:w="0" w:type="dxa"/>
            <w:left w:w="0" w:type="dxa"/>
            <w:bottom w:w="0" w:type="dxa"/>
            <w:right w:w="0" w:type="dxa"/>
          </w:tblCellMar>
        </w:tblPrEx>
        <w:trPr>
          <w:trHeight w:val="439" w:hRule="atLeast"/>
        </w:trPr>
        <w:tc>
          <w:tcPr>
            <w:tcW w:w="44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项目绩效</w:t>
            </w:r>
          </w:p>
        </w:tc>
        <w:tc>
          <w:tcPr>
            <w:tcW w:w="44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w:t>
            </w:r>
          </w:p>
        </w:tc>
        <w:tc>
          <w:tcPr>
            <w:tcW w:w="44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w:t>
            </w:r>
          </w:p>
        </w:tc>
        <w:tc>
          <w:tcPr>
            <w:tcW w:w="30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38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1.治理流域面积200-3000平方公里中小河流长度（不含重点县）</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公里</w:t>
            </w:r>
          </w:p>
        </w:tc>
        <w:tc>
          <w:tcPr>
            <w:tcW w:w="37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8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第1、4、7、10、15、20、23、24未完成或应填未填一项扣2分；其余数量指标未完成或应填未填一项扣1分，扣完为止（20分）</w:t>
            </w: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2.中小河流重点县综合整治河流长度</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公里</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3.新建小型水库座数</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座</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4.小型病险水库除险加固座数</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座</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5.实施山洪灾害防治的县数</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个</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6.山洪沟治理数量</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条</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7.实施农村基层防汛预报预警体系建设的县数</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个</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8.崩岗治理座数</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座</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9.治理中型和小型侵蚀沟条数</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条</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10.中型以上病险淤地坝除险加固</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座</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11.开展水土保持以奖代补试点县数</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个</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12.实施河湖水系连通项目数</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个</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13.实施水资源管理与保护项目个数（不含第14项）</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个</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14.实施节水型社会达标建设项目数</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个</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1.00 </w:t>
            </w: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20.0 </w:t>
            </w: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15.重点中型灌区节水配套改造数量（不含第16项）</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个</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16.原农发补助灌区节水配套改造数量</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个</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17.新增农业水价综合改革面积</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万亩</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18.灌溉饲草料地建设面积</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万亩</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restart"/>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项目绩效（续）</w:t>
            </w:r>
          </w:p>
        </w:tc>
        <w:tc>
          <w:tcPr>
            <w:tcW w:w="444" w:type="dxa"/>
            <w:vMerge w:val="restart"/>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产出指标（续）</w:t>
            </w:r>
          </w:p>
        </w:tc>
        <w:tc>
          <w:tcPr>
            <w:tcW w:w="445" w:type="dxa"/>
            <w:vMerge w:val="restart"/>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40（续）</w:t>
            </w:r>
          </w:p>
        </w:tc>
        <w:tc>
          <w:tcPr>
            <w:tcW w:w="307" w:type="dxa"/>
            <w:vMerge w:val="restart"/>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数量指标(续)</w:t>
            </w:r>
          </w:p>
        </w:tc>
        <w:tc>
          <w:tcPr>
            <w:tcW w:w="387" w:type="dxa"/>
            <w:vMerge w:val="restart"/>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(续)</w:t>
            </w: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19.新建和改造小型水源工程数量</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处</w:t>
            </w:r>
          </w:p>
        </w:tc>
        <w:tc>
          <w:tcPr>
            <w:tcW w:w="37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(续)</w:t>
            </w: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8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第1、4、7、10、15、20、23、24未完成或应填未填一项扣2分；其余数量指标未完成或应填未填一项扣1分，扣完为止（20分）</w:t>
            </w: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20.农村饮水工程维修养护数量</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处</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21.河流管护长度</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公里</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22.湖泊管护面积</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平方公里</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23.小型水库工程维修养护座数</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座</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24.山洪灾害防治非工程措施设施维修养护县数</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个</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792"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38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w:t>
            </w: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1.截至2020年6月底，项目初步验收率</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7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4.0 </w:t>
            </w: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初步验收项目数除以项目总数，按比例得分（4分）</w:t>
            </w:r>
          </w:p>
        </w:tc>
      </w:tr>
      <w:tr>
        <w:tblPrEx>
          <w:shd w:val="clear" w:color="auto" w:fill="auto"/>
          <w:tblCellMar>
            <w:top w:w="0" w:type="dxa"/>
            <w:left w:w="0" w:type="dxa"/>
            <w:bottom w:w="0" w:type="dxa"/>
            <w:right w:w="0" w:type="dxa"/>
          </w:tblCellMar>
        </w:tblPrEx>
        <w:trPr>
          <w:trHeight w:val="870"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2.工程验收合格率</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7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2.0 </w:t>
            </w: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验收合格项目数除以初步验收项目数，按比例得分（2分）</w:t>
            </w:r>
          </w:p>
        </w:tc>
      </w:tr>
      <w:tr>
        <w:tblPrEx>
          <w:shd w:val="clear" w:color="auto" w:fill="auto"/>
          <w:tblCellMar>
            <w:top w:w="0" w:type="dxa"/>
            <w:left w:w="0" w:type="dxa"/>
            <w:bottom w:w="0" w:type="dxa"/>
            <w:right w:w="0" w:type="dxa"/>
          </w:tblCellMar>
        </w:tblPrEx>
        <w:trPr>
          <w:trHeight w:val="1005"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3.已建工程是否存在质量问题</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是/否</w:t>
            </w:r>
          </w:p>
        </w:tc>
        <w:tc>
          <w:tcPr>
            <w:tcW w:w="37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否</w:t>
            </w: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3.0 </w:t>
            </w: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各类检查中存在质量问题的，每个事件按问题轻重扣1分、2分或3分，扣完为止（3分）</w:t>
            </w:r>
          </w:p>
        </w:tc>
      </w:tr>
      <w:tr>
        <w:tblPrEx>
          <w:shd w:val="clear" w:color="auto" w:fill="auto"/>
          <w:tblCellMar>
            <w:top w:w="0" w:type="dxa"/>
            <w:left w:w="0" w:type="dxa"/>
            <w:bottom w:w="0" w:type="dxa"/>
            <w:right w:w="0" w:type="dxa"/>
          </w:tblCellMar>
        </w:tblPrEx>
        <w:trPr>
          <w:trHeight w:val="2202"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38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w:t>
            </w: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1.截至2019年底，投资完成比例</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7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80%</w:t>
            </w: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5.0 </w:t>
            </w: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投资包括中央财政资金、地方财政资金和其他资金，完成投资除以扣除国家级贫困县资金后投资，按比例得分，80%以上得5分，低于80%的按比例得分，即投资完成比例×分值/80%</w:t>
            </w:r>
          </w:p>
        </w:tc>
      </w:tr>
      <w:tr>
        <w:tblPrEx>
          <w:shd w:val="clear" w:color="auto" w:fill="auto"/>
          <w:tblCellMar>
            <w:top w:w="0" w:type="dxa"/>
            <w:left w:w="0" w:type="dxa"/>
            <w:bottom w:w="0" w:type="dxa"/>
            <w:right w:w="0" w:type="dxa"/>
          </w:tblCellMar>
        </w:tblPrEx>
        <w:trPr>
          <w:trHeight w:val="1290"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2.截至2020年6月底，投资完成比例</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7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4.0 </w:t>
            </w: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投资包括中央财政资金、地方财政资金和其他资金，完成投资除以扣除国家级贫困县资金后投资，按比例得分（4分）</w:t>
            </w:r>
          </w:p>
        </w:tc>
      </w:tr>
      <w:tr>
        <w:tblPrEx>
          <w:shd w:val="clear" w:color="auto" w:fill="auto"/>
          <w:tblCellMar>
            <w:top w:w="0" w:type="dxa"/>
            <w:left w:w="0" w:type="dxa"/>
            <w:bottom w:w="0" w:type="dxa"/>
            <w:right w:w="0" w:type="dxa"/>
          </w:tblCellMar>
        </w:tblPrEx>
        <w:trPr>
          <w:trHeight w:val="735"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38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单价是否控制在批复概算单价内</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是/否</w:t>
            </w:r>
          </w:p>
        </w:tc>
        <w:tc>
          <w:tcPr>
            <w:tcW w:w="37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是</w:t>
            </w: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2.0 </w:t>
            </w: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每出现一个实际执行中超概算的项目扣1分，扣完为止（2分）</w:t>
            </w: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w:t>
            </w:r>
          </w:p>
        </w:tc>
        <w:tc>
          <w:tcPr>
            <w:tcW w:w="44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w:t>
            </w:r>
          </w:p>
        </w:tc>
        <w:tc>
          <w:tcPr>
            <w:tcW w:w="30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经济效益指标</w:t>
            </w:r>
          </w:p>
        </w:tc>
        <w:tc>
          <w:tcPr>
            <w:tcW w:w="38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1.新增供水能力</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万立方米</w:t>
            </w:r>
          </w:p>
        </w:tc>
        <w:tc>
          <w:tcPr>
            <w:tcW w:w="37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ascii="宋体 ( 正文 )" w:hAnsi="宋体 ( 正文 )" w:eastAsia="宋体 ( 正文 )" w:cs="宋体 ( 正文 )"/>
                <w:i w:val="0"/>
                <w:color w:val="000000"/>
                <w:sz w:val="16"/>
                <w:szCs w:val="16"/>
                <w:u w:val="none"/>
              </w:rPr>
            </w:pPr>
            <w:r>
              <w:rPr>
                <w:rFonts w:hint="default" w:ascii="宋体 ( 正文 )" w:hAnsi="宋体 ( 正文 )" w:eastAsia="宋体 ( 正文 )" w:cs="宋体 ( 正文 )"/>
                <w:i w:val="0"/>
                <w:color w:val="000000"/>
                <w:kern w:val="0"/>
                <w:sz w:val="16"/>
                <w:szCs w:val="16"/>
                <w:u w:val="none"/>
                <w:lang w:val="en-US" w:eastAsia="zh-CN" w:bidi="ar"/>
              </w:rPr>
              <w:t>4</w:t>
            </w: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未完成或应填未填一项扣1分，扣完为止（4分）</w:t>
            </w: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2.新增、恢复灌溉面积</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万亩</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3.改善灌溉面积</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万亩</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4.新增粮食综合生产能力</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万公斤</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5.保护耕地面积</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万亩</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38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1.中小河流治理保护人口数量</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万人</w:t>
            </w:r>
          </w:p>
        </w:tc>
        <w:tc>
          <w:tcPr>
            <w:tcW w:w="37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宋体 ( 正文 )" w:hAnsi="宋体 ( 正文 )" w:eastAsia="宋体 ( 正文 )" w:cs="宋体 ( 正文 )"/>
                <w:i w:val="0"/>
                <w:color w:val="000000"/>
                <w:sz w:val="16"/>
                <w:szCs w:val="16"/>
                <w:u w:val="none"/>
              </w:rPr>
            </w:pPr>
            <w:r>
              <w:rPr>
                <w:rFonts w:hint="default" w:ascii="宋体 ( 正文 )" w:hAnsi="宋体 ( 正文 )" w:eastAsia="宋体 ( 正文 )" w:cs="宋体 ( 正文 )"/>
                <w:i w:val="0"/>
                <w:color w:val="000000"/>
                <w:kern w:val="0"/>
                <w:sz w:val="16"/>
                <w:szCs w:val="16"/>
                <w:u w:val="none"/>
                <w:lang w:val="en-US" w:eastAsia="zh-CN" w:bidi="ar"/>
              </w:rPr>
              <w:t>4</w:t>
            </w: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未完成或应填未填一项扣1分，扣完为止（4分）</w:t>
            </w: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2.小型病险水库除险加固保护人口数量</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万人</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3.农村基层防汛预报预警体系建设覆盖人口数量</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万人</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4.山洪灾害防治覆盖人口数量</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万人</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5.淤地坝除险加固保护面积</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平方公里</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6.农村饮水工程维修养护覆盖服务人口</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万人</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7.其他水利工程设施维修养护覆盖服务人口</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万人</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生态效益</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指标</w:t>
            </w:r>
          </w:p>
        </w:tc>
        <w:tc>
          <w:tcPr>
            <w:tcW w:w="38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1.水土流失综合治理面积</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平方公里</w:t>
            </w:r>
          </w:p>
        </w:tc>
        <w:tc>
          <w:tcPr>
            <w:tcW w:w="37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宋体 ( 正文 )" w:hAnsi="宋体 ( 正文 )" w:eastAsia="宋体 ( 正文 )" w:cs="宋体 ( 正文 )"/>
                <w:i w:val="0"/>
                <w:color w:val="000000"/>
                <w:sz w:val="16"/>
                <w:szCs w:val="16"/>
                <w:u w:val="none"/>
              </w:rPr>
            </w:pPr>
            <w:r>
              <w:rPr>
                <w:rFonts w:hint="default" w:ascii="宋体 ( 正文 )" w:hAnsi="宋体 ( 正文 )" w:eastAsia="宋体 ( 正文 )" w:cs="宋体 ( 正文 )"/>
                <w:i w:val="0"/>
                <w:color w:val="000000"/>
                <w:kern w:val="0"/>
                <w:sz w:val="16"/>
                <w:szCs w:val="16"/>
                <w:u w:val="none"/>
                <w:lang w:val="en-US" w:eastAsia="zh-CN" w:bidi="ar"/>
              </w:rPr>
              <w:t>4</w:t>
            </w: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未完成或应填未填一项扣1分，扣完为止（4分）</w:t>
            </w: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2.黄土高原塬面保护小流域综合治理面积</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平方公里</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3.塬面保护面积</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平方公里</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4.新增年节水能力</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万立方米</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5.地下水压采量(能力)</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万立方米</w:t>
            </w: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672"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38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1.已建工程是否良性运行</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是/否</w:t>
            </w:r>
          </w:p>
        </w:tc>
        <w:tc>
          <w:tcPr>
            <w:tcW w:w="37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是</w:t>
            </w: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水利发展资金涉及的项目出现运行维护问题的每次扣1分，扣完为止；未安排维修养护经费的，指标1得分不超过1分</w:t>
            </w:r>
          </w:p>
        </w:tc>
      </w:tr>
      <w:tr>
        <w:tblPrEx>
          <w:shd w:val="clear" w:color="auto" w:fill="auto"/>
          <w:tblCellMar>
            <w:top w:w="0" w:type="dxa"/>
            <w:left w:w="0" w:type="dxa"/>
            <w:bottom w:w="0" w:type="dxa"/>
            <w:right w:w="0" w:type="dxa"/>
          </w:tblCellMar>
        </w:tblPrEx>
        <w:trPr>
          <w:trHeight w:val="672"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2.工程是否达到设计使用年限</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是/否</w:t>
            </w:r>
          </w:p>
        </w:tc>
        <w:tc>
          <w:tcPr>
            <w:tcW w:w="37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是</w:t>
            </w: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1020"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指标</w:t>
            </w:r>
          </w:p>
        </w:tc>
        <w:tc>
          <w:tcPr>
            <w:tcW w:w="4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满意度指标</w:t>
            </w:r>
          </w:p>
        </w:tc>
        <w:tc>
          <w:tcPr>
            <w:tcW w:w="38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受益群众满意度</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7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5.0 </w:t>
            </w: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90%以上得5分，满意度低于90%的按比例得分，即受益群众满意度×分值/90%（5分）</w:t>
            </w:r>
          </w:p>
        </w:tc>
      </w:tr>
      <w:tr>
        <w:tblPrEx>
          <w:shd w:val="clear" w:color="auto" w:fill="auto"/>
          <w:tblCellMar>
            <w:top w:w="0" w:type="dxa"/>
            <w:left w:w="0" w:type="dxa"/>
            <w:bottom w:w="0" w:type="dxa"/>
            <w:right w:w="0" w:type="dxa"/>
          </w:tblCellMar>
        </w:tblPrEx>
        <w:trPr>
          <w:trHeight w:val="390" w:hRule="atLeast"/>
        </w:trPr>
        <w:tc>
          <w:tcPr>
            <w:tcW w:w="88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4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385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40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7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3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b/>
                <w:i w:val="0"/>
                <w:color w:val="000000"/>
                <w:sz w:val="16"/>
                <w:szCs w:val="16"/>
                <w:u w:val="none"/>
              </w:rPr>
            </w:pPr>
          </w:p>
        </w:tc>
        <w:tc>
          <w:tcPr>
            <w:tcW w:w="4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b/>
                <w:i w:val="0"/>
                <w:color w:val="000000"/>
                <w:sz w:val="16"/>
                <w:szCs w:val="16"/>
                <w:u w:val="none"/>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b/>
                <w:i w:val="0"/>
                <w:color w:val="000000"/>
                <w:sz w:val="16"/>
                <w:szCs w:val="16"/>
                <w:u w:val="none"/>
              </w:rPr>
            </w:pPr>
          </w:p>
        </w:tc>
        <w:tc>
          <w:tcPr>
            <w:tcW w:w="30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 xml:space="preserve">100.0 </w:t>
            </w:r>
          </w:p>
        </w:tc>
        <w:tc>
          <w:tcPr>
            <w:tcW w:w="3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b/>
                <w:i w:val="0"/>
                <w:color w:val="000000"/>
                <w:sz w:val="16"/>
                <w:szCs w:val="16"/>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r>
      <w:tr>
        <w:tblPrEx>
          <w:shd w:val="clear" w:color="auto" w:fill="auto"/>
          <w:tblCellMar>
            <w:top w:w="0" w:type="dxa"/>
            <w:left w:w="0" w:type="dxa"/>
            <w:bottom w:w="0" w:type="dxa"/>
            <w:right w:w="0" w:type="dxa"/>
          </w:tblCellMar>
        </w:tblPrEx>
        <w:trPr>
          <w:trHeight w:val="2622" w:hRule="atLeast"/>
        </w:trPr>
        <w:tc>
          <w:tcPr>
            <w:tcW w:w="8930" w:type="dxa"/>
            <w:gridSpan w:val="15"/>
            <w:tcBorders>
              <w:top w:val="single" w:color="000000" w:sz="4" w:space="0"/>
              <w:left w:val="nil"/>
              <w:bottom w:val="nil"/>
              <w:right w:val="nil"/>
            </w:tcBorders>
            <w:shd w:val="clear" w:color="auto"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填报说明：</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1.本表为市级绩效自评表，县自评表由市级部门参考本表制定。</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2.所有分项和汇总分数精确到小数点后1位，三级指标的数值统一按本表确定的单位填写。</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3.其他资金包括和中央补助、省级财政资金、地县财政资金共同投入到同一项目的自有资金、社会资金，以及以前年度的结转结余资金等。</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4.指标解释：</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资金及时分解下达”，2019年5月31日（含）之前全部分解下达到县得3分，6月1-15日（含）全部分解下达到县得2分，6月16-30日（含）全部分解下达到县得1分，7月1-15日（含）全部分解下达到县得0.5分，7月15日以后全部分解下达到县得0分。</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“及时到位”，中央和省级资金未全部于2019年底到位，此项得分不超过1分。</w:t>
            </w:r>
          </w:p>
        </w:tc>
      </w:tr>
    </w:tbl>
    <w:p>
      <w:pPr>
        <w:tabs>
          <w:tab w:val="left" w:pos="682"/>
        </w:tabs>
        <w:bidi w:val="0"/>
        <w:jc w:val="left"/>
        <w:rPr>
          <w:rFonts w:hint="eastAsia"/>
          <w:lang w:val="en-US" w:eastAsia="zh-CN"/>
        </w:rPr>
        <w:sectPr>
          <w:pgSz w:w="11906" w:h="16838"/>
          <w:pgMar w:top="2098" w:right="1531" w:bottom="1984" w:left="1531" w:header="851" w:footer="992" w:gutter="0"/>
          <w:pgNumType w:fmt="numberInDash"/>
          <w:cols w:space="0" w:num="1"/>
          <w:titlePg/>
          <w:docGrid w:type="lines" w:linePitch="312" w:charSpace="0"/>
        </w:sectPr>
      </w:pPr>
    </w:p>
    <w:p>
      <w:pPr>
        <w:tabs>
          <w:tab w:val="left" w:pos="682"/>
        </w:tabs>
        <w:bidi w:val="0"/>
        <w:jc w:val="left"/>
        <w:rPr>
          <w:rFonts w:hint="eastAsia"/>
          <w:lang w:val="en-US" w:eastAsia="zh-CN"/>
        </w:rPr>
        <w:sectPr>
          <w:pgSz w:w="11906" w:h="16838"/>
          <w:pgMar w:top="2098" w:right="1531" w:bottom="1984" w:left="1531" w:header="851" w:footer="992" w:gutter="0"/>
          <w:pgNumType w:fmt="numberInDash"/>
          <w:cols w:space="0" w:num="1"/>
          <w:titlePg/>
          <w:docGrid w:type="lines" w:linePitch="312" w:charSpace="0"/>
        </w:sectPr>
      </w:pPr>
      <w:r>
        <w:rPr>
          <w:sz w:val="32"/>
        </w:rPr>
        <mc:AlternateContent>
          <mc:Choice Requires="wps">
            <w:drawing>
              <wp:anchor distT="0" distB="0" distL="114300" distR="114300" simplePos="0" relativeHeight="251691008" behindDoc="0" locked="0" layoutInCell="1" allowOverlap="1">
                <wp:simplePos x="0" y="0"/>
                <wp:positionH relativeFrom="column">
                  <wp:posOffset>-993140</wp:posOffset>
                </wp:positionH>
                <wp:positionV relativeFrom="paragraph">
                  <wp:posOffset>-1353820</wp:posOffset>
                </wp:positionV>
                <wp:extent cx="7632700" cy="10695940"/>
                <wp:effectExtent l="0" t="0" r="6350" b="10160"/>
                <wp:wrapNone/>
                <wp:docPr id="8" name="矩形 8"/>
                <wp:cNvGraphicFramePr/>
                <a:graphic xmlns:a="http://schemas.openxmlformats.org/drawingml/2006/main">
                  <a:graphicData uri="http://schemas.microsoft.com/office/word/2010/wordprocessingShape">
                    <wps:wsp>
                      <wps:cNvSpPr/>
                      <wps:spPr>
                        <a:xfrm>
                          <a:off x="0" y="0"/>
                          <a:ext cx="7632700" cy="10695940"/>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8.2pt;margin-top:-106.6pt;height:842.2pt;width:601pt;z-index:251691008;v-text-anchor:middle;mso-width-relative:page;mso-height-relative:page;" fillcolor="#BDD7EE [1300]" filled="t" stroked="f" coordsize="21600,21600" o:gfxdata="UEsDBAoAAAAAAIdO4kAAAAAAAAAAAAAAAAAEAAAAZHJzL1BLAwQUAAAACACHTuJABpHv59wAAAAP&#10;AQAADwAAAGRycy9kb3ducmV2LnhtbE2Py07DMBBF90j8gzVI7FrbIU1QGqeildiwok0ltm5skqjx&#10;OMTu6++ZrmB3R3N050y5urqBne0Ueo8K5FwAs9h402OrYF+/z16BhajR6MGjVXCzAVbV40OpC+Mv&#10;uLXnXWwZlWAotIIuxrHgPDSddTrM/WiRdt9+cjrSOLXcTPpC5W7giRAZd7pHutDp0W462xx3J6dg&#10;jeIrG/Of7aepP9J6Lzfrt/ym1POTFEtg0V7jHwx3fVKHipwO/oQmsEHBTC6ylFhKiXxJgN0ZkS4y&#10;YAdKaS4T4FXJ//9R/QJQSwMEFAAAAAgAh07iQC3p6eppAgAAuAQAAA4AAABkcnMvZTJvRG9jLnht&#10;bK1U224TMRB9R+IfLL/T3YSQtFE3VWhahFRopYJ4drzerCXfsJ1sys8g8cZH8DmI3+DYu2nL5QmR&#10;B2duOTNzZianZ3utyE74IK2p6OiopEQYbmtpNhV9/+7y2TElITJTM2WNqOidCPRs8fTJaefmYmxb&#10;q2rhCUBMmHeuom2Mbl4UgbdCs3BknTBwNtZrFqH6TVF71gFdq2JcltOis7523nIRAqyr3kkXGb9p&#10;BI/XTRNEJKqiqC3m1+d3nd5iccrmG89cK/lQBvuHKjSTBknvoVYsMrL18g8oLbm3wTbxiFtd2KaR&#10;XOQe0M2o/K2b25Y5kXsBOcHd0xT+Hyx/u7vxRNYVxaAM0xjRj89fv3/7Qo4TN50Lc4Tcuhs/aAFi&#10;anTfeJ2+0QLZZz7v7vkU+0g4jLPp8/GsBO0cvlE5PXlxMsmUFw+/dz7EV8JqkoSKekwsE8l2VyEi&#10;J0IPISldsErWl1KprPjN+lx5smOY7svVanZxkX+rtvqNrXvzpMSnHzPMWIbePD2YgR96mJzrF3xl&#10;SIfChx4Y1rNRLKId7UBYMBtKmNpg73n0ObGxqbS8U6noFQttny7D9lVoGbHxSmpQnoo4EKIMCkh8&#10;9wwnaW3rO0zH235tg+OXErBXLMQb5rGnoBa3F6/xNMqiVjtIlLTWf/qbPcVjfeClpMPeo4+PW+YF&#10;Jeq1wWKdjCaYEYlZmbyYjaH4x571Y4/Z6nML8ke4csezmOKjOoiNt/oDTnSZssLFDEfunrFBOY/9&#10;PeLIuVgucxiOw7F4ZW4dT+Bp2MYut9E2Mi/FAzsDaTiPPL/hlNP9PdZz1MMfzuIn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3gQAAFtDb250ZW50&#10;X1R5cGVzXS54bWxQSwECFAAKAAAAAACHTuJAAAAAAAAAAAAAAAAABgAAAAAAAAAAABAAAADAAwAA&#10;X3JlbHMvUEsBAhQAFAAAAAgAh07iQIoUZjzRAAAAlAEAAAsAAAAAAAAAAQAgAAAA5AMAAF9yZWxz&#10;Ly5yZWxzUEsBAhQACgAAAAAAh07iQAAAAAAAAAAAAAAAAAQAAAAAAAAAAAAQAAAAAAAAAGRycy9Q&#10;SwECFAAUAAAACACHTuJABpHv59wAAAAPAQAADwAAAAAAAAABACAAAAAiAAAAZHJzL2Rvd25yZXYu&#10;eG1sUEsBAhQAFAAAAAgAh07iQC3p6eppAgAAuAQAAA4AAAAAAAAAAQAgAAAAKwEAAGRycy9lMm9E&#10;b2MueG1sUEsFBgAAAAAGAAYAWQEAAAYGAAAAAA==&#10;">
                <v:fill on="t" focussize="0,0"/>
                <v:stroke on="f" weight="1pt" miterlimit="8" joinstyle="miter"/>
                <v:imagedata o:title=""/>
                <o:lock v:ext="edit" aspectratio="f"/>
              </v:rect>
            </w:pict>
          </mc:Fallback>
        </mc:AlternateContent>
      </w:r>
    </w:p>
    <w:p>
      <w:pPr>
        <w:tabs>
          <w:tab w:val="left" w:pos="682"/>
        </w:tabs>
        <w:bidi w:val="0"/>
        <w:jc w:val="left"/>
        <w:rPr>
          <w:rFonts w:hint="eastAsia"/>
          <w:lang w:val="en-US" w:eastAsia="zh-CN"/>
        </w:rPr>
        <w:sectPr>
          <w:pgSz w:w="11906" w:h="16838"/>
          <w:pgMar w:top="2098" w:right="1531" w:bottom="1984" w:left="1531" w:header="851" w:footer="992" w:gutter="0"/>
          <w:pgNumType w:fmt="numberInDash"/>
          <w:cols w:space="0" w:num="1"/>
          <w:titlePg/>
          <w:docGrid w:type="lines" w:linePitch="312" w:charSpace="0"/>
        </w:sectPr>
      </w:pPr>
    </w:p>
    <w:p>
      <w:pPr>
        <w:tabs>
          <w:tab w:val="left" w:pos="682"/>
        </w:tabs>
        <w:bidi w:val="0"/>
        <w:jc w:val="left"/>
        <w:rPr>
          <w:rFonts w:hint="eastAsia"/>
          <w:lang w:val="en-US" w:eastAsia="zh-CN"/>
        </w:rPr>
        <w:sectPr>
          <w:pgSz w:w="11906" w:h="16838"/>
          <w:pgMar w:top="2098" w:right="1531" w:bottom="1984" w:left="1531" w:header="851" w:footer="992" w:gutter="0"/>
          <w:pgNumType w:fmt="numberInDash"/>
          <w:cols w:space="0" w:num="1"/>
          <w:titlePg/>
          <w:docGrid w:type="lines" w:linePitch="312" w:charSpace="0"/>
        </w:sectPr>
      </w:pPr>
    </w:p>
    <w:p>
      <w:pPr>
        <w:tabs>
          <w:tab w:val="left" w:pos="682"/>
        </w:tabs>
        <w:bidi w:val="0"/>
        <w:jc w:val="left"/>
        <w:rPr>
          <w:rFonts w:hint="eastAsia"/>
          <w:lang w:val="en-US" w:eastAsia="zh-CN"/>
        </w:rPr>
        <w:sectPr>
          <w:pgSz w:w="11906" w:h="16838"/>
          <w:pgMar w:top="2098" w:right="1531" w:bottom="1984" w:left="1531" w:header="851" w:footer="992" w:gutter="0"/>
          <w:pgNumType w:fmt="numberInDash"/>
          <w:cols w:space="0" w:num="1"/>
          <w:titlePg/>
          <w:docGrid w:type="lines" w:linePitch="312" w:charSpace="0"/>
        </w:sectPr>
      </w:pPr>
    </w:p>
    <w:p>
      <w:pPr>
        <w:tabs>
          <w:tab w:val="left" w:pos="235"/>
        </w:tabs>
        <w:spacing w:line="600" w:lineRule="exact"/>
        <w:ind w:firstLine="640" w:firstLineChars="200"/>
        <w:jc w:val="left"/>
        <w:rPr>
          <w:rFonts w:ascii="仿宋_GB2312" w:hAnsi="Cambria" w:eastAsia="仿宋_GB2312" w:cs="Arial Black"/>
          <w:kern w:val="0"/>
          <w:sz w:val="32"/>
          <w:szCs w:val="32"/>
        </w:rPr>
      </w:pPr>
      <w:bookmarkStart w:id="0" w:name="_GoBack"/>
      <w:bookmarkEnd w:id="0"/>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Black">
    <w:panose1 w:val="020B0A04020102020204"/>
    <w:charset w:val="00"/>
    <w:family w:val="swiss"/>
    <w:pitch w:val="default"/>
    <w:sig w:usb0="00000287" w:usb1="00000000" w:usb2="00000000" w:usb3="00000000" w:csb0="2000009F" w:csb1="DFD70000"/>
  </w:font>
  <w:font w:name="Cambria">
    <w:panose1 w:val="020405030504060A0204"/>
    <w:charset w:val="00"/>
    <w:family w:val="roman"/>
    <w:pitch w:val="default"/>
    <w:sig w:usb0="E00002FF" w:usb1="4000045F" w:usb2="00000000" w:usb3="00000000" w:csb0="2000019F" w:csb1="00000000"/>
  </w:font>
  <w:font w:name="Mongolian Baiti">
    <w:panose1 w:val="03000500000000000000"/>
    <w:charset w:val="00"/>
    <w:family w:val="script"/>
    <w:pitch w:val="default"/>
    <w:sig w:usb0="80000023" w:usb1="00000000" w:usb2="00020000" w:usb3="00000000" w:csb0="00000001" w:csb1="00000000"/>
  </w:font>
  <w:font w:name="楷体">
    <w:panose1 w:val="02010609060101010101"/>
    <w:charset w:val="86"/>
    <w:family w:val="auto"/>
    <w:pitch w:val="default"/>
    <w:sig w:usb0="800002BF" w:usb1="38CF7CFA" w:usb2="00000016"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 w:name="宋体 ( 正文 )">
    <w:altName w:val="宋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01986A8"/>
    <w:multiLevelType w:val="singleLevel"/>
    <w:tmpl w:val="801986A8"/>
    <w:lvl w:ilvl="0" w:tentative="0">
      <w:start w:val="1"/>
      <w:numFmt w:val="chineseCounting"/>
      <w:suff w:val="nothing"/>
      <w:lvlText w:val="%1、"/>
      <w:lvlJc w:val="left"/>
      <w:rPr>
        <w:rFonts w:hint="eastAsia"/>
      </w:rPr>
    </w:lvl>
  </w:abstractNum>
  <w:abstractNum w:abstractNumId="1">
    <w:nsid w:val="9A87AB85"/>
    <w:multiLevelType w:val="singleLevel"/>
    <w:tmpl w:val="9A87AB85"/>
    <w:lvl w:ilvl="0" w:tentative="0">
      <w:start w:val="5"/>
      <w:numFmt w:val="decimal"/>
      <w:suff w:val="nothing"/>
      <w:lvlText w:val="（%1）"/>
      <w:lvlJc w:val="left"/>
    </w:lvl>
  </w:abstractNum>
  <w:abstractNum w:abstractNumId="2">
    <w:nsid w:val="45DB9A87"/>
    <w:multiLevelType w:val="singleLevel"/>
    <w:tmpl w:val="45DB9A87"/>
    <w:lvl w:ilvl="0" w:tentative="0">
      <w:start w:val="3"/>
      <w:numFmt w:val="chineseCounting"/>
      <w:suff w:val="nothing"/>
      <w:lvlText w:val="（%1）"/>
      <w:lvlJc w:val="left"/>
      <w:rPr>
        <w:rFonts w:hint="eastAsia"/>
      </w:rPr>
    </w:lvl>
  </w:abstractNum>
  <w:abstractNum w:abstractNumId="3">
    <w:nsid w:val="5F222FFA"/>
    <w:multiLevelType w:val="singleLevel"/>
    <w:tmpl w:val="5F222FFA"/>
    <w:lvl w:ilvl="0" w:tentative="0">
      <w:start w:val="1"/>
      <w:numFmt w:val="decimal"/>
      <w:suff w:val="nothing"/>
      <w:lvlText w:val="（%1）"/>
      <w:lvlJc w:val="left"/>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4C45458"/>
    <w:rsid w:val="00061A05"/>
    <w:rsid w:val="0018668E"/>
    <w:rsid w:val="001B73D2"/>
    <w:rsid w:val="001E62BF"/>
    <w:rsid w:val="00293E7B"/>
    <w:rsid w:val="002D1F4F"/>
    <w:rsid w:val="00366D90"/>
    <w:rsid w:val="003D678E"/>
    <w:rsid w:val="00801F66"/>
    <w:rsid w:val="008B172C"/>
    <w:rsid w:val="009334BF"/>
    <w:rsid w:val="00E20C3F"/>
    <w:rsid w:val="023B48D1"/>
    <w:rsid w:val="024B215D"/>
    <w:rsid w:val="041518E3"/>
    <w:rsid w:val="04422A07"/>
    <w:rsid w:val="04B608E5"/>
    <w:rsid w:val="08547E95"/>
    <w:rsid w:val="086E76C4"/>
    <w:rsid w:val="08707A1B"/>
    <w:rsid w:val="0B2B5A99"/>
    <w:rsid w:val="0BC26A9F"/>
    <w:rsid w:val="0EA325C9"/>
    <w:rsid w:val="10417999"/>
    <w:rsid w:val="14DE1066"/>
    <w:rsid w:val="151E195F"/>
    <w:rsid w:val="1538749A"/>
    <w:rsid w:val="15EC54DE"/>
    <w:rsid w:val="170B5D26"/>
    <w:rsid w:val="176551D2"/>
    <w:rsid w:val="19FB3340"/>
    <w:rsid w:val="1AF714B4"/>
    <w:rsid w:val="1BE26F4B"/>
    <w:rsid w:val="1EC06994"/>
    <w:rsid w:val="1EF54D9C"/>
    <w:rsid w:val="1F79595F"/>
    <w:rsid w:val="1FD61320"/>
    <w:rsid w:val="22C961FB"/>
    <w:rsid w:val="25E011F4"/>
    <w:rsid w:val="2803445A"/>
    <w:rsid w:val="2AE25DBC"/>
    <w:rsid w:val="2D4C0B1A"/>
    <w:rsid w:val="2E3F7206"/>
    <w:rsid w:val="2EF123FC"/>
    <w:rsid w:val="331D14D1"/>
    <w:rsid w:val="33AB68C2"/>
    <w:rsid w:val="34C45458"/>
    <w:rsid w:val="38282EEC"/>
    <w:rsid w:val="38A1038C"/>
    <w:rsid w:val="3B304753"/>
    <w:rsid w:val="3DF61BAE"/>
    <w:rsid w:val="3F8E3A21"/>
    <w:rsid w:val="415675E8"/>
    <w:rsid w:val="43BD3F76"/>
    <w:rsid w:val="451C5ED5"/>
    <w:rsid w:val="47D27D56"/>
    <w:rsid w:val="483112B7"/>
    <w:rsid w:val="48436FAB"/>
    <w:rsid w:val="4A762DEC"/>
    <w:rsid w:val="4ABD14F2"/>
    <w:rsid w:val="4CC03338"/>
    <w:rsid w:val="4EBB518C"/>
    <w:rsid w:val="5175051A"/>
    <w:rsid w:val="51B46F58"/>
    <w:rsid w:val="531A7A6E"/>
    <w:rsid w:val="566B2BA9"/>
    <w:rsid w:val="57386586"/>
    <w:rsid w:val="575D5C07"/>
    <w:rsid w:val="583F410B"/>
    <w:rsid w:val="590D3F33"/>
    <w:rsid w:val="5951331F"/>
    <w:rsid w:val="5996188C"/>
    <w:rsid w:val="59D054AB"/>
    <w:rsid w:val="5B1B2C38"/>
    <w:rsid w:val="5B483880"/>
    <w:rsid w:val="5C0B0468"/>
    <w:rsid w:val="5CED3AF3"/>
    <w:rsid w:val="60AF07BA"/>
    <w:rsid w:val="60E72B3E"/>
    <w:rsid w:val="615A2A2A"/>
    <w:rsid w:val="62CE3501"/>
    <w:rsid w:val="65177D95"/>
    <w:rsid w:val="661A2B55"/>
    <w:rsid w:val="68B27AF7"/>
    <w:rsid w:val="69462948"/>
    <w:rsid w:val="6A4B4FEF"/>
    <w:rsid w:val="6F700DAB"/>
    <w:rsid w:val="6FBE7F21"/>
    <w:rsid w:val="72391A43"/>
    <w:rsid w:val="756F6378"/>
    <w:rsid w:val="75C31337"/>
    <w:rsid w:val="77555D7E"/>
    <w:rsid w:val="78E702C6"/>
    <w:rsid w:val="7BAB75EE"/>
    <w:rsid w:val="7BD14F27"/>
    <w:rsid w:val="7ED435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imes New Roman"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unhideWhenUsed/>
    <w:qFormat/>
    <w:uiPriority w:val="99"/>
    <w:pPr>
      <w:tabs>
        <w:tab w:val="center" w:pos="4153"/>
        <w:tab w:val="right" w:pos="8306"/>
      </w:tabs>
      <w:snapToGrid w:val="0"/>
      <w:jc w:val="left"/>
    </w:pPr>
    <w:rPr>
      <w:sz w:val="18"/>
      <w:szCs w:val="18"/>
    </w:rPr>
  </w:style>
  <w:style w:type="paragraph" w:styleId="4">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6">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5.xml"/><Relationship Id="rId15" Type="http://schemas.openxmlformats.org/officeDocument/2006/relationships/chart" Target="charts/chart4.xml"/><Relationship Id="rId14" Type="http://schemas.openxmlformats.org/officeDocument/2006/relationships/chart" Target="charts/chart3.xml"/><Relationship Id="rId13" Type="http://schemas.openxmlformats.org/officeDocument/2006/relationships/chart" Target="charts/chart2.xml"/><Relationship Id="rId12" Type="http://schemas.openxmlformats.org/officeDocument/2006/relationships/image" Target="media/image2.png"/><Relationship Id="rId11" Type="http://schemas.openxmlformats.org/officeDocument/2006/relationships/chart" Target="charts/chart1.xml"/><Relationship Id="rId10" Type="http://schemas.openxmlformats.org/officeDocument/2006/relationships/image" Target="media/image1.bmp"/><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8436516264428"/>
          <c:y val="0.105349746215087"/>
          <c:w val="0.778757141191559"/>
          <c:h val="0.695572576125537"/>
        </c:manualLayout>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2019年</c:v>
                </c:pt>
                <c:pt idx="1">
                  <c:v>2020年</c:v>
                </c:pt>
              </c:strCache>
            </c:strRef>
          </c:cat>
          <c:val>
            <c:numRef>
              <c:f>Sheet1!$B$2:$B$3</c:f>
              <c:numCache>
                <c:formatCode>General</c:formatCode>
                <c:ptCount val="2"/>
                <c:pt idx="0">
                  <c:v>40034.31</c:v>
                </c:pt>
                <c:pt idx="1">
                  <c:v>86294.06</c:v>
                </c:pt>
              </c:numCache>
            </c:numRef>
          </c:val>
        </c:ser>
        <c:dLbls>
          <c:showLegendKey val="0"/>
          <c:showVal val="1"/>
          <c:showCatName val="0"/>
          <c:showSerName val="0"/>
          <c:showPercent val="0"/>
          <c:showBubbleSize val="0"/>
        </c:dLbls>
        <c:gapWidth val="219"/>
        <c:overlap val="-27"/>
        <c:axId val="462451782"/>
        <c:axId val="737457775"/>
      </c:barChart>
      <c:catAx>
        <c:axId val="46245178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737457775"/>
        <c:crosses val="autoZero"/>
        <c:auto val="1"/>
        <c:lblAlgn val="ctr"/>
        <c:lblOffset val="100"/>
        <c:noMultiLvlLbl val="0"/>
      </c:catAx>
      <c:valAx>
        <c:axId val="737457775"/>
        <c:scaling>
          <c:orientation val="minMax"/>
        </c:scaling>
        <c:delete val="0"/>
        <c:axPos val="l"/>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462451782"/>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Entry>
      <c:layout>
        <c:manualLayout>
          <c:xMode val="edge"/>
          <c:yMode val="edge"/>
          <c:x val="0.830312807730552"/>
          <c:y val="0.36317316982804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
    <c:plotVisOnly val="1"/>
    <c:dispBlanksAs val="gap"/>
    <c:showDLblsOverMax val="0"/>
  </c:chart>
  <c:spPr>
    <a:solidFill>
      <a:schemeClr val="bg1"/>
    </a:solidFill>
    <a:ln w="9525" cap="flat" cmpd="sng" algn="ctr">
      <a:noFill/>
      <a:round/>
    </a:ln>
    <a:effectLst/>
  </c:spPr>
  <c:txPr>
    <a:bodyPr/>
    <a:lstStyle/>
    <a:p>
      <a:pPr>
        <a:defRPr 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图2：收入决算结构（按功能分类）</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Pt>
            <c:idx val="6"/>
            <c:bubble3D val="0"/>
            <c:spPr>
              <a:solidFill>
                <a:schemeClr val="accent1">
                  <a:lumMod val="60000"/>
                </a:schemeClr>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Sheet1!$A$2:$A$8</c:f>
              <c:strCache>
                <c:ptCount val="7"/>
                <c:pt idx="0">
                  <c:v>一般公共服务支出</c:v>
                </c:pt>
                <c:pt idx="1">
                  <c:v>社会保障和就业支出</c:v>
                </c:pt>
                <c:pt idx="2">
                  <c:v>卫生健康支出</c:v>
                </c:pt>
                <c:pt idx="3">
                  <c:v>农林水支出</c:v>
                </c:pt>
                <c:pt idx="4">
                  <c:v>住房保障支出</c:v>
                </c:pt>
                <c:pt idx="5">
                  <c:v>其他支出</c:v>
                </c:pt>
                <c:pt idx="6">
                  <c:v>抗疫特别国债安排的支出</c:v>
                </c:pt>
              </c:strCache>
            </c:strRef>
          </c:cat>
          <c:val>
            <c:numRef>
              <c:f>Sheet1!$B$2:$B$8</c:f>
              <c:numCache>
                <c:formatCode>General</c:formatCode>
                <c:ptCount val="7"/>
                <c:pt idx="0">
                  <c:v>60.58</c:v>
                </c:pt>
                <c:pt idx="1">
                  <c:v>4550.9</c:v>
                </c:pt>
                <c:pt idx="2">
                  <c:v>153.75</c:v>
                </c:pt>
                <c:pt idx="3">
                  <c:v>32607.42</c:v>
                </c:pt>
                <c:pt idx="4">
                  <c:v>200.98</c:v>
                </c:pt>
                <c:pt idx="5">
                  <c:v>34800</c:v>
                </c:pt>
                <c:pt idx="6">
                  <c:v>3000</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sz="750"/>
              <a:t>单位：万元</a:t>
            </a:r>
            <a:endParaRPr sz="750"/>
          </a:p>
        </c:rich>
      </c:tx>
      <c:layout>
        <c:manualLayout>
          <c:xMode val="edge"/>
          <c:yMode val="edge"/>
          <c:x val="0.87475"/>
          <c:y val="0.0325"/>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基本支出</c:v>
                </c:pt>
              </c:strCache>
            </c:strRef>
          </c:tx>
          <c:spPr>
            <a:solidFill>
              <a:schemeClr val="accent1"/>
            </a:solidFill>
            <a:ln>
              <a:noFill/>
            </a:ln>
            <a:effectLst/>
          </c:spPr>
          <c:invertIfNegative val="0"/>
          <c:dLbls>
            <c:delete val="1"/>
          </c:dLbls>
          <c:cat>
            <c:strRef>
              <c:f>Sheet1!$A$2:$A$5</c:f>
              <c:strCache>
                <c:ptCount val="4"/>
                <c:pt idx="0">
                  <c:v>人员经费支出</c:v>
                </c:pt>
                <c:pt idx="1">
                  <c:v>公用经费支出</c:v>
                </c:pt>
                <c:pt idx="2">
                  <c:v>行政事业类项目</c:v>
                </c:pt>
                <c:pt idx="3">
                  <c:v>基本建设类项目</c:v>
                </c:pt>
              </c:strCache>
            </c:strRef>
          </c:cat>
          <c:val>
            <c:numRef>
              <c:f>Sheet1!$B$2:$B$5</c:f>
              <c:numCache>
                <c:formatCode>General</c:formatCode>
                <c:ptCount val="4"/>
                <c:pt idx="0">
                  <c:v>2495.15</c:v>
                </c:pt>
                <c:pt idx="1">
                  <c:v>293.24</c:v>
                </c:pt>
              </c:numCache>
            </c:numRef>
          </c:val>
        </c:ser>
        <c:ser>
          <c:idx val="1"/>
          <c:order val="1"/>
          <c:tx>
            <c:strRef>
              <c:f>Sheet1!$C$1</c:f>
              <c:strCache>
                <c:ptCount val="1"/>
                <c:pt idx="0">
                  <c:v>项目支出</c:v>
                </c:pt>
              </c:strCache>
            </c:strRef>
          </c:tx>
          <c:spPr>
            <a:solidFill>
              <a:schemeClr val="accent2"/>
            </a:solidFill>
            <a:ln>
              <a:noFill/>
            </a:ln>
            <a:effectLst/>
          </c:spPr>
          <c:invertIfNegative val="0"/>
          <c:dLbls>
            <c:delete val="1"/>
          </c:dLbls>
          <c:cat>
            <c:strRef>
              <c:f>Sheet1!$A$2:$A$5</c:f>
              <c:strCache>
                <c:ptCount val="4"/>
                <c:pt idx="0">
                  <c:v>人员经费支出</c:v>
                </c:pt>
                <c:pt idx="1">
                  <c:v>公用经费支出</c:v>
                </c:pt>
                <c:pt idx="2">
                  <c:v>行政事业类项目</c:v>
                </c:pt>
                <c:pt idx="3">
                  <c:v>基本建设类项目</c:v>
                </c:pt>
              </c:strCache>
            </c:strRef>
          </c:cat>
          <c:val>
            <c:numRef>
              <c:f>Sheet1!$C$2:$C$5</c:f>
              <c:numCache>
                <c:formatCode>General</c:formatCode>
                <c:ptCount val="4"/>
                <c:pt idx="2">
                  <c:v>658.39</c:v>
                </c:pt>
                <c:pt idx="3">
                  <c:v>50759.63</c:v>
                </c:pt>
              </c:numCache>
            </c:numRef>
          </c:val>
        </c:ser>
        <c:dLbls>
          <c:showLegendKey val="0"/>
          <c:showVal val="0"/>
          <c:showCatName val="0"/>
          <c:showSerName val="0"/>
          <c:showPercent val="0"/>
          <c:showBubbleSize val="0"/>
        </c:dLbls>
        <c:gapWidth val="219"/>
        <c:overlap val="-27"/>
        <c:axId val="456813746"/>
        <c:axId val="138697645"/>
      </c:barChart>
      <c:catAx>
        <c:axId val="45681374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8697645"/>
        <c:crosses val="autoZero"/>
        <c:auto val="1"/>
        <c:lblAlgn val="ctr"/>
        <c:lblOffset val="100"/>
        <c:noMultiLvlLbl val="0"/>
      </c:catAx>
      <c:valAx>
        <c:axId val="13869764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56813746"/>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sz="750"/>
              <a:t>单位：万元</a:t>
            </a:r>
            <a:endParaRPr sz="750"/>
          </a:p>
        </c:rich>
      </c:tx>
      <c:layout>
        <c:manualLayout>
          <c:xMode val="edge"/>
          <c:yMode val="edge"/>
          <c:x val="0.858625"/>
          <c:y val="0.02"/>
        </c:manualLayout>
      </c:layout>
      <c:overlay val="0"/>
      <c:spPr>
        <a:noFill/>
        <a:ln>
          <a:noFill/>
        </a:ln>
        <a:effectLst/>
      </c:spPr>
    </c:title>
    <c:autoTitleDeleted val="0"/>
    <c:plotArea>
      <c:layout>
        <c:manualLayout>
          <c:layoutTarget val="inner"/>
          <c:xMode val="edge"/>
          <c:yMode val="edge"/>
          <c:x val="0.063325"/>
          <c:y val="0.142"/>
          <c:w val="0.927925"/>
          <c:h val="0.716566666666667"/>
        </c:manualLayout>
      </c:layout>
      <c:barChart>
        <c:barDir val="col"/>
        <c:grouping val="clustered"/>
        <c:varyColors val="0"/>
        <c:ser>
          <c:idx val="0"/>
          <c:order val="0"/>
          <c:tx>
            <c:strRef>
              <c:f>Sheet1!$A$2</c:f>
              <c:strCache>
                <c:ptCount val="1"/>
                <c:pt idx="0">
                  <c:v>基本支出</c:v>
                </c:pt>
              </c:strCache>
            </c:strRef>
          </c:tx>
          <c:spPr>
            <a:solidFill>
              <a:schemeClr val="accent1"/>
            </a:solidFill>
            <a:ln>
              <a:noFill/>
            </a:ln>
            <a:effectLst/>
          </c:spPr>
          <c:invertIfNegative val="0"/>
          <c:dLbls>
            <c:delete val="1"/>
          </c:dLbls>
          <c:cat>
            <c:strRef>
              <c:f>Sheet1!$B$1:$C$1</c:f>
              <c:strCache>
                <c:ptCount val="2"/>
                <c:pt idx="0">
                  <c:v>2020年</c:v>
                </c:pt>
                <c:pt idx="1">
                  <c:v>2019年</c:v>
                </c:pt>
              </c:strCache>
            </c:strRef>
          </c:cat>
          <c:val>
            <c:numRef>
              <c:f>Sheet1!$B$2:$C$2</c:f>
              <c:numCache>
                <c:formatCode>General</c:formatCode>
                <c:ptCount val="2"/>
                <c:pt idx="0">
                  <c:v>2788.39</c:v>
                </c:pt>
                <c:pt idx="1">
                  <c:v>3097.96</c:v>
                </c:pt>
              </c:numCache>
            </c:numRef>
          </c:val>
        </c:ser>
        <c:ser>
          <c:idx val="1"/>
          <c:order val="1"/>
          <c:tx>
            <c:strRef>
              <c:f>Sheet1!$A$3</c:f>
              <c:strCache>
                <c:ptCount val="1"/>
                <c:pt idx="0">
                  <c:v>项目支出</c:v>
                </c:pt>
              </c:strCache>
            </c:strRef>
          </c:tx>
          <c:spPr>
            <a:solidFill>
              <a:schemeClr val="accent2"/>
            </a:solidFill>
            <a:ln>
              <a:noFill/>
            </a:ln>
            <a:effectLst/>
          </c:spPr>
          <c:invertIfNegative val="0"/>
          <c:dLbls>
            <c:delete val="1"/>
          </c:dLbls>
          <c:cat>
            <c:strRef>
              <c:f>Sheet1!$B$1:$C$1</c:f>
              <c:strCache>
                <c:ptCount val="2"/>
                <c:pt idx="0">
                  <c:v>2020年</c:v>
                </c:pt>
                <c:pt idx="1">
                  <c:v>2019年</c:v>
                </c:pt>
              </c:strCache>
            </c:strRef>
          </c:cat>
          <c:val>
            <c:numRef>
              <c:f>Sheet1!$B$3:$C$3</c:f>
              <c:numCache>
                <c:formatCode>General</c:formatCode>
                <c:ptCount val="2"/>
                <c:pt idx="0">
                  <c:v>51418.02</c:v>
                </c:pt>
                <c:pt idx="1">
                  <c:v>28102.64</c:v>
                </c:pt>
              </c:numCache>
            </c:numRef>
          </c:val>
        </c:ser>
        <c:dLbls>
          <c:showLegendKey val="0"/>
          <c:showVal val="0"/>
          <c:showCatName val="0"/>
          <c:showSerName val="0"/>
          <c:showPercent val="0"/>
          <c:showBubbleSize val="0"/>
        </c:dLbls>
        <c:gapWidth val="219"/>
        <c:overlap val="-27"/>
        <c:axId val="140316170"/>
        <c:axId val="107380541"/>
      </c:barChart>
      <c:catAx>
        <c:axId val="14031617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07380541"/>
        <c:crosses val="autoZero"/>
        <c:auto val="1"/>
        <c:lblAlgn val="ctr"/>
        <c:lblOffset val="100"/>
        <c:noMultiLvlLbl val="0"/>
      </c:catAx>
      <c:valAx>
        <c:axId val="10738054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40316170"/>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单位：万元</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elete val="1"/>
          </c:dLbls>
          <c:cat>
            <c:strRef>
              <c:f>Sheet1!$A$2:$A$6</c:f>
              <c:strCache>
                <c:ptCount val="5"/>
                <c:pt idx="0">
                  <c:v>工资福利支出</c:v>
                </c:pt>
                <c:pt idx="1">
                  <c:v>商品和服务支出</c:v>
                </c:pt>
                <c:pt idx="2">
                  <c:v>对个人和家庭的补助</c:v>
                </c:pt>
                <c:pt idx="3">
                  <c:v>资本性支出（基本建设）</c:v>
                </c:pt>
                <c:pt idx="4">
                  <c:v>资本性支出</c:v>
                </c:pt>
              </c:strCache>
            </c:strRef>
          </c:cat>
          <c:val>
            <c:numRef>
              <c:f>Sheet1!$B$2:$B$6</c:f>
              <c:numCache>
                <c:formatCode>General</c:formatCode>
                <c:ptCount val="5"/>
                <c:pt idx="0">
                  <c:v>2440.78</c:v>
                </c:pt>
                <c:pt idx="1">
                  <c:v>281.11</c:v>
                </c:pt>
                <c:pt idx="2">
                  <c:v>54.37</c:v>
                </c:pt>
                <c:pt idx="3">
                  <c:v>50759.63</c:v>
                </c:pt>
                <c:pt idx="4">
                  <c:v>658.39</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32</Pages>
  <Words>4942</Words>
  <Characters>5518</Characters>
  <Lines>82</Lines>
  <Paragraphs>23</Paragraphs>
  <TotalTime>31</TotalTime>
  <ScaleCrop>false</ScaleCrop>
  <LinksUpToDate>false</LinksUpToDate>
  <CharactersWithSpaces>5712</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Administrator</cp:lastModifiedBy>
  <dcterms:modified xsi:type="dcterms:W3CDTF">2023-06-28T07:42:43Z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y fmtid="{D5CDD505-2E9C-101B-9397-08002B2CF9AE}" pid="3" name="ICV">
    <vt:lpwstr>EEB0AF1058714613A8329AFD3B1DD3FB</vt:lpwstr>
  </property>
</Properties>
</file>