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14:shadow w14:blurRad="60007" w14:dist="200025" w14:dir="15000000" w14:sx="100000" w14:sy="30000" w14:kx="-1800000" w14:ky="0" w14:algn="bl">
            <w14:srgbClr w14:val="000000">
              <w14:alpha w14:val="68000"/>
            </w14:srgbClr>
          </w14:shadow>
        </w:rPr>
      </w:pPr>
    </w:p>
    <w:p>
      <w:pPr>
        <w:widowControl/>
        <w:jc w:val="center"/>
        <w:rPr>
          <w:rFonts w:hAnsi="宋体" w:asciiTheme="minorEastAsia" w:eastAsiaTheme="minorEastAsia"/>
          <w:color w:val="002060"/>
          <w:sz w:val="84"/>
          <w:szCs w:val="84"/>
          <w14:textOutline w14:w="5270" w14:cap="flat" w14:cmpd="sng" w14:algn="ctr">
            <w14:solidFill>
              <w14:srgbClr w14:val="7D7D7D">
                <w14:tint w14:val="100000"/>
                <w14:shade w14:val="100000"/>
                <w14:satMod w14:val="110000"/>
              </w14:srgbClr>
            </w14:solidFill>
            <w14:prstDash w14:val="solid"/>
            <w14:round/>
          </w14:textOutline>
        </w:rPr>
      </w:pPr>
      <w:r>
        <w:rPr>
          <w:rFonts w:hint="eastAsia" w:hAnsi="宋体" w:asciiTheme="minorEastAsia" w:eastAsiaTheme="minorEastAsia"/>
          <w:color w:val="002060"/>
          <w:sz w:val="84"/>
          <w:szCs w:val="84"/>
          <w14:textOutline w14:w="5270" w14:cap="flat" w14:cmpd="sng" w14:algn="ctr">
            <w14:solidFill>
              <w14:srgbClr w14:val="7D7D7D">
                <w14:tint w14:val="100000"/>
                <w14:shade w14:val="100000"/>
                <w14:satMod w14:val="110000"/>
              </w14:srgbClr>
            </w14:solidFill>
            <w14:prstDash w14:val="solid"/>
            <w14:round/>
          </w14:textOutline>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hint="eastAsia" w:ascii="宋体" w:hAnsi="宋体" w:eastAsia="宋体"/>
          <w:b/>
          <w:sz w:val="44"/>
          <w:szCs w:val="44"/>
          <w:lang w:val="en-US" w:eastAsia="zh-CN"/>
        </w:rPr>
      </w:pPr>
      <w:r>
        <w:rPr>
          <w:rFonts w:hint="eastAsia" w:ascii="宋体" w:hAnsi="宋体"/>
          <w:b/>
          <w:sz w:val="44"/>
          <w:szCs w:val="44"/>
        </w:rPr>
        <w:t>石家庄市</w:t>
      </w:r>
      <w:r>
        <w:rPr>
          <w:rFonts w:hint="eastAsia" w:ascii="宋体" w:hAnsi="宋体"/>
          <w:b/>
          <w:sz w:val="44"/>
          <w:szCs w:val="44"/>
          <w:lang w:eastAsia="zh-CN"/>
        </w:rPr>
        <w:t>鹿泉区妇女联合会</w:t>
      </w:r>
    </w:p>
    <w:p>
      <w:pPr>
        <w:widowControl/>
        <w:jc w:val="center"/>
        <w:rPr>
          <w:rFonts w:ascii="宋体" w:hAnsi="宋体"/>
          <w:b/>
          <w:sz w:val="44"/>
          <w:szCs w:val="44"/>
        </w:rPr>
      </w:pPr>
      <w:r>
        <w:rPr>
          <w:rFonts w:hint="eastAsia" w:ascii="宋体" w:hAnsi="宋体"/>
          <w:b/>
          <w:sz w:val="44"/>
          <w:szCs w:val="44"/>
        </w:rPr>
        <w:t>2018年9月14日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lang w:eastAsia="zh-CN"/>
        </w:rPr>
        <w:t>妇联</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lang w:eastAsia="zh-CN"/>
        </w:rPr>
        <w:t>妇联</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妇联</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一、部门职责</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78" w:lineRule="exact"/>
        <w:ind w:left="0" w:leftChars="0" w:right="0" w:rightChars="0" w:firstLine="0" w:firstLine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坚持正确的政治方向，团结</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教育全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各族各界妇女以及各类妇女组织同党中央在思想上政治上行动上保持高度一致。</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78" w:lineRule="exact"/>
        <w:ind w:left="0" w:leftChars="0" w:right="0" w:rightChars="0" w:firstLine="0" w:firstLine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紧密围绕</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委和</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政府的中心任务开展工作。团结</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动员和组织妇女群众投身改革开放和社会主义物质文明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精神文明建设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积极促进我</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经济发展和社会进步，为维护改革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稳定的大局服务。</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78" w:lineRule="exact"/>
        <w:ind w:left="0" w:leftChars="0" w:right="0" w:rightChars="0" w:firstLine="0" w:firstLine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宣传马克思主义妇女观和男女平等思想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引导妇女树立正确的世界观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人生观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价值观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弘扬</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的精神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积极推动和开展对妇女科技文化及生产劳动技能教育，全面提高妇女素质。</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78" w:lineRule="exact"/>
        <w:ind w:left="0" w:leftChars="0" w:right="0" w:rightChars="0" w:firstLine="0" w:firstLine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代表妇女参与国家和社会事务的民主管理和民主监督，促进妇女参政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关注并加强研究</w:t>
      </w:r>
      <w:r>
        <w:rPr>
          <w:rFonts w:hint="eastAsia" w:ascii="仿宋_GB2312" w:hAnsi="仿宋_GB2312" w:eastAsia="仿宋_GB2312" w:cs="仿宋_GB2312"/>
          <w:sz w:val="32"/>
          <w:szCs w:val="32"/>
          <w:lang w:eastAsia="zh-CN"/>
        </w:rPr>
        <w:t>涉及</w:t>
      </w:r>
      <w:r>
        <w:rPr>
          <w:rFonts w:hint="eastAsia" w:ascii="仿宋_GB2312" w:hAnsi="仿宋_GB2312" w:eastAsia="仿宋_GB2312" w:cs="仿宋_GB2312"/>
          <w:sz w:val="32"/>
          <w:szCs w:val="32"/>
        </w:rPr>
        <w:t>妇女切身利益的热点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难点问题，及时向</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委和</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政府反映社情民意，提出对策建议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参与有关妇女儿童政策和法律法规草案的拟定，从源头强化维护妇女儿童合法权益工作。</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78" w:lineRule="exact"/>
        <w:ind w:left="0" w:leftChars="0" w:right="0" w:rightChars="0" w:firstLine="0" w:firstLine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坚持为妇女儿童服务，为基层服务，加强与社会各界联系，协调推动全社会为妇女儿童办实事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办好事。</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78" w:lineRule="exact"/>
        <w:ind w:left="0" w:leftChars="0" w:right="0" w:rightChars="0" w:firstLine="0" w:firstLine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指导乡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街道办事处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高新技术产业开发区妇联会</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直妇委会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依据《中华全国妇女联合会章程》和妇女代表大会的任务，开展妇女儿童工作。</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78" w:lineRule="exact"/>
        <w:ind w:left="0" w:leftChars="0" w:right="0" w:rightChars="0" w:firstLine="0" w:firstLine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承担鹿泉</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妇女儿童工作委员会办公室工作。</w:t>
      </w:r>
    </w:p>
    <w:p>
      <w:pPr>
        <w:autoSpaceDE w:val="0"/>
        <w:autoSpaceDN w:val="0"/>
        <w:adjustRightInd w:val="0"/>
        <w:spacing w:after="0" w:line="560" w:lineRule="exact"/>
        <w:jc w:val="left"/>
        <w:rPr>
          <w:rFonts w:ascii="仿宋_GB2312" w:eastAsia="仿宋_GB2312" w:cs="ArialUnicodeMS" w:hAnsiTheme="minorHAnsi"/>
          <w:kern w:val="0"/>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承办</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政府交办的有关工作。</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年度，纳入本部门决算汇编范围的独立核算单位</w:t>
      </w:r>
    </w:p>
    <w:p>
      <w:pPr>
        <w:autoSpaceDE w:val="0"/>
        <w:autoSpaceDN w:val="0"/>
        <w:adjustRightInd w:val="0"/>
        <w:spacing w:after="0" w:line="560" w:lineRule="exact"/>
        <w:jc w:val="left"/>
        <w:rPr>
          <w:rFonts w:hint="eastAsia" w:ascii="仿宋_GB2312" w:eastAsia="仿宋_GB2312" w:cs="ArialUnicodeMS" w:hAnsiTheme="minorHAnsi"/>
          <w:kern w:val="0"/>
          <w:sz w:val="32"/>
          <w:szCs w:val="32"/>
          <w:lang w:eastAsia="zh-CN"/>
        </w:rPr>
      </w:pPr>
      <w:r>
        <w:rPr>
          <w:rFonts w:hint="eastAsia" w:ascii="仿宋_GB2312" w:eastAsia="仿宋_GB2312" w:cs="ArialUnicodeMS" w:hAnsiTheme="minorHAnsi"/>
          <w:kern w:val="0"/>
          <w:sz w:val="32"/>
          <w:szCs w:val="32"/>
        </w:rPr>
        <w:t>（以下简称“单位”）共</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个，是</w:t>
      </w:r>
      <w:r>
        <w:rPr>
          <w:rFonts w:hint="eastAsia" w:ascii="仿宋_GB2312" w:eastAsia="仿宋_GB2312" w:cs="ArialUnicodeMS" w:hAnsiTheme="minorHAnsi"/>
          <w:kern w:val="0"/>
          <w:sz w:val="32"/>
          <w:szCs w:val="32"/>
          <w:lang w:eastAsia="zh-CN"/>
        </w:rPr>
        <w:t>鹿泉区妇女联合会</w:t>
      </w:r>
      <w:r>
        <w:rPr>
          <w:rFonts w:hint="eastAsia" w:ascii="仿宋_GB2312" w:eastAsia="仿宋_GB2312" w:cs="ArialUnicodeMS" w:hAnsiTheme="minorHAnsi"/>
          <w:kern w:val="0"/>
          <w:sz w:val="32"/>
          <w:szCs w:val="32"/>
        </w:rPr>
        <w:t xml:space="preserve"> ，单位基本性质为</w:t>
      </w:r>
      <w:r>
        <w:rPr>
          <w:rFonts w:hint="eastAsia" w:ascii="仿宋_GB2312" w:eastAsia="仿宋_GB2312" w:cs="ArialUnicodeMS" w:hAnsiTheme="minorHAnsi"/>
          <w:kern w:val="0"/>
          <w:sz w:val="32"/>
          <w:szCs w:val="32"/>
          <w:lang w:eastAsia="zh-CN"/>
        </w:rPr>
        <w:t>机关</w:t>
      </w:r>
      <w:r>
        <w:rPr>
          <w:rFonts w:hint="eastAsia" w:ascii="仿宋_GB2312" w:eastAsia="仿宋_GB2312" w:cs="ArialUnicodeMS" w:hAnsiTheme="minorHAnsi"/>
          <w:kern w:val="0"/>
          <w:sz w:val="32"/>
          <w:szCs w:val="32"/>
        </w:rPr>
        <w:t>单位，预算管理级次为</w:t>
      </w:r>
      <w:r>
        <w:rPr>
          <w:rFonts w:hint="eastAsia" w:ascii="仿宋_GB2312" w:eastAsia="仿宋_GB2312" w:cs="ArialUnicodeMS" w:hAnsiTheme="minorHAnsi"/>
          <w:kern w:val="0"/>
          <w:sz w:val="32"/>
          <w:szCs w:val="32"/>
          <w:lang w:eastAsia="zh-CN"/>
        </w:rPr>
        <w:t>一</w:t>
      </w:r>
      <w:r>
        <w:rPr>
          <w:rFonts w:hint="eastAsia" w:ascii="仿宋_GB2312" w:eastAsia="仿宋_GB2312" w:cs="ArialUnicodeMS" w:hAnsiTheme="minorHAnsi"/>
          <w:kern w:val="0"/>
          <w:sz w:val="32"/>
          <w:szCs w:val="32"/>
        </w:rPr>
        <w:t>级预算单位，执行</w:t>
      </w:r>
      <w:r>
        <w:rPr>
          <w:rFonts w:hint="eastAsia" w:ascii="仿宋_GB2312" w:eastAsia="仿宋_GB2312" w:cs="ArialUnicodeMS" w:hAnsiTheme="minorHAnsi"/>
          <w:kern w:val="0"/>
          <w:sz w:val="32"/>
          <w:szCs w:val="32"/>
          <w:lang w:eastAsia="zh-CN"/>
        </w:rPr>
        <w:t>事业</w:t>
      </w:r>
      <w:r>
        <w:rPr>
          <w:rFonts w:hint="eastAsia" w:ascii="仿宋_GB2312" w:eastAsia="仿宋_GB2312" w:cs="ArialUnicodeMS" w:hAnsiTheme="minorHAnsi"/>
          <w:kern w:val="0"/>
          <w:sz w:val="32"/>
          <w:szCs w:val="32"/>
        </w:rPr>
        <w:t>单位会计制度，较上年无增减变化</w:t>
      </w:r>
      <w:r>
        <w:rPr>
          <w:rFonts w:hint="eastAsia" w:ascii="仿宋_GB2312" w:eastAsia="仿宋_GB2312" w:cs="ArialUnicodeMS" w:hAnsiTheme="minorHAnsi"/>
          <w:kern w:val="0"/>
          <w:sz w:val="32"/>
          <w:szCs w:val="32"/>
          <w:lang w:eastAsia="zh-CN"/>
        </w:rPr>
        <w:t>。</w:t>
      </w: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line="580" w:lineRule="exact"/>
        <w:ind w:firstLine="643" w:firstLineChars="200"/>
        <w:rPr>
          <w:rFonts w:hint="eastAsia" w:ascii="仿宋_GB2312" w:hAnsi="黑体" w:cs="Times New Roman"/>
          <w:b/>
          <w:kern w:val="2"/>
          <w:sz w:val="32"/>
          <w:szCs w:val="32"/>
        </w:rPr>
      </w:pPr>
      <w:r>
        <w:rPr>
          <w:rFonts w:hint="eastAsia" w:ascii="仿宋_GB2312" w:hAnsi="黑体" w:cs="Times New Roman"/>
          <w:b/>
          <w:kern w:val="2"/>
          <w:sz w:val="32"/>
          <w:szCs w:val="32"/>
        </w:rPr>
        <w:t>见附件：</w:t>
      </w:r>
      <w:r>
        <w:rPr>
          <w:rFonts w:hint="eastAsia" w:ascii="仿宋_GB2312" w:hAnsi="黑体" w:cs="Times New Roman"/>
          <w:b/>
          <w:kern w:val="2"/>
          <w:sz w:val="32"/>
          <w:szCs w:val="32"/>
          <w:lang w:val="en-US" w:eastAsia="zh-CN"/>
        </w:rPr>
        <w:fldChar w:fldCharType="begin"/>
      </w:r>
      <w:r>
        <w:rPr>
          <w:rFonts w:hint="eastAsia" w:ascii="仿宋_GB2312" w:hAnsi="黑体" w:cs="Times New Roman"/>
          <w:b/>
          <w:kern w:val="2"/>
          <w:sz w:val="32"/>
          <w:szCs w:val="32"/>
          <w:lang w:val="en-US" w:eastAsia="zh-CN"/>
        </w:rPr>
        <w:instrText xml:space="preserve"> HYPERLINK "石家庄市鹿泉区妇女联合会公开.XLS" </w:instrText>
      </w:r>
      <w:r>
        <w:rPr>
          <w:rFonts w:hint="eastAsia" w:ascii="仿宋_GB2312" w:hAnsi="黑体" w:cs="Times New Roman"/>
          <w:b/>
          <w:kern w:val="2"/>
          <w:sz w:val="32"/>
          <w:szCs w:val="32"/>
          <w:lang w:val="en-US" w:eastAsia="zh-CN"/>
        </w:rPr>
        <w:fldChar w:fldCharType="separate"/>
      </w:r>
      <w:r>
        <w:rPr>
          <w:rStyle w:val="16"/>
          <w:rFonts w:hint="eastAsia" w:ascii="仿宋_GB2312" w:hAnsi="黑体" w:cs="Times New Roman"/>
          <w:b/>
          <w:kern w:val="2"/>
          <w:sz w:val="32"/>
          <w:szCs w:val="32"/>
          <w:lang w:val="en-US" w:eastAsia="zh-CN"/>
        </w:rPr>
        <w:t>鹿泉区妇联</w:t>
      </w:r>
      <w:r>
        <w:rPr>
          <w:rStyle w:val="16"/>
          <w:rFonts w:hint="eastAsia" w:ascii="仿宋_GB2312" w:hAnsi="黑体" w:cs="Times New Roman"/>
          <w:b/>
          <w:kern w:val="2"/>
          <w:sz w:val="32"/>
          <w:szCs w:val="32"/>
        </w:rPr>
        <w:t>部门决算公开表</w:t>
      </w:r>
      <w:r>
        <w:rPr>
          <w:rFonts w:hint="eastAsia" w:ascii="仿宋_GB2312" w:hAnsi="黑体" w:cs="Times New Roman"/>
          <w:b/>
          <w:kern w:val="2"/>
          <w:sz w:val="32"/>
          <w:szCs w:val="32"/>
          <w:lang w:val="en-US" w:eastAsia="zh-CN"/>
        </w:rPr>
        <w:fldChar w:fldCharType="end"/>
      </w:r>
    </w:p>
    <w:p>
      <w:pPr>
        <w:pStyle w:val="2"/>
        <w:spacing w:line="560" w:lineRule="exact"/>
        <w:jc w:val="center"/>
        <w:rPr>
          <w:rFonts w:hint="eastAsia" w:cs="ArialUnicodeMS" w:asciiTheme="majorEastAsia" w:hAnsiTheme="majorEastAsia" w:eastAsiaTheme="majorEastAsia"/>
          <w:color w:val="000000"/>
          <w:kern w:val="0"/>
        </w:rPr>
      </w:pPr>
    </w:p>
    <w:p>
      <w:pPr>
        <w:pStyle w:val="2"/>
        <w:spacing w:line="560" w:lineRule="exact"/>
        <w:jc w:val="both"/>
        <w:rPr>
          <w:rFonts w:hint="eastAsia" w:cs="ArialUnicodeMS" w:asciiTheme="majorEastAsia" w:hAnsiTheme="majorEastAsia" w:eastAsiaTheme="majorEastAsia"/>
          <w:color w:val="000000"/>
          <w:kern w:val="0"/>
        </w:rPr>
      </w:pPr>
    </w:p>
    <w:p>
      <w:pPr>
        <w:rPr>
          <w:rFonts w:hint="eastAsia"/>
        </w:rPr>
      </w:pP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w:t>
      </w:r>
      <w:r>
        <w:rPr>
          <w:rFonts w:cs="ArialUnicodeMS" w:asciiTheme="majorEastAsia" w:hAnsiTheme="majorEastAsia" w:eastAsiaTheme="majorEastAsia"/>
          <w:color w:val="000000"/>
          <w:kern w:val="0"/>
        </w:rPr>
        <w:t xml:space="preserve"> </w:t>
      </w:r>
      <w:r>
        <w:rPr>
          <w:rFonts w:hint="eastAsia" w:cs="ArialUnicodeMS" w:asciiTheme="majorEastAsia" w:hAnsiTheme="majorEastAsia" w:eastAsiaTheme="majorEastAsia"/>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w:t>
      </w:r>
      <w:r>
        <w:rPr>
          <w:rFonts w:hint="eastAsia" w:ascii="仿宋_GB2312" w:eastAsia="仿宋_GB2312" w:cs="DengXian-Regular"/>
          <w:sz w:val="32"/>
          <w:szCs w:val="32"/>
          <w:lang w:val="en-US" w:eastAsia="zh-CN"/>
        </w:rPr>
        <w:t>8.68</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147.27</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140.01</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15.94</w:t>
      </w:r>
      <w:r>
        <w:rPr>
          <w:rFonts w:hint="eastAsia" w:ascii="仿宋_GB2312" w:eastAsia="仿宋_GB2312" w:cs="DengXian-Regular"/>
          <w:sz w:val="32"/>
          <w:szCs w:val="32"/>
        </w:rPr>
        <w:t>万元。与2016年度决算相比，本年收入增加</w:t>
      </w:r>
      <w:r>
        <w:rPr>
          <w:rFonts w:hint="eastAsia" w:ascii="仿宋_GB2312" w:eastAsia="仿宋_GB2312" w:cs="DengXian-Regular"/>
          <w:sz w:val="32"/>
          <w:szCs w:val="32"/>
          <w:lang w:val="en-US" w:eastAsia="zh-CN"/>
        </w:rPr>
        <w:t>24.02</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19.5</w:t>
      </w:r>
      <w:r>
        <w:rPr>
          <w:rFonts w:hint="eastAsia" w:ascii="仿宋_GB2312" w:eastAsia="仿宋_GB2312" w:cs="DengXian-Regular"/>
          <w:sz w:val="32"/>
          <w:szCs w:val="32"/>
        </w:rPr>
        <w:t>%，主要是承接市妇联妇女活动项目增多且本级妇女儿童经费增加，活动开展增多，工资待遇水平提高，社保经费提高，调入人员等以至于</w:t>
      </w:r>
      <w:r>
        <w:rPr>
          <w:rFonts w:hint="eastAsia" w:ascii="仿宋_GB2312" w:eastAsia="仿宋_GB2312" w:cs="DengXian-Regular"/>
          <w:sz w:val="32"/>
          <w:szCs w:val="32"/>
          <w:lang w:eastAsia="zh-CN"/>
        </w:rPr>
        <w:t>收入</w:t>
      </w:r>
      <w:r>
        <w:rPr>
          <w:rFonts w:hint="eastAsia" w:ascii="仿宋_GB2312" w:eastAsia="仿宋_GB2312" w:cs="DengXian-Regular"/>
          <w:sz w:val="32"/>
          <w:szCs w:val="32"/>
        </w:rPr>
        <w:t>增加；本年支出增加</w:t>
      </w:r>
      <w:r>
        <w:rPr>
          <w:rFonts w:hint="eastAsia" w:ascii="仿宋_GB2312" w:eastAsia="仿宋_GB2312" w:cs="DengXian-Regular"/>
          <w:sz w:val="32"/>
          <w:szCs w:val="32"/>
          <w:lang w:val="en-US" w:eastAsia="zh-CN"/>
        </w:rPr>
        <w:t>16.76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14.2</w:t>
      </w:r>
      <w:r>
        <w:rPr>
          <w:rFonts w:hint="eastAsia" w:ascii="仿宋_GB2312" w:eastAsia="仿宋_GB2312" w:cs="DengXian-Regular"/>
          <w:sz w:val="32"/>
          <w:szCs w:val="32"/>
        </w:rPr>
        <w:t>%，主要是承接市妇联妇女活动项目增多且本级妇女儿童经费增加，活动开展增多，工资待遇水平提高，社保经费提高，调入人员等以至于支出增加。</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w:t>
      </w:r>
      <w:r>
        <w:rPr>
          <w:rFonts w:hint="eastAsia" w:ascii="仿宋_GB2312" w:eastAsia="仿宋_GB2312" w:cs="DengXian-Regular"/>
          <w:sz w:val="32"/>
          <w:szCs w:val="32"/>
          <w:lang w:val="en-US" w:eastAsia="zh-CN"/>
        </w:rPr>
        <w:t>147.27</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147.27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line="560" w:lineRule="exact"/>
        <w:ind w:firstLine="1920" w:firstLineChars="600"/>
        <w:rPr>
          <w:rFonts w:hint="eastAsia" w:ascii="仿宋_GB2312" w:eastAsia="仿宋_GB2312" w:cs="DengXian-Regular"/>
          <w:sz w:val="32"/>
          <w:szCs w:val="32"/>
          <w:lang w:eastAsia="zh-CN"/>
        </w:rPr>
      </w:pPr>
      <w:r>
        <w:rPr>
          <w:rFonts w:hint="eastAsia" w:ascii="仿宋_GB2312" w:eastAsia="仿宋_GB2312" w:cs="DengXian-Regular"/>
          <w:sz w:val="32"/>
          <w:szCs w:val="32"/>
        </w:rPr>
        <w:t>图1：收入决算结构饼状图</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59264" behindDoc="0" locked="0" layoutInCell="1" allowOverlap="1">
            <wp:simplePos x="0" y="0"/>
            <wp:positionH relativeFrom="column">
              <wp:posOffset>944245</wp:posOffset>
            </wp:positionH>
            <wp:positionV relativeFrom="paragraph">
              <wp:posOffset>34290</wp:posOffset>
            </wp:positionV>
            <wp:extent cx="2850515" cy="2324100"/>
            <wp:effectExtent l="4445" t="4445" r="21590" b="14605"/>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color w:val="auto"/>
          <w:sz w:val="32"/>
          <w:szCs w:val="32"/>
          <w14:textFill>
            <w14:noFill/>
          </w14:textFill>
        </w:rPr>
      </w:pPr>
    </w:p>
    <w:p>
      <w:pPr>
        <w:adjustRightInd w:val="0"/>
        <w:snapToGrid w:val="0"/>
        <w:spacing w:after="0" w:line="560" w:lineRule="exact"/>
        <w:ind w:firstLine="640" w:firstLineChars="200"/>
        <w:rPr>
          <w:rFonts w:ascii="仿宋_GB2312" w:eastAsia="仿宋_GB2312" w:cs="DengXian-Regular"/>
          <w:color w:val="auto"/>
          <w:sz w:val="32"/>
          <w:szCs w:val="32"/>
          <w14:textFill>
            <w14:noFill/>
          </w14:textFill>
        </w:rPr>
      </w:pP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w:t>
      </w:r>
      <w:r>
        <w:rPr>
          <w:rFonts w:hint="eastAsia" w:ascii="仿宋_GB2312" w:eastAsia="仿宋_GB2312" w:cs="DengXian-Regular"/>
          <w:sz w:val="32"/>
          <w:szCs w:val="32"/>
          <w:lang w:val="en-US" w:eastAsia="zh-CN"/>
        </w:rPr>
        <w:t>140.01</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104.39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74.56</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35.62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25.44</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line="56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60288" behindDoc="0" locked="0" layoutInCell="1" allowOverlap="1">
            <wp:simplePos x="0" y="0"/>
            <wp:positionH relativeFrom="column">
              <wp:posOffset>810895</wp:posOffset>
            </wp:positionH>
            <wp:positionV relativeFrom="paragraph">
              <wp:posOffset>127000</wp:posOffset>
            </wp:positionV>
            <wp:extent cx="3289935" cy="2305050"/>
            <wp:effectExtent l="4445" t="4445" r="20320" b="14605"/>
            <wp:wrapNone/>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adjustRightInd w:val="0"/>
        <w:snapToGrid w:val="0"/>
        <w:spacing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w:t>
      </w:r>
      <w:r>
        <w:rPr>
          <w:rFonts w:hint="eastAsia" w:ascii="仿宋_GB2312" w:eastAsia="仿宋_GB2312" w:cs="DengXian-Regular"/>
          <w:sz w:val="32"/>
          <w:szCs w:val="32"/>
          <w:lang w:val="en-US" w:eastAsia="zh-CN"/>
        </w:rPr>
        <w:t>8.68</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147.27</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140.01</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15.94</w:t>
      </w:r>
      <w:r>
        <w:rPr>
          <w:rFonts w:hint="eastAsia" w:ascii="仿宋_GB2312" w:eastAsia="仿宋_GB2312" w:cs="DengXian-Regular"/>
          <w:sz w:val="32"/>
          <w:szCs w:val="32"/>
        </w:rPr>
        <w:t>万元。与2016年度决算相比，一般公共预算财政拨款本年收入增加</w:t>
      </w:r>
      <w:r>
        <w:rPr>
          <w:rFonts w:hint="eastAsia" w:ascii="仿宋_GB2312" w:eastAsia="仿宋_GB2312" w:cs="DengXian-Regular"/>
          <w:sz w:val="32"/>
          <w:szCs w:val="32"/>
          <w:lang w:val="en-US" w:eastAsia="zh-CN"/>
        </w:rPr>
        <w:t>24.02</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19.5</w:t>
      </w:r>
      <w:r>
        <w:rPr>
          <w:rFonts w:hint="eastAsia" w:ascii="仿宋_GB2312" w:eastAsia="仿宋_GB2312" w:cs="DengXian-Regular"/>
          <w:sz w:val="32"/>
          <w:szCs w:val="32"/>
        </w:rPr>
        <w:t>%，主要是承接市妇联妇女活动项目增多且本级妇女儿童经费增加，活动开展增多，工资待遇水平提高，社保经费提高，调入人员等以至于</w:t>
      </w:r>
      <w:r>
        <w:rPr>
          <w:rFonts w:hint="eastAsia" w:ascii="仿宋_GB2312" w:eastAsia="仿宋_GB2312" w:cs="DengXian-Regular"/>
          <w:sz w:val="32"/>
          <w:szCs w:val="32"/>
          <w:lang w:eastAsia="zh-CN"/>
        </w:rPr>
        <w:t>收入</w:t>
      </w:r>
      <w:r>
        <w:rPr>
          <w:rFonts w:hint="eastAsia" w:ascii="仿宋_GB2312" w:eastAsia="仿宋_GB2312" w:cs="DengXian-Regular"/>
          <w:sz w:val="32"/>
          <w:szCs w:val="32"/>
        </w:rPr>
        <w:t>增加；本年支出增加</w:t>
      </w:r>
      <w:r>
        <w:rPr>
          <w:rFonts w:hint="eastAsia" w:ascii="仿宋_GB2312" w:eastAsia="仿宋_GB2312" w:cs="DengXian-Regular"/>
          <w:sz w:val="32"/>
          <w:szCs w:val="32"/>
          <w:lang w:val="en-US" w:eastAsia="zh-CN"/>
        </w:rPr>
        <w:t>16.76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14.2</w:t>
      </w:r>
      <w:r>
        <w:rPr>
          <w:rFonts w:hint="eastAsia" w:ascii="仿宋_GB2312" w:eastAsia="仿宋_GB2312" w:cs="DengXian-Regular"/>
          <w:sz w:val="32"/>
          <w:szCs w:val="32"/>
        </w:rPr>
        <w:t>%，主要是承接市妇联妇女活动项目增多且本级妇女儿童经费增加，活动开展增多，工资待遇水平提高，社保经费提高，调入人员等以至于支出增加。</w:t>
      </w:r>
    </w:p>
    <w:p>
      <w:pPr>
        <w:spacing w:after="0" w:line="560" w:lineRule="exact"/>
        <w:ind w:firstLine="643" w:firstLineChars="200"/>
        <w:rPr>
          <w:rFonts w:ascii="仿宋_GB2312" w:eastAsia="仿宋_GB2312" w:cs="DengXian-Bold"/>
          <w:b/>
          <w:bCs/>
          <w:color w:val="auto"/>
          <w:sz w:val="32"/>
          <w:szCs w:val="32"/>
        </w:rPr>
      </w:pPr>
      <w:r>
        <w:rPr>
          <w:rFonts w:hint="eastAsia" w:ascii="楷体_GB2312" w:eastAsia="楷体_GB2312" w:cs="DengXian-Bold"/>
          <w:b/>
          <w:bCs/>
          <w:color w:val="auto"/>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color w:val="auto"/>
          <w:sz w:val="32"/>
          <w:szCs w:val="32"/>
        </w:rPr>
      </w:pPr>
      <w:r>
        <w:rPr>
          <w:rFonts w:hint="eastAsia" w:ascii="仿宋_GB2312" w:eastAsia="仿宋_GB2312" w:cs="DengXian-Regular"/>
          <w:color w:val="auto"/>
          <w:sz w:val="32"/>
          <w:szCs w:val="32"/>
        </w:rPr>
        <w:t>本部门2017年度一般公共预算财政拨款本年收入较2017年初预算增加</w:t>
      </w:r>
      <w:r>
        <w:rPr>
          <w:rFonts w:hint="eastAsia" w:ascii="仿宋_GB2312" w:eastAsia="仿宋_GB2312" w:cs="DengXian-Regular"/>
          <w:color w:val="auto"/>
          <w:sz w:val="32"/>
          <w:szCs w:val="32"/>
          <w:lang w:val="en-US" w:eastAsia="zh-CN"/>
        </w:rPr>
        <w:t>41.24</w:t>
      </w:r>
      <w:r>
        <w:rPr>
          <w:rFonts w:hint="eastAsia" w:ascii="仿宋_GB2312" w:eastAsia="仿宋_GB2312" w:cs="DengXian-Regular"/>
          <w:color w:val="auto"/>
          <w:sz w:val="32"/>
          <w:szCs w:val="32"/>
        </w:rPr>
        <w:t>万元，增长</w:t>
      </w:r>
      <w:r>
        <w:rPr>
          <w:rFonts w:hint="eastAsia" w:ascii="仿宋_GB2312" w:eastAsia="仿宋_GB2312" w:cs="DengXian-Regular"/>
          <w:color w:val="auto"/>
          <w:sz w:val="32"/>
          <w:szCs w:val="32"/>
          <w:lang w:val="en-US" w:eastAsia="zh-CN"/>
        </w:rPr>
        <w:t>38.9</w:t>
      </w:r>
      <w:r>
        <w:rPr>
          <w:rFonts w:hint="eastAsia" w:ascii="仿宋_GB2312" w:eastAsia="仿宋_GB2312" w:cs="DengXian-Regular"/>
          <w:color w:val="auto"/>
          <w:sz w:val="32"/>
          <w:szCs w:val="32"/>
        </w:rPr>
        <w:t>%，主要是承接市妇联妇女活动项目增多且本级妇女儿童经费增加，活动开展增多，工资待遇水平提高，社保经费提高，调入人员等以至于</w:t>
      </w:r>
      <w:r>
        <w:rPr>
          <w:rFonts w:hint="eastAsia" w:ascii="仿宋_GB2312" w:eastAsia="仿宋_GB2312" w:cs="DengXian-Regular"/>
          <w:color w:val="auto"/>
          <w:sz w:val="32"/>
          <w:szCs w:val="32"/>
          <w:lang w:eastAsia="zh-CN"/>
        </w:rPr>
        <w:t>收入</w:t>
      </w:r>
      <w:r>
        <w:rPr>
          <w:rFonts w:hint="eastAsia" w:ascii="仿宋_GB2312" w:eastAsia="仿宋_GB2312" w:cs="DengXian-Regular"/>
          <w:color w:val="auto"/>
          <w:sz w:val="32"/>
          <w:szCs w:val="32"/>
        </w:rPr>
        <w:t>增加；本年支出增加</w:t>
      </w:r>
      <w:r>
        <w:rPr>
          <w:rFonts w:hint="eastAsia" w:ascii="仿宋_GB2312" w:eastAsia="仿宋_GB2312" w:cs="DengXian-Regular"/>
          <w:color w:val="auto"/>
          <w:sz w:val="32"/>
          <w:szCs w:val="32"/>
          <w:lang w:val="en-US" w:eastAsia="zh-CN"/>
        </w:rPr>
        <w:t>33.98</w:t>
      </w:r>
      <w:r>
        <w:rPr>
          <w:rFonts w:hint="eastAsia" w:ascii="仿宋_GB2312" w:eastAsia="仿宋_GB2312" w:cs="DengXian-Regular"/>
          <w:color w:val="auto"/>
          <w:sz w:val="32"/>
          <w:szCs w:val="32"/>
        </w:rPr>
        <w:t>万元，增长</w:t>
      </w:r>
      <w:r>
        <w:rPr>
          <w:rFonts w:hint="eastAsia" w:ascii="仿宋_GB2312" w:eastAsia="仿宋_GB2312" w:cs="DengXian-Regular"/>
          <w:color w:val="auto"/>
          <w:sz w:val="32"/>
          <w:szCs w:val="32"/>
          <w:lang w:val="en-US" w:eastAsia="zh-CN"/>
        </w:rPr>
        <w:t>32.05</w:t>
      </w:r>
      <w:r>
        <w:rPr>
          <w:rFonts w:hint="eastAsia" w:ascii="仿宋_GB2312" w:eastAsia="仿宋_GB2312" w:cs="DengXian-Regular"/>
          <w:color w:val="auto"/>
          <w:sz w:val="32"/>
          <w:szCs w:val="32"/>
        </w:rPr>
        <w:t>%，主要是承接市妇联妇女活动项目增多且本级妇女儿童经费增加，活动开展增多，工资待遇水平提高，社保经费提高，调入人员等以至于支出增加。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w:t>
      </w:r>
      <w:r>
        <w:rPr>
          <w:rFonts w:hint="eastAsia" w:ascii="仿宋_GB2312" w:eastAsia="仿宋_GB2312" w:cs="DengXian-Regular"/>
          <w:sz w:val="32"/>
          <w:szCs w:val="32"/>
          <w:lang w:val="en-US" w:eastAsia="zh-CN"/>
        </w:rPr>
        <w:t>2.22</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0.48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17.78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减少公车使用次数</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0.47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17.47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减少公车使用次数</w:t>
      </w:r>
      <w:r>
        <w:rPr>
          <w:rFonts w:hint="eastAsia" w:ascii="仿宋_GB2312" w:eastAsia="仿宋_GB2312" w:cs="DengXian-Regular"/>
          <w:sz w:val="32"/>
          <w:szCs w:val="32"/>
        </w:rPr>
        <w:t>。具体情况如下：</w:t>
      </w:r>
    </w:p>
    <w:p>
      <w:pPr>
        <w:numPr>
          <w:ilvl w:val="0"/>
          <w:numId w:val="1"/>
        </w:num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无本单位组织的出国（境）团组。</w:t>
      </w:r>
      <w:r>
        <w:rPr>
          <w:rFonts w:hint="eastAsia" w:ascii="仿宋_GB2312" w:eastAsia="仿宋_GB2312" w:cs="DengXian-Regular"/>
          <w:sz w:val="32"/>
          <w:szCs w:val="32"/>
          <w:lang w:eastAsia="zh-CN"/>
        </w:rPr>
        <w:t>较</w:t>
      </w:r>
      <w:r>
        <w:rPr>
          <w:rFonts w:hint="eastAsia" w:ascii="仿宋_GB2312" w:eastAsia="仿宋_GB2312" w:cs="DengXian-Regular"/>
          <w:sz w:val="32"/>
          <w:szCs w:val="32"/>
          <w:lang w:val="en-US" w:eastAsia="zh-CN"/>
        </w:rPr>
        <w:t>2016年无变化。</w:t>
      </w: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2.22</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本部门2017年度公务用车购置及运行维护费较年初预算减少</w:t>
      </w:r>
      <w:r>
        <w:rPr>
          <w:rFonts w:hint="eastAsia" w:ascii="仿宋_GB2312" w:eastAsia="仿宋_GB2312" w:cs="DengXian-Regular"/>
          <w:sz w:val="32"/>
          <w:szCs w:val="32"/>
          <w:lang w:val="en-US" w:eastAsia="zh-CN"/>
        </w:rPr>
        <w:t>0.48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17.78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减少公车使用次数</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0.47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17.47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减少公车使用次数</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公务用车购置；较2016年度决算增加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公务用车购置。</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0.48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17.8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减少公车使用次数</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0.47</w:t>
      </w:r>
      <w:r>
        <w:rPr>
          <w:rFonts w:hint="eastAsia" w:ascii="仿宋_GB2312" w:eastAsia="仿宋_GB2312" w:cs="DengXian-Regular"/>
          <w:sz w:val="32"/>
          <w:szCs w:val="32"/>
        </w:rPr>
        <w:t>万元，增降低</w:t>
      </w:r>
      <w:r>
        <w:rPr>
          <w:rFonts w:hint="eastAsia" w:ascii="仿宋_GB2312" w:eastAsia="仿宋_GB2312" w:cs="DengXian-Regular"/>
          <w:sz w:val="32"/>
          <w:szCs w:val="32"/>
          <w:lang w:val="en-US" w:eastAsia="zh-CN"/>
        </w:rPr>
        <w:t>17.47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减少公车使用次数</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w:t>
      </w:r>
      <w:r>
        <w:rPr>
          <w:rFonts w:hint="eastAsia" w:ascii="仿宋_GB2312" w:eastAsia="仿宋_GB2312" w:cs="DengXian-Regular"/>
          <w:sz w:val="32"/>
          <w:szCs w:val="32"/>
          <w:lang w:eastAsia="zh-CN"/>
        </w:rPr>
        <w:t>无变化</w:t>
      </w:r>
      <w:r>
        <w:rPr>
          <w:rFonts w:hint="eastAsia" w:ascii="仿宋_GB2312" w:eastAsia="仿宋_GB2312" w:cs="DengXian-Regular"/>
          <w:sz w:val="32"/>
          <w:szCs w:val="32"/>
        </w:rPr>
        <w:t>，降低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公务接待；较2016年度决算减少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公务接待。</w:t>
      </w:r>
    </w:p>
    <w:p>
      <w:pPr>
        <w:pStyle w:val="3"/>
        <w:spacing w:before="0" w:after="0" w:line="500" w:lineRule="exact"/>
        <w:ind w:firstLine="643" w:firstLineChars="200"/>
        <w:jc w:val="both"/>
        <w:rPr>
          <w:rFonts w:ascii="黑体" w:eastAsia="黑体" w:cs="Times New Roman"/>
          <w:shd w:val="clear" w:color="auto" w:fill="auto"/>
        </w:rPr>
      </w:pPr>
      <w:r>
        <w:rPr>
          <w:rFonts w:hint="eastAsia" w:ascii="黑体" w:eastAsia="黑体" w:cs="Times New Roman"/>
          <w:shd w:val="clear" w:color="auto" w:fill="auto"/>
        </w:rPr>
        <w:t>六、绩效预算</w:t>
      </w:r>
      <w:r>
        <w:rPr>
          <w:rFonts w:hint="eastAsia" w:ascii="黑体" w:eastAsia="黑体" w:cs="黑体" w:hAnsiTheme="minorHAnsi"/>
          <w:kern w:val="0"/>
          <w:shd w:val="clear" w:color="auto" w:fill="auto"/>
        </w:rPr>
        <w:t>管理</w:t>
      </w:r>
      <w:r>
        <w:rPr>
          <w:rFonts w:hint="eastAsia" w:ascii="黑体" w:eastAsia="黑体" w:cs="Times New Roman"/>
          <w:shd w:val="clear" w:color="auto" w:fill="auto"/>
        </w:rPr>
        <w:t>工作开展情况说明</w:t>
      </w:r>
    </w:p>
    <w:p>
      <w:pPr>
        <w:adjustRightInd w:val="0"/>
        <w:snapToGrid w:val="0"/>
        <w:spacing w:after="0" w:line="500" w:lineRule="exact"/>
        <w:ind w:firstLine="640" w:firstLineChars="200"/>
        <w:jc w:val="both"/>
        <w:rPr>
          <w:rFonts w:hint="eastAsia" w:ascii="仿宋_GB2312" w:eastAsia="仿宋_GB2312" w:cs="DengXian-Regular"/>
          <w:sz w:val="32"/>
          <w:szCs w:val="32"/>
          <w:shd w:val="clear" w:color="auto" w:fill="auto"/>
          <w:lang w:eastAsia="zh-CN"/>
        </w:rPr>
      </w:pPr>
      <w:r>
        <w:rPr>
          <w:rFonts w:hint="eastAsia" w:ascii="仿宋_GB2312" w:eastAsia="仿宋_GB2312" w:cs="DengXian-Regular"/>
          <w:sz w:val="32"/>
          <w:szCs w:val="32"/>
          <w:shd w:val="clear" w:color="auto" w:fill="auto"/>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w:t>
      </w:r>
      <w:r>
        <w:rPr>
          <w:rFonts w:hint="eastAsia" w:ascii="仿宋_GB2312" w:eastAsia="仿宋_GB2312" w:cs="DengXian-Regular"/>
          <w:sz w:val="32"/>
          <w:szCs w:val="32"/>
          <w:shd w:val="clear" w:color="auto" w:fill="auto"/>
          <w:lang w:eastAsia="zh-CN"/>
        </w:rPr>
        <w:t>为良好</w:t>
      </w:r>
    </w:p>
    <w:p>
      <w:pPr>
        <w:adjustRightInd w:val="0"/>
        <w:snapToGrid w:val="0"/>
        <w:spacing w:after="0" w:line="500" w:lineRule="exact"/>
        <w:ind w:firstLine="640" w:firstLineChars="200"/>
        <w:jc w:val="both"/>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（二）预算项目绩效评价开展情况</w:t>
      </w:r>
      <w:r>
        <w:rPr>
          <w:rFonts w:hint="eastAsia" w:ascii="仿宋_GB2312" w:eastAsia="仿宋_GB2312" w:cs="DengXian-Regular"/>
          <w:sz w:val="32"/>
          <w:szCs w:val="32"/>
          <w:shd w:val="clear" w:color="auto" w:fill="auto"/>
          <w:lang w:eastAsia="zh-CN"/>
        </w:rPr>
        <w:t>。</w:t>
      </w:r>
      <w:r>
        <w:rPr>
          <w:rFonts w:hint="eastAsia" w:ascii="仿宋_GB2312" w:eastAsia="仿宋_GB2312" w:cs="DengXian-Regular"/>
          <w:sz w:val="32"/>
          <w:szCs w:val="32"/>
          <w:shd w:val="clear" w:color="auto" w:fill="auto"/>
        </w:rPr>
        <w:t>根据预算绩效管理要求，本单位组织对2017年度一般公共预算项目支出全面开展绩效自评，涉及</w:t>
      </w:r>
      <w:r>
        <w:rPr>
          <w:rFonts w:hint="eastAsia" w:ascii="仿宋_GB2312" w:eastAsia="仿宋_GB2312" w:cs="DengXian-Regular"/>
          <w:sz w:val="32"/>
          <w:szCs w:val="32"/>
          <w:shd w:val="clear" w:color="auto" w:fill="auto"/>
          <w:lang w:eastAsia="zh-CN"/>
        </w:rPr>
        <w:t>区妇女儿童专项、市级发展专项和省级师范妇女之家</w:t>
      </w:r>
      <w:r>
        <w:rPr>
          <w:rFonts w:hint="eastAsia" w:ascii="仿宋_GB2312" w:eastAsia="仿宋_GB2312" w:cs="DengXian-Regular"/>
          <w:sz w:val="32"/>
          <w:szCs w:val="32"/>
          <w:shd w:val="clear" w:color="auto" w:fill="auto"/>
        </w:rPr>
        <w:t>等</w:t>
      </w:r>
      <w:r>
        <w:rPr>
          <w:rFonts w:hint="eastAsia" w:ascii="仿宋_GB2312" w:eastAsia="仿宋_GB2312" w:cs="DengXian-Regular"/>
          <w:sz w:val="32"/>
          <w:szCs w:val="32"/>
          <w:shd w:val="clear" w:color="auto" w:fill="auto"/>
          <w:lang w:val="en-US" w:eastAsia="zh-CN"/>
        </w:rPr>
        <w:t>3</w:t>
      </w:r>
      <w:r>
        <w:rPr>
          <w:rFonts w:hint="eastAsia" w:ascii="仿宋_GB2312" w:eastAsia="仿宋_GB2312" w:cs="DengXian-Regular"/>
          <w:sz w:val="32"/>
          <w:szCs w:val="32"/>
          <w:shd w:val="clear" w:color="auto" w:fill="auto"/>
        </w:rPr>
        <w:t>个项目，涉及资金</w:t>
      </w:r>
      <w:r>
        <w:rPr>
          <w:rFonts w:hint="eastAsia" w:ascii="仿宋_GB2312" w:eastAsia="仿宋_GB2312" w:cs="DengXian-Regular"/>
          <w:sz w:val="32"/>
          <w:szCs w:val="32"/>
          <w:shd w:val="clear" w:color="auto" w:fill="auto"/>
          <w:lang w:val="en-US" w:eastAsia="zh-CN"/>
        </w:rPr>
        <w:t>30</w:t>
      </w:r>
      <w:r>
        <w:rPr>
          <w:rFonts w:hint="eastAsia" w:ascii="仿宋_GB2312" w:eastAsia="仿宋_GB2312" w:cs="DengXian-Regular"/>
          <w:sz w:val="32"/>
          <w:szCs w:val="32"/>
          <w:shd w:val="clear" w:color="auto" w:fill="auto"/>
        </w:rPr>
        <w:t>万元。从评价情况看，评价结果为优秀的项目有</w:t>
      </w:r>
      <w:r>
        <w:rPr>
          <w:rFonts w:hint="eastAsia" w:ascii="仿宋_GB2312" w:eastAsia="仿宋_GB2312" w:cs="DengXian-Regular"/>
          <w:sz w:val="32"/>
          <w:szCs w:val="32"/>
          <w:shd w:val="clear" w:color="auto" w:fill="auto"/>
          <w:lang w:val="en-US" w:eastAsia="zh-CN"/>
        </w:rPr>
        <w:t>0</w:t>
      </w:r>
      <w:r>
        <w:rPr>
          <w:rFonts w:hint="eastAsia" w:ascii="仿宋_GB2312" w:eastAsia="仿宋_GB2312" w:cs="DengXian-Regular"/>
          <w:sz w:val="32"/>
          <w:szCs w:val="32"/>
          <w:shd w:val="clear" w:color="auto" w:fill="auto"/>
        </w:rPr>
        <w:t>个，良好的项目有</w:t>
      </w:r>
      <w:r>
        <w:rPr>
          <w:rFonts w:hint="eastAsia" w:ascii="仿宋_GB2312" w:eastAsia="仿宋_GB2312" w:cs="DengXian-Regular"/>
          <w:sz w:val="32"/>
          <w:szCs w:val="32"/>
          <w:shd w:val="clear" w:color="auto" w:fill="auto"/>
          <w:lang w:val="en-US" w:eastAsia="zh-CN"/>
        </w:rPr>
        <w:t>3</w:t>
      </w:r>
      <w:r>
        <w:rPr>
          <w:rFonts w:hint="eastAsia" w:ascii="仿宋_GB2312" w:eastAsia="仿宋_GB2312" w:cs="DengXian-Regular"/>
          <w:sz w:val="32"/>
          <w:szCs w:val="32"/>
          <w:shd w:val="clear" w:color="auto" w:fill="auto"/>
        </w:rPr>
        <w:t>个，一般的项目有</w:t>
      </w:r>
      <w:r>
        <w:rPr>
          <w:rFonts w:hint="eastAsia" w:ascii="仿宋_GB2312" w:eastAsia="仿宋_GB2312" w:cs="DengXian-Regular"/>
          <w:sz w:val="32"/>
          <w:szCs w:val="32"/>
          <w:shd w:val="clear" w:color="auto" w:fill="auto"/>
          <w:lang w:val="en-US" w:eastAsia="zh-CN"/>
        </w:rPr>
        <w:t>0</w:t>
      </w:r>
      <w:r>
        <w:rPr>
          <w:rFonts w:hint="eastAsia" w:ascii="仿宋_GB2312" w:eastAsia="仿宋_GB2312" w:cs="DengXian-Regular"/>
          <w:sz w:val="32"/>
          <w:szCs w:val="32"/>
          <w:shd w:val="clear" w:color="auto" w:fill="auto"/>
        </w:rPr>
        <w:t>个。</w:t>
      </w:r>
    </w:p>
    <w:p>
      <w:pPr>
        <w:adjustRightInd w:val="0"/>
        <w:snapToGrid w:val="0"/>
        <w:spacing w:after="0" w:line="500" w:lineRule="exact"/>
        <w:ind w:firstLine="640" w:firstLineChars="200"/>
        <w:jc w:val="both"/>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（三）预算项目绩效自评选例</w:t>
      </w:r>
    </w:p>
    <w:p>
      <w:pPr>
        <w:adjustRightInd w:val="0"/>
        <w:snapToGrid w:val="0"/>
        <w:spacing w:after="0" w:line="500" w:lineRule="exact"/>
        <w:ind w:firstLine="640" w:firstLineChars="200"/>
        <w:jc w:val="both"/>
        <w:rPr>
          <w:rFonts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本单位无民生项目和重点支出项目。</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color w:val="FF0000"/>
          <w:sz w:val="32"/>
          <w:szCs w:val="32"/>
        </w:rPr>
      </w:pPr>
      <w:r>
        <w:rPr>
          <w:rFonts w:hint="eastAsia" w:ascii="仿宋_GB2312" w:eastAsia="仿宋_GB2312" w:cs="DengXian-Regular"/>
          <w:color w:val="auto"/>
          <w:sz w:val="32"/>
          <w:szCs w:val="32"/>
        </w:rPr>
        <w:t>本部门2017年度机关运行经费支出</w:t>
      </w:r>
      <w:r>
        <w:rPr>
          <w:rFonts w:hint="eastAsia" w:ascii="仿宋_GB2312" w:eastAsia="仿宋_GB2312" w:cs="DengXian-Regular"/>
          <w:color w:val="auto"/>
          <w:sz w:val="32"/>
          <w:szCs w:val="32"/>
          <w:lang w:val="en-US" w:eastAsia="zh-CN"/>
        </w:rPr>
        <w:t>13.18</w:t>
      </w:r>
      <w:r>
        <w:rPr>
          <w:rFonts w:hint="eastAsia" w:ascii="仿宋_GB2312" w:eastAsia="仿宋_GB2312" w:cs="DengXian-Regular"/>
          <w:color w:val="auto"/>
          <w:sz w:val="32"/>
          <w:szCs w:val="32"/>
        </w:rPr>
        <w:t>万元</w:t>
      </w:r>
      <w:r>
        <w:rPr>
          <w:rFonts w:hint="eastAsia" w:ascii="仿宋_GB2312" w:eastAsia="仿宋_GB2312" w:cs="DengXian-Regular"/>
          <w:color w:val="auto"/>
          <w:sz w:val="32"/>
          <w:szCs w:val="32"/>
          <w:lang w:eastAsia="zh-CN"/>
        </w:rPr>
        <w:t>，</w:t>
      </w:r>
      <w:r>
        <w:rPr>
          <w:rFonts w:hint="eastAsia" w:ascii="仿宋_GB2312" w:eastAsia="仿宋_GB2312" w:cs="DengXian-Regular"/>
          <w:color w:val="auto"/>
          <w:sz w:val="32"/>
          <w:szCs w:val="32"/>
        </w:rPr>
        <w:t>比2016年度增加</w:t>
      </w:r>
      <w:r>
        <w:rPr>
          <w:rFonts w:hint="eastAsia" w:ascii="仿宋_GB2312" w:eastAsia="仿宋_GB2312" w:cs="DengXian-Regular"/>
          <w:color w:val="auto"/>
          <w:sz w:val="32"/>
          <w:szCs w:val="32"/>
          <w:lang w:val="en-US" w:eastAsia="zh-CN"/>
        </w:rPr>
        <w:t>5.06</w:t>
      </w:r>
      <w:r>
        <w:rPr>
          <w:rFonts w:hint="eastAsia" w:ascii="仿宋_GB2312" w:eastAsia="仿宋_GB2312" w:cs="DengXian-Regular"/>
          <w:color w:val="auto"/>
          <w:sz w:val="32"/>
          <w:szCs w:val="32"/>
        </w:rPr>
        <w:t>万元，增长</w:t>
      </w:r>
      <w:r>
        <w:rPr>
          <w:rFonts w:hint="eastAsia" w:ascii="仿宋_GB2312" w:eastAsia="仿宋_GB2312" w:cs="DengXian-Regular"/>
          <w:color w:val="auto"/>
          <w:sz w:val="32"/>
          <w:szCs w:val="32"/>
          <w:lang w:val="en-US" w:eastAsia="zh-CN"/>
        </w:rPr>
        <w:t>63.1</w:t>
      </w:r>
      <w:r>
        <w:rPr>
          <w:rFonts w:hint="eastAsia" w:ascii="仿宋_GB2312" w:eastAsia="仿宋_GB2312" w:cs="DengXian-Regular"/>
          <w:color w:val="auto"/>
          <w:sz w:val="32"/>
          <w:szCs w:val="32"/>
        </w:rPr>
        <w:t>%</w:t>
      </w:r>
      <w:r>
        <w:rPr>
          <w:rFonts w:hint="eastAsia" w:ascii="仿宋_GB2312" w:eastAsia="仿宋_GB2312" w:cs="DengXian-Regular"/>
          <w:color w:val="auto"/>
          <w:sz w:val="32"/>
          <w:szCs w:val="32"/>
          <w:lang w:eastAsia="zh-CN"/>
        </w:rPr>
        <w:t>。其中：办公费</w:t>
      </w:r>
      <w:r>
        <w:rPr>
          <w:rFonts w:hint="eastAsia" w:ascii="仿宋_GB2312" w:eastAsia="仿宋_GB2312" w:cs="DengXian-Regular"/>
          <w:color w:val="auto"/>
          <w:sz w:val="32"/>
          <w:szCs w:val="32"/>
          <w:lang w:val="en-US" w:eastAsia="zh-CN"/>
        </w:rPr>
        <w:t>0.78万、邮电费0.28万、差旅费0.34万、劳务费5.18、公务用车运行维护费2.22万、其他交通费4.33万。</w:t>
      </w:r>
      <w:r>
        <w:rPr>
          <w:rFonts w:hint="eastAsia" w:ascii="仿宋_GB2312" w:eastAsia="仿宋_GB2312" w:cs="DengXian-Regular"/>
          <w:color w:val="auto"/>
          <w:sz w:val="32"/>
          <w:szCs w:val="32"/>
        </w:rPr>
        <w:t>主要原因是工资待遇水平提高，社保经费提高，调入人员等以至于支出增加。</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年度我单位无政府采购预算</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本部门2017年度政府采购支出总额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万元，其中：政府采购货物支出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万元、政府采购工程支出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万元、政府采购服务支出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color w:val="auto"/>
        </w:rPr>
      </w:pPr>
      <w:r>
        <w:rPr>
          <w:rFonts w:hint="eastAsia" w:ascii="楷体_GB2312" w:eastAsia="楷体_GB2312" w:cs="DengXian-Bold"/>
          <w:color w:val="auto"/>
        </w:rPr>
        <w:t>（三）国有资产占用情况</w:t>
      </w:r>
    </w:p>
    <w:p>
      <w:pPr>
        <w:adjustRightInd w:val="0"/>
        <w:snapToGrid w:val="0"/>
        <w:spacing w:after="0" w:line="560" w:lineRule="exact"/>
        <w:ind w:firstLine="640" w:firstLineChars="200"/>
        <w:rPr>
          <w:rFonts w:hint="eastAsia" w:ascii="仿宋_GB2312" w:eastAsia="仿宋_GB2312" w:cs="DengXian-Regular"/>
          <w:color w:val="auto"/>
          <w:sz w:val="32"/>
          <w:szCs w:val="32"/>
          <w:lang w:eastAsia="zh-CN"/>
        </w:rPr>
      </w:pPr>
      <w:r>
        <w:rPr>
          <w:rFonts w:hint="eastAsia" w:ascii="仿宋_GB2312" w:eastAsia="仿宋_GB2312" w:cs="DengXian-Regular"/>
          <w:sz w:val="32"/>
          <w:szCs w:val="32"/>
        </w:rPr>
        <w:t>2017年度初固定资产19.06万元，2017年度末固定资产</w:t>
      </w:r>
      <w:r>
        <w:rPr>
          <w:rFonts w:hint="eastAsia" w:ascii="仿宋_GB2312" w:eastAsia="仿宋_GB2312" w:cs="DengXian-Regular"/>
          <w:color w:val="auto"/>
          <w:sz w:val="32"/>
          <w:szCs w:val="32"/>
          <w:lang w:val="en-US" w:eastAsia="zh-CN"/>
        </w:rPr>
        <w:t>18.72</w:t>
      </w:r>
      <w:r>
        <w:rPr>
          <w:rFonts w:hint="eastAsia" w:ascii="仿宋_GB2312" w:eastAsia="仿宋_GB2312" w:cs="DengXian-Regular"/>
          <w:color w:val="auto"/>
          <w:sz w:val="32"/>
          <w:szCs w:val="32"/>
        </w:rPr>
        <w:t>万元。其中：固定资产</w:t>
      </w:r>
      <w:r>
        <w:rPr>
          <w:rFonts w:hint="eastAsia" w:ascii="仿宋_GB2312" w:eastAsia="仿宋_GB2312" w:cs="DengXian-Regular"/>
          <w:color w:val="auto"/>
          <w:sz w:val="32"/>
          <w:szCs w:val="32"/>
          <w:lang w:eastAsia="zh-CN"/>
        </w:rPr>
        <w:t>减少</w:t>
      </w:r>
      <w:r>
        <w:rPr>
          <w:rFonts w:hint="eastAsia" w:ascii="仿宋_GB2312" w:eastAsia="仿宋_GB2312" w:cs="DengXian-Regular"/>
          <w:color w:val="auto"/>
          <w:sz w:val="32"/>
          <w:szCs w:val="32"/>
          <w:lang w:val="en-US" w:eastAsia="zh-CN"/>
        </w:rPr>
        <w:t>1.32</w:t>
      </w:r>
      <w:r>
        <w:rPr>
          <w:rFonts w:hint="eastAsia" w:ascii="仿宋_GB2312" w:eastAsia="仿宋_GB2312" w:cs="DengXian-Regular"/>
          <w:color w:val="auto"/>
          <w:sz w:val="32"/>
          <w:szCs w:val="32"/>
          <w:lang w:eastAsia="zh-CN"/>
        </w:rPr>
        <w:t>万元、</w:t>
      </w:r>
      <w:r>
        <w:rPr>
          <w:rFonts w:hint="eastAsia" w:ascii="仿宋_GB2312" w:eastAsia="仿宋_GB2312" w:cs="DengXian-Regular"/>
          <w:color w:val="auto"/>
          <w:sz w:val="32"/>
          <w:szCs w:val="32"/>
        </w:rPr>
        <w:t>增</w:t>
      </w:r>
      <w:r>
        <w:rPr>
          <w:rFonts w:hint="eastAsia" w:ascii="仿宋_GB2312" w:eastAsia="仿宋_GB2312" w:cs="DengXian-Regular"/>
          <w:color w:val="auto"/>
          <w:sz w:val="32"/>
          <w:szCs w:val="32"/>
          <w:lang w:eastAsia="zh-CN"/>
        </w:rPr>
        <w:t>加</w:t>
      </w:r>
      <w:r>
        <w:rPr>
          <w:rFonts w:hint="eastAsia" w:ascii="仿宋_GB2312" w:eastAsia="仿宋_GB2312" w:cs="DengXian-Regular"/>
          <w:color w:val="auto"/>
          <w:sz w:val="32"/>
          <w:szCs w:val="32"/>
          <w:lang w:val="en-US" w:eastAsia="zh-CN"/>
        </w:rPr>
        <w:t>0.98</w:t>
      </w:r>
      <w:r>
        <w:rPr>
          <w:rFonts w:hint="eastAsia" w:ascii="仿宋_GB2312" w:eastAsia="仿宋_GB2312" w:cs="DengXian-Regular"/>
          <w:color w:val="auto"/>
          <w:sz w:val="32"/>
          <w:szCs w:val="32"/>
        </w:rPr>
        <w:t>万元。</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辆，其中，市级领导干部用车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辆、一般公务用车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辆、一般执法执勤用车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用于单位一般事务</w:t>
      </w:r>
      <w:r>
        <w:rPr>
          <w:rFonts w:hint="eastAsia" w:ascii="仿宋_GB2312" w:eastAsia="仿宋_GB2312" w:cs="DengXian-Regular"/>
          <w:sz w:val="32"/>
          <w:szCs w:val="32"/>
        </w:rPr>
        <w:t>；单位价值50万元以上大型设备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台（套），单位价值100万元以上大型设备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p>
    <w:p>
      <w:pPr>
        <w:pStyle w:val="4"/>
        <w:numPr>
          <w:ilvl w:val="0"/>
          <w:numId w:val="2"/>
        </w:numPr>
        <w:spacing w:before="0" w:after="0" w:line="560" w:lineRule="exact"/>
        <w:ind w:firstLine="643" w:firstLineChars="200"/>
      </w:pPr>
      <w:r>
        <w:rPr>
          <w:rFonts w:hint="eastAsia" w:ascii="楷体_GB2312" w:eastAsia="楷体_GB2312" w:cs="DengXian-Bold"/>
        </w:rPr>
        <w:t>其他需要说明的情况</w:t>
      </w:r>
    </w:p>
    <w:p>
      <w:pPr>
        <w:numPr>
          <w:ilvl w:val="0"/>
          <w:numId w:val="3"/>
        </w:numPr>
        <w:adjustRightInd w:val="0"/>
        <w:snapToGrid w:val="0"/>
        <w:spacing w:after="0" w:line="560" w:lineRule="exact"/>
        <w:ind w:firstLine="640" w:firstLineChars="200"/>
        <w:rPr>
          <w:rFonts w:hint="eastAsia" w:ascii="仿宋_GB2312" w:eastAsia="仿宋_GB2312" w:cs="DengXian-Regular"/>
          <w:color w:val="auto"/>
          <w:sz w:val="32"/>
          <w:szCs w:val="32"/>
        </w:rPr>
      </w:pPr>
      <w:r>
        <w:rPr>
          <w:rFonts w:hint="eastAsia" w:ascii="仿宋_GB2312" w:eastAsia="仿宋_GB2312" w:cs="DengXian-Regular"/>
          <w:color w:val="auto"/>
          <w:sz w:val="32"/>
          <w:szCs w:val="32"/>
          <w:lang w:eastAsia="zh-CN"/>
        </w:rPr>
        <w:t>我单位</w:t>
      </w:r>
      <w:r>
        <w:rPr>
          <w:rFonts w:hint="eastAsia" w:ascii="仿宋_GB2312" w:eastAsia="仿宋_GB2312" w:cs="DengXian-Regular"/>
          <w:color w:val="auto"/>
          <w:sz w:val="32"/>
          <w:szCs w:val="32"/>
        </w:rPr>
        <w:t>政府性基金预算财政拨款</w:t>
      </w:r>
      <w:r>
        <w:rPr>
          <w:rFonts w:hint="eastAsia" w:ascii="仿宋_GB2312" w:eastAsia="仿宋_GB2312" w:cs="DengXian-Regular"/>
          <w:color w:val="auto"/>
          <w:sz w:val="32"/>
          <w:szCs w:val="32"/>
          <w:lang w:eastAsia="zh-CN"/>
        </w:rPr>
        <w:t>、</w:t>
      </w:r>
      <w:r>
        <w:rPr>
          <w:rFonts w:hint="eastAsia" w:ascii="仿宋_GB2312" w:eastAsia="仿宋_GB2312" w:cs="DengXian-Regular"/>
          <w:color w:val="auto"/>
          <w:sz w:val="32"/>
          <w:szCs w:val="32"/>
        </w:rPr>
        <w:t>国有资本经营预算财政拨款、政府采购情况等无收支及结转结余情况，故政府性基金预算财政拨款收入支出决算表、国有资本经营预算财政拨款收入支出决算表等相关信息统计表、政府采购情况表以空表列示</w:t>
      </w:r>
    </w:p>
    <w:p>
      <w:pPr>
        <w:numPr>
          <w:ilvl w:val="0"/>
          <w:numId w:val="3"/>
        </w:numPr>
        <w:adjustRightInd w:val="0"/>
        <w:snapToGrid w:val="0"/>
        <w:spacing w:after="0" w:line="560" w:lineRule="exact"/>
        <w:ind w:firstLine="640" w:firstLineChars="200"/>
        <w:rPr>
          <w:rFonts w:hint="eastAsia" w:ascii="仿宋_GB2312" w:eastAsia="仿宋_GB2312" w:cs="DengXian-Regular"/>
          <w:color w:val="auto"/>
          <w:sz w:val="32"/>
          <w:szCs w:val="32"/>
        </w:rPr>
      </w:pPr>
      <w:r>
        <w:rPr>
          <w:rFonts w:hint="eastAsia" w:ascii="仿宋_GB2312" w:eastAsia="仿宋_GB2312" w:cs="DengXian-Regular"/>
          <w:color w:val="auto"/>
          <w:sz w:val="32"/>
          <w:szCs w:val="32"/>
        </w:rPr>
        <w:t>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color w:val="auto"/>
        </w:rPr>
        <w:t>第四部分</w:t>
      </w:r>
      <w:r>
        <w:rPr>
          <w:rFonts w:hint="eastAsia" w:cs="SimSun,Bold" w:asciiTheme="majorEastAsia" w:hAnsiTheme="majorEastAsia" w:eastAsiaTheme="majorEastAsia"/>
          <w:bCs w:val="0"/>
          <w:color w:val="auto"/>
        </w:rPr>
        <w:t xml:space="preserve"> </w:t>
      </w:r>
      <w:r>
        <w:rPr>
          <w:rFonts w:hint="eastAsia" w:cs="SimSun,Bold" w:asciiTheme="majorEastAsia" w:hAnsiTheme="majorEastAsia" w:eastAsiaTheme="majorEastAsia"/>
          <w:color w:val="auto"/>
        </w:rPr>
        <w:t>名词</w:t>
      </w:r>
      <w:r>
        <w:rPr>
          <w:rFonts w:hint="eastAsia" w:cs="SimSun,Bold" w:asciiTheme="majorEastAsia" w:hAnsiTheme="majorEastAsia" w:eastAsiaTheme="majorEastAsia"/>
        </w:rPr>
        <w:t>解释</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modern"/>
    <w:pitch w:val="default"/>
    <w:sig w:usb0="E00002FF" w:usb1="400004FF" w:usb2="00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swiss"/>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swiss"/>
    <w:pitch w:val="default"/>
    <w:sig w:usb0="00000000" w:usb1="0000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SimSun,Bold">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5CE698"/>
    <w:multiLevelType w:val="singleLevel"/>
    <w:tmpl w:val="B45CE698"/>
    <w:lvl w:ilvl="0" w:tentative="0">
      <w:start w:val="4"/>
      <w:numFmt w:val="chineseCounting"/>
      <w:suff w:val="nothing"/>
      <w:lvlText w:val="（%1）"/>
      <w:lvlJc w:val="left"/>
      <w:rPr>
        <w:rFonts w:hint="eastAsia"/>
      </w:rPr>
    </w:lvl>
  </w:abstractNum>
  <w:abstractNum w:abstractNumId="1">
    <w:nsid w:val="1A93A43E"/>
    <w:multiLevelType w:val="singleLevel"/>
    <w:tmpl w:val="1A93A43E"/>
    <w:lvl w:ilvl="0" w:tentative="0">
      <w:start w:val="1"/>
      <w:numFmt w:val="chineseCounting"/>
      <w:suff w:val="nothing"/>
      <w:lvlText w:val="（%1）"/>
      <w:lvlJc w:val="left"/>
      <w:rPr>
        <w:rFonts w:hint="eastAsia"/>
      </w:rPr>
    </w:lvl>
  </w:abstractNum>
  <w:abstractNum w:abstractNumId="2">
    <w:nsid w:val="2AA75851"/>
    <w:multiLevelType w:val="singleLevel"/>
    <w:tmpl w:val="2AA75851"/>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03C1413"/>
    <w:rsid w:val="00024E7F"/>
    <w:rsid w:val="000475A0"/>
    <w:rsid w:val="000E2F81"/>
    <w:rsid w:val="00146C47"/>
    <w:rsid w:val="00152FB8"/>
    <w:rsid w:val="00185B66"/>
    <w:rsid w:val="001B3410"/>
    <w:rsid w:val="001C030D"/>
    <w:rsid w:val="001F0368"/>
    <w:rsid w:val="002C04C4"/>
    <w:rsid w:val="002D08B0"/>
    <w:rsid w:val="00341C8F"/>
    <w:rsid w:val="00391D9D"/>
    <w:rsid w:val="003B6C51"/>
    <w:rsid w:val="003C1413"/>
    <w:rsid w:val="003C549F"/>
    <w:rsid w:val="003D5A16"/>
    <w:rsid w:val="005F4B66"/>
    <w:rsid w:val="00641318"/>
    <w:rsid w:val="0070012A"/>
    <w:rsid w:val="0070664B"/>
    <w:rsid w:val="007071B8"/>
    <w:rsid w:val="007414DE"/>
    <w:rsid w:val="007905A9"/>
    <w:rsid w:val="007E5500"/>
    <w:rsid w:val="00840A97"/>
    <w:rsid w:val="008C0149"/>
    <w:rsid w:val="008F2E78"/>
    <w:rsid w:val="009A1ABE"/>
    <w:rsid w:val="00A35CE0"/>
    <w:rsid w:val="00A44AA4"/>
    <w:rsid w:val="00A61623"/>
    <w:rsid w:val="00A84687"/>
    <w:rsid w:val="00AD3B6E"/>
    <w:rsid w:val="00B56722"/>
    <w:rsid w:val="00C3774E"/>
    <w:rsid w:val="00C87FAB"/>
    <w:rsid w:val="00C91FF7"/>
    <w:rsid w:val="00C94E53"/>
    <w:rsid w:val="00DB35AF"/>
    <w:rsid w:val="00DF5B88"/>
    <w:rsid w:val="00E2595E"/>
    <w:rsid w:val="00E35374"/>
    <w:rsid w:val="00E50C19"/>
    <w:rsid w:val="00E856C9"/>
    <w:rsid w:val="00EB6A8B"/>
    <w:rsid w:val="00EF38C6"/>
    <w:rsid w:val="00FE3DC8"/>
    <w:rsid w:val="087C609E"/>
    <w:rsid w:val="0F5E20B4"/>
    <w:rsid w:val="178F5789"/>
    <w:rsid w:val="1AE4028A"/>
    <w:rsid w:val="1C870D60"/>
    <w:rsid w:val="209E6CDA"/>
    <w:rsid w:val="20BF0C96"/>
    <w:rsid w:val="21D73DBD"/>
    <w:rsid w:val="23CB16FF"/>
    <w:rsid w:val="26445799"/>
    <w:rsid w:val="395C627F"/>
    <w:rsid w:val="3D5C60A8"/>
    <w:rsid w:val="4F0A7C6D"/>
    <w:rsid w:val="54411B1D"/>
    <w:rsid w:val="552A29B7"/>
    <w:rsid w:val="554D7917"/>
    <w:rsid w:val="55C320D1"/>
    <w:rsid w:val="5D7E2D63"/>
    <w:rsid w:val="6AD52DA9"/>
    <w:rsid w:val="72166784"/>
    <w:rsid w:val="722A42DE"/>
    <w:rsid w:val="7A3806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9"/>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3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1"/>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unhideWhenUsed/>
    <w:qFormat/>
    <w:uiPriority w:val="1"/>
  </w:style>
  <w:style w:type="table" w:default="1" w:styleId="13">
    <w:name w:val="Normal Table"/>
    <w:unhideWhenUsed/>
    <w:qFormat/>
    <w:uiPriority w:val="99"/>
    <w:tblPr>
      <w:tblCellMar>
        <w:top w:w="0" w:type="dxa"/>
        <w:left w:w="108" w:type="dxa"/>
        <w:bottom w:w="0" w:type="dxa"/>
        <w:right w:w="108" w:type="dxa"/>
      </w:tblCellMar>
    </w:tblPr>
  </w:style>
  <w:style w:type="paragraph" w:styleId="6">
    <w:name w:val="Date"/>
    <w:basedOn w:val="1"/>
    <w:next w:val="1"/>
    <w:link w:val="33"/>
    <w:unhideWhenUsed/>
    <w:qFormat/>
    <w:uiPriority w:val="99"/>
    <w:pPr>
      <w:ind w:left="100" w:leftChars="2500"/>
    </w:pPr>
  </w:style>
  <w:style w:type="paragraph" w:styleId="7">
    <w:name w:val="Balloon Text"/>
    <w:basedOn w:val="1"/>
    <w:link w:val="21"/>
    <w:unhideWhenUsed/>
    <w:qFormat/>
    <w:uiPriority w:val="99"/>
    <w:rPr>
      <w:sz w:val="18"/>
      <w:szCs w:val="18"/>
    </w:rPr>
  </w:style>
  <w:style w:type="paragraph" w:styleId="8">
    <w:name w:val="footer"/>
    <w:basedOn w:val="1"/>
    <w:link w:val="1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3"/>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12">
    <w:name w:val="Title"/>
    <w:basedOn w:val="1"/>
    <w:next w:val="1"/>
    <w:link w:val="22"/>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4">
    <w:name w:val="Table Grid"/>
    <w:basedOn w:val="13"/>
    <w:qFormat/>
    <w:uiPriority w:val="1"/>
    <w:pPr>
      <w:spacing w:after="0" w:line="240" w:lineRule="auto"/>
    </w:pPr>
    <w:rPr>
      <w:kern w:val="0"/>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6">
    <w:name w:val="Hyperlink"/>
    <w:basedOn w:val="15"/>
    <w:qFormat/>
    <w:uiPriority w:val="0"/>
    <w:rPr>
      <w:color w:val="0000FF"/>
      <w:u w:val="single"/>
    </w:rPr>
  </w:style>
  <w:style w:type="character" w:customStyle="1" w:styleId="17">
    <w:name w:val="页眉 Char"/>
    <w:basedOn w:val="15"/>
    <w:link w:val="9"/>
    <w:qFormat/>
    <w:uiPriority w:val="99"/>
    <w:rPr>
      <w:sz w:val="18"/>
      <w:szCs w:val="18"/>
    </w:rPr>
  </w:style>
  <w:style w:type="character" w:customStyle="1" w:styleId="18">
    <w:name w:val="页脚 Char"/>
    <w:basedOn w:val="15"/>
    <w:link w:val="8"/>
    <w:qFormat/>
    <w:uiPriority w:val="99"/>
    <w:rPr>
      <w:sz w:val="18"/>
      <w:szCs w:val="18"/>
    </w:rPr>
  </w:style>
  <w:style w:type="paragraph" w:customStyle="1" w:styleId="19">
    <w:name w:val="No Spacing"/>
    <w:link w:val="20"/>
    <w:qFormat/>
    <w:uiPriority w:val="1"/>
    <w:pPr>
      <w:spacing w:after="160" w:line="480" w:lineRule="auto"/>
    </w:pPr>
    <w:rPr>
      <w:rFonts w:asciiTheme="minorHAnsi" w:hAnsiTheme="minorHAnsi" w:eastAsiaTheme="minorEastAsia" w:cstheme="minorBidi"/>
      <w:kern w:val="0"/>
      <w:sz w:val="22"/>
      <w:szCs w:val="22"/>
      <w:lang w:val="en-US" w:eastAsia="zh-CN" w:bidi="ar-SA"/>
    </w:rPr>
  </w:style>
  <w:style w:type="character" w:customStyle="1" w:styleId="20">
    <w:name w:val="无间隔 Char"/>
    <w:basedOn w:val="15"/>
    <w:link w:val="19"/>
    <w:qFormat/>
    <w:uiPriority w:val="1"/>
    <w:rPr>
      <w:kern w:val="0"/>
      <w:sz w:val="22"/>
    </w:rPr>
  </w:style>
  <w:style w:type="character" w:customStyle="1" w:styleId="21">
    <w:name w:val="批注框文本 Char"/>
    <w:basedOn w:val="15"/>
    <w:link w:val="7"/>
    <w:semiHidden/>
    <w:uiPriority w:val="99"/>
    <w:rPr>
      <w:rFonts w:ascii="Times New Roman" w:hAnsi="Times New Roman" w:eastAsia="宋体" w:cs="Times New Roman"/>
      <w:sz w:val="18"/>
      <w:szCs w:val="18"/>
    </w:rPr>
  </w:style>
  <w:style w:type="character" w:customStyle="1" w:styleId="22">
    <w:name w:val="标题 Char"/>
    <w:basedOn w:val="15"/>
    <w:link w:val="12"/>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3">
    <w:name w:val="副标题 Char"/>
    <w:basedOn w:val="15"/>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4">
    <w:name w:val="Style1"/>
    <w:basedOn w:val="15"/>
    <w:qFormat/>
    <w:uiPriority w:val="1"/>
    <w:rPr>
      <w:rFonts w:asciiTheme="minorHAnsi" w:hAnsiTheme="minorEastAsia" w:eastAsiaTheme="minorEastAsia" w:cstheme="minorBidi"/>
      <w:sz w:val="22"/>
      <w:szCs w:val="22"/>
      <w:lang w:eastAsia="zh-CN"/>
    </w:rPr>
  </w:style>
  <w:style w:type="character" w:customStyle="1" w:styleId="25">
    <w:name w:val="Style2"/>
    <w:basedOn w:val="15"/>
    <w:qFormat/>
    <w:uiPriority w:val="1"/>
    <w:rPr>
      <w:rFonts w:asciiTheme="minorHAnsi" w:hAnsiTheme="minorEastAsia" w:eastAsiaTheme="minorEastAsia" w:cstheme="minorBidi"/>
      <w:sz w:val="22"/>
      <w:szCs w:val="22"/>
      <w:lang w:eastAsia="zh-CN"/>
    </w:rPr>
  </w:style>
  <w:style w:type="character" w:customStyle="1" w:styleId="26">
    <w:name w:val="Style3"/>
    <w:basedOn w:val="15"/>
    <w:qFormat/>
    <w:uiPriority w:val="1"/>
    <w:rPr>
      <w:rFonts w:asciiTheme="minorHAnsi" w:hAnsiTheme="minorEastAsia" w:eastAsiaTheme="minorEastAsia" w:cstheme="minorBidi"/>
      <w:szCs w:val="22"/>
      <w:lang w:eastAsia="zh-CN"/>
    </w:rPr>
  </w:style>
  <w:style w:type="character" w:customStyle="1" w:styleId="27">
    <w:name w:val="Style4"/>
    <w:basedOn w:val="15"/>
    <w:qFormat/>
    <w:uiPriority w:val="1"/>
    <w:rPr>
      <w:rFonts w:asciiTheme="minorHAnsi" w:hAnsiTheme="minorEastAsia" w:eastAsiaTheme="minorEastAsia" w:cstheme="minorBidi"/>
      <w:szCs w:val="22"/>
      <w:lang w:eastAsia="zh-CN"/>
    </w:rPr>
  </w:style>
  <w:style w:type="character" w:customStyle="1" w:styleId="28">
    <w:name w:val="Style5"/>
    <w:basedOn w:val="15"/>
    <w:qFormat/>
    <w:uiPriority w:val="1"/>
    <w:rPr>
      <w:rFonts w:asciiTheme="minorHAnsi" w:hAnsiTheme="minorEastAsia" w:eastAsiaTheme="minorEastAsia" w:cstheme="minorBidi"/>
      <w:sz w:val="22"/>
      <w:szCs w:val="22"/>
      <w:lang w:eastAsia="zh-CN"/>
    </w:rPr>
  </w:style>
  <w:style w:type="character" w:customStyle="1" w:styleId="29">
    <w:name w:val="标题 1 Char"/>
    <w:basedOn w:val="15"/>
    <w:link w:val="2"/>
    <w:qFormat/>
    <w:uiPriority w:val="9"/>
    <w:rPr>
      <w:rFonts w:ascii="Times New Roman" w:hAnsi="Times New Roman" w:eastAsia="宋体" w:cs="Times New Roman"/>
      <w:b/>
      <w:bCs/>
      <w:kern w:val="44"/>
      <w:sz w:val="44"/>
      <w:szCs w:val="44"/>
    </w:rPr>
  </w:style>
  <w:style w:type="character" w:customStyle="1" w:styleId="30">
    <w:name w:val="标题 2 Char"/>
    <w:basedOn w:val="15"/>
    <w:link w:val="3"/>
    <w:qFormat/>
    <w:uiPriority w:val="9"/>
    <w:rPr>
      <w:rFonts w:asciiTheme="majorHAnsi" w:hAnsiTheme="majorHAnsi" w:eastAsiaTheme="majorEastAsia" w:cstheme="majorBidi"/>
      <w:b/>
      <w:bCs/>
      <w:sz w:val="32"/>
      <w:szCs w:val="32"/>
    </w:rPr>
  </w:style>
  <w:style w:type="character" w:customStyle="1" w:styleId="31">
    <w:name w:val="标题 3 Char"/>
    <w:basedOn w:val="15"/>
    <w:link w:val="4"/>
    <w:qFormat/>
    <w:uiPriority w:val="9"/>
    <w:rPr>
      <w:rFonts w:ascii="Times New Roman" w:hAnsi="Times New Roman" w:eastAsia="宋体" w:cs="Times New Roman"/>
      <w:b/>
      <w:bCs/>
      <w:sz w:val="32"/>
      <w:szCs w:val="32"/>
    </w:rPr>
  </w:style>
  <w:style w:type="character" w:customStyle="1" w:styleId="32">
    <w:name w:val="标题 4 Char"/>
    <w:basedOn w:val="15"/>
    <w:link w:val="5"/>
    <w:qFormat/>
    <w:uiPriority w:val="9"/>
    <w:rPr>
      <w:rFonts w:asciiTheme="majorHAnsi" w:hAnsiTheme="majorHAnsi" w:eastAsiaTheme="majorEastAsia" w:cstheme="majorBidi"/>
      <w:b/>
      <w:bCs/>
      <w:sz w:val="28"/>
      <w:szCs w:val="28"/>
    </w:rPr>
  </w:style>
  <w:style w:type="character" w:customStyle="1" w:styleId="33">
    <w:name w:val="日期 Char"/>
    <w:basedOn w:val="15"/>
    <w:link w:val="6"/>
    <w:semiHidden/>
    <w:qFormat/>
    <w:uiPriority w:val="99"/>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defTabSz="914400">
              <a:defRPr lang="zh-CN" sz="1400" b="0" i="0" u="none" strike="noStrike" kern="1200" spc="0" baseline="0">
                <a:solidFill>
                  <a:schemeClr val="tx1">
                    <a:lumMod val="65000"/>
                    <a:lumOff val="35000"/>
                  </a:schemeClr>
                </a:solidFill>
                <a:latin typeface="+mn-lt"/>
                <a:ea typeface="+mn-ea"/>
                <a:cs typeface="+mn-cs"/>
              </a:defRPr>
            </a:pPr>
            <a:r>
              <a:t>收入决算</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a:effectLst/>
          </c:spPr>
          <c:explosion val="0"/>
          <c:dPt>
            <c:idx val="0"/>
            <c:bubble3D val="0"/>
            <c:explosion val="0"/>
            <c:spPr>
              <a:solidFill>
                <a:schemeClr val="accent1">
                  <a:tint val="100000"/>
                  <a:shade val="100000"/>
                  <a:hueMod val="100000"/>
                  <a:satMod val="100000"/>
                </a:schemeClr>
              </a:solidFill>
              <a:ln w="19050">
                <a:solidFill>
                  <a:schemeClr val="lt1"/>
                </a:solidFill>
              </a:ln>
              <a:effectLst/>
            </c:spPr>
          </c:dPt>
          <c:dPt>
            <c:idx val="1"/>
            <c:bubble3D val="0"/>
            <c:explosion val="0"/>
            <c:spPr>
              <a:solidFill>
                <a:schemeClr val="accent2">
                  <a:tint val="100000"/>
                  <a:shade val="100000"/>
                  <a:hueMod val="100000"/>
                  <a:satMod val="100000"/>
                </a:schemeClr>
              </a:solidFill>
              <a:ln w="19050">
                <a:solidFill>
                  <a:schemeClr val="lt1"/>
                </a:solidFill>
              </a:ln>
              <a:effectLst/>
            </c:spPr>
          </c:dPt>
          <c:dPt>
            <c:idx val="2"/>
            <c:bubble3D val="0"/>
            <c:explosion val="0"/>
            <c:spPr>
              <a:solidFill>
                <a:schemeClr val="accent3">
                  <a:tint val="100000"/>
                  <a:shade val="100000"/>
                  <a:hueMod val="100000"/>
                  <a:satMod val="100000"/>
                </a:schemeClr>
              </a:solidFill>
              <a:ln w="19050">
                <a:solidFill>
                  <a:schemeClr val="lt1"/>
                </a:solidFill>
              </a:ln>
              <a:effectLst/>
            </c:spPr>
          </c:dPt>
          <c:dPt>
            <c:idx val="3"/>
            <c:bubble3D val="0"/>
            <c:explosion val="0"/>
            <c:spPr>
              <a:solidFill>
                <a:schemeClr val="accent4">
                  <a:tint val="100000"/>
                  <a:shade val="100000"/>
                  <a:hueMod val="100000"/>
                  <a:satMod val="100000"/>
                </a:schemeClr>
              </a:solidFill>
              <a:ln w="19050">
                <a:solidFill>
                  <a:schemeClr val="lt1"/>
                </a:solidFill>
              </a:ln>
              <a:effectLst/>
            </c:spPr>
          </c:dPt>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c:v>
                </c:pt>
                <c:pt idx="1">
                  <c:v>事业收入</c:v>
                </c:pt>
                <c:pt idx="2">
                  <c:v>经营收入</c:v>
                </c:pt>
                <c:pt idx="3">
                  <c:v>其他收入</c:v>
                </c:pt>
              </c:strCache>
            </c:strRef>
          </c:cat>
          <c:val>
            <c:numRef>
              <c:f>Sheet1!$B$2:$B$5</c:f>
              <c:numCache>
                <c:formatCode>General</c:formatCode>
                <c:ptCount val="4"/>
                <c:pt idx="0">
                  <c:v>10</c:v>
                </c:pt>
                <c:pt idx="1">
                  <c:v>0</c:v>
                </c:pt>
                <c:pt idx="2">
                  <c:v>0</c:v>
                </c:pt>
                <c:pt idx="3">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0"/>
        <c:txPr>
          <a:bodyPr rot="0" spcFirstLastPara="0" vertOverflow="ellipsis" horzOverflow="overflow" vert="horz" wrap="square" anchor="ctr" anchorCtr="1"/>
          <a:lstStyle/>
          <a:p>
            <a:pPr>
              <a:defRPr lang="zh-CN" sz="900" b="0" i="0" u="none" strike="noStrike" kern="1200" baseline="0">
                <a:solidFill>
                  <a:schemeClr val="dk1"/>
                </a:solidFill>
                <a:latin typeface="+mn-lt"/>
                <a:ea typeface="+mn-ea"/>
                <a:cs typeface="+mn-cs"/>
              </a:defRPr>
            </a:pPr>
          </a:p>
        </c:txPr>
      </c:legendEntry>
      <c:legendEntry>
        <c:idx val="1"/>
        <c:txPr>
          <a:bodyPr rot="0" spcFirstLastPara="0" vertOverflow="ellipsis" horzOverflow="overflow" vert="horz" wrap="square" anchor="ctr" anchorCtr="1"/>
          <a:lstStyle/>
          <a:p>
            <a:pPr>
              <a:defRPr lang="zh-CN" sz="900" b="0" i="0" u="none" strike="noStrike" kern="1200" baseline="0">
                <a:solidFill>
                  <a:schemeClr val="dk1"/>
                </a:solidFill>
                <a:latin typeface="+mn-lt"/>
                <a:ea typeface="+mn-ea"/>
                <a:cs typeface="+mn-cs"/>
              </a:defRPr>
            </a:pPr>
          </a:p>
        </c:txPr>
      </c:legendEntry>
      <c:legendEntry>
        <c:idx val="2"/>
        <c:txPr>
          <a:bodyPr rot="0" spcFirstLastPara="0" vertOverflow="ellipsis" horzOverflow="overflow" vert="horz" wrap="square" anchor="ctr" anchorCtr="1"/>
          <a:lstStyle/>
          <a:p>
            <a:pPr>
              <a:defRPr lang="zh-CN" sz="900" b="0" i="0" u="none" strike="noStrike" kern="1200" baseline="0">
                <a:solidFill>
                  <a:schemeClr val="dk1"/>
                </a:solidFill>
                <a:latin typeface="+mn-lt"/>
                <a:ea typeface="+mn-ea"/>
                <a:cs typeface="+mn-cs"/>
              </a:defRPr>
            </a:pPr>
          </a:p>
        </c:txPr>
      </c:legendEntry>
      <c:legendEntry>
        <c:idx val="3"/>
        <c:txPr>
          <a:bodyPr rot="0" spcFirstLastPara="0" vertOverflow="ellipsis" horzOverflow="overflow" vert="horz" wrap="square" anchor="ctr" anchorCtr="1"/>
          <a:lstStyle/>
          <a:p>
            <a:pPr>
              <a:defRPr lang="zh-CN" sz="900" b="0" i="0" u="none" strike="noStrike" kern="1200" baseline="0">
                <a:solidFill>
                  <a:schemeClr val="dk1"/>
                </a:solidFill>
                <a:latin typeface="+mn-lt"/>
                <a:ea typeface="+mn-ea"/>
                <a:cs typeface="+mn-cs"/>
              </a:defRPr>
            </a:pPr>
          </a:p>
        </c:txPr>
      </c:legendEntry>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dk1"/>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defTabSz="914400">
              <a:defRPr lang="zh-CN" sz="1400" b="0" i="0" u="none" strike="noStrike" kern="1200" spc="0" baseline="0">
                <a:solidFill>
                  <a:schemeClr val="tx1">
                    <a:lumMod val="65000"/>
                    <a:lumOff val="35000"/>
                  </a:schemeClr>
                </a:solidFill>
                <a:latin typeface="+mn-lt"/>
                <a:ea typeface="+mn-ea"/>
                <a:cs typeface="+mn-cs"/>
              </a:defRPr>
            </a:pPr>
            <a:r>
              <a:t>支出决算</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a:effectLst/>
          </c:spPr>
          <c:explosion val="0"/>
          <c:dPt>
            <c:idx val="0"/>
            <c:bubble3D val="0"/>
            <c:explosion val="0"/>
            <c:spPr>
              <a:solidFill>
                <a:schemeClr val="accent1">
                  <a:tint val="100000"/>
                  <a:shade val="100000"/>
                  <a:hueMod val="100000"/>
                  <a:satMod val="100000"/>
                </a:schemeClr>
              </a:solidFill>
              <a:ln w="19050">
                <a:solidFill>
                  <a:schemeClr val="lt1"/>
                </a:solidFill>
              </a:ln>
              <a:effectLst/>
            </c:spPr>
          </c:dPt>
          <c:dPt>
            <c:idx val="1"/>
            <c:bubble3D val="0"/>
            <c:explosion val="0"/>
            <c:spPr>
              <a:solidFill>
                <a:schemeClr val="accent2">
                  <a:tint val="100000"/>
                  <a:shade val="100000"/>
                  <a:hueMod val="100000"/>
                  <a:satMod val="100000"/>
                </a:schemeClr>
              </a:solidFill>
              <a:ln w="19050">
                <a:solidFill>
                  <a:schemeClr val="lt1"/>
                </a:solidFill>
              </a:ln>
              <a:effectLst/>
            </c:spPr>
          </c:dPt>
          <c:dPt>
            <c:idx val="2"/>
            <c:bubble3D val="0"/>
            <c:explosion val="0"/>
            <c:spPr>
              <a:solidFill>
                <a:schemeClr val="accent3">
                  <a:tint val="100000"/>
                  <a:shade val="100000"/>
                  <a:hueMod val="100000"/>
                  <a:satMod val="100000"/>
                </a:schemeClr>
              </a:solidFill>
              <a:ln w="19050">
                <a:solidFill>
                  <a:schemeClr val="lt1"/>
                </a:solidFill>
              </a:ln>
              <a:effectLst/>
            </c:spPr>
          </c:dPt>
          <c:dPt>
            <c:idx val="3"/>
            <c:bubble3D val="0"/>
            <c:explosion val="0"/>
            <c:spPr>
              <a:solidFill>
                <a:schemeClr val="accent4">
                  <a:tint val="100000"/>
                  <a:shade val="100000"/>
                  <a:hueMod val="100000"/>
                  <a:satMod val="100000"/>
                </a:schemeClr>
              </a:solidFill>
              <a:ln w="19050">
                <a:solidFill>
                  <a:schemeClr val="lt1"/>
                </a:solidFill>
              </a:ln>
              <a:effectLst/>
            </c:spPr>
          </c:dPt>
          <c:dLbls>
            <c:delete val="1"/>
          </c:dLbls>
          <c:cat>
            <c:strRef>
              <c:f>Sheet1!$A$2:$A$5</c:f>
              <c:strCache>
                <c:ptCount val="4"/>
                <c:pt idx="0">
                  <c:v>基本支出</c:v>
                </c:pt>
                <c:pt idx="1">
                  <c:v>项目支出</c:v>
                </c:pt>
                <c:pt idx="2">
                  <c:v>经营支出</c:v>
                </c:pt>
              </c:strCache>
            </c:strRef>
          </c:cat>
          <c:val>
            <c:numRef>
              <c:f>Sheet1!$B$2:$B$5</c:f>
              <c:numCache>
                <c:formatCode>General</c:formatCode>
                <c:ptCount val="4"/>
                <c:pt idx="0">
                  <c:v>7.456</c:v>
                </c:pt>
                <c:pt idx="1">
                  <c:v>2.554</c:v>
                </c:pt>
                <c:pt idx="2">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datastoreItem>
</file>

<file path=customXml/itemProps2.xml><?xml version="1.0" encoding="utf-8"?>
<ds:datastoreItem xmlns:ds="http://schemas.openxmlformats.org/officeDocument/2006/customXml" ds:itemID="{14D3A527-2CFD-4B4B-9633-E37B1F7D2C64}">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4600</Words>
  <Characters>4947</Characters>
  <Lines>42</Lines>
  <Paragraphs>12</Paragraphs>
  <TotalTime>970</TotalTime>
  <ScaleCrop>false</ScaleCrop>
  <LinksUpToDate>false</LinksUpToDate>
  <CharactersWithSpaces>4990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2019-01-22T07:39:00Z</dcterms:created>
  <dc:creator>User</dc:creator>
  <cp:lastModifiedBy>平凡</cp:lastModifiedBy>
  <dcterms:modified xsi:type="dcterms:W3CDTF">2023-06-29T01:17:38Z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74EEACA99E704D2794EA7E412D16FF35_13</vt:lpwstr>
  </property>
</Properties>
</file>