
<file path=[Content_Types].xml><?xml version="1.0" encoding="utf-8"?>
<Types xmlns="http://schemas.openxmlformats.org/package/2006/content-types">
  <Default Extension="xml" ContentType="application/xml"/>
  <Default Extension="xlsx" ContentType="application/vnd.openxmlformats-officedocument.spreadsheetml.sheet"/>
  <Default Extension="emf" ContentType="image/x-emf"/>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pgBorders>
            <w:top w:val="none" w:sz="0" w:space="0"/>
            <w:left w:val="none" w:sz="0" w:space="0"/>
            <w:bottom w:val="none" w:sz="0" w:space="0"/>
            <w:right w:val="none" w:sz="0" w:space="0"/>
          </w:pgBorders>
          <w:cols w:space="425" w:num="1"/>
          <w:titlePg/>
          <w:docGrid w:type="lines"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1312;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2336"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2336;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7456"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49024;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石家庄市鹿泉区妇女联合会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8480"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8480;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00" w:lineRule="exact"/>
        <w:ind w:firstLine="620"/>
        <w:rPr>
          <w:rFonts w:hint="eastAsia" w:ascii="仿宋_GB2312" w:eastAsia="仿宋_GB2312"/>
          <w:sz w:val="32"/>
          <w:szCs w:val="32"/>
          <w:lang w:val="en-US" w:eastAsia="zh-CN"/>
        </w:rPr>
      </w:pPr>
      <w:r>
        <w:rPr>
          <w:rFonts w:hint="eastAsia" w:ascii="仿宋_GB2312" w:eastAsia="仿宋_GB2312"/>
          <w:sz w:val="32"/>
          <w:szCs w:val="32"/>
          <w:lang w:val="en-US" w:eastAsia="zh-CN"/>
        </w:rPr>
        <w:t>1、</w:t>
      </w:r>
      <w:r>
        <w:rPr>
          <w:rFonts w:hint="eastAsia" w:ascii="仿宋_GB2312" w:eastAsia="仿宋_GB2312"/>
          <w:sz w:val="32"/>
          <w:szCs w:val="32"/>
        </w:rPr>
        <w:t>团结动员妇女参加经济社会建设。完成区委区政府交办的工作任务，全区妇女精神面貌有较大改观，创业就业能力逐步增强，素质得到全面提升。基层组织各项建设得到</w:t>
      </w:r>
      <w:r>
        <w:rPr>
          <w:rFonts w:hint="eastAsia" w:ascii="仿宋_GB2312" w:eastAsia="仿宋_GB2312"/>
          <w:sz w:val="32"/>
          <w:szCs w:val="32"/>
          <w:lang w:val="en-US" w:eastAsia="zh-CN"/>
        </w:rPr>
        <w:t>加强，农村“两委”中女性成员比例提高，妇联干部工作能力和水平提高；提高妇女科技素质和农业经营管理能力，促进妇女创业就业。</w:t>
      </w:r>
    </w:p>
    <w:p>
      <w:pPr>
        <w:spacing w:line="500" w:lineRule="exact"/>
        <w:ind w:firstLine="620"/>
        <w:rPr>
          <w:rFonts w:hint="eastAsia" w:ascii="仿宋_GB2312" w:eastAsia="仿宋_GB2312"/>
          <w:sz w:val="32"/>
          <w:szCs w:val="32"/>
          <w:lang w:val="en-US" w:eastAsia="zh-CN"/>
        </w:rPr>
      </w:pPr>
      <w:r>
        <w:rPr>
          <w:rFonts w:hint="eastAsia" w:ascii="仿宋_GB2312" w:eastAsia="仿宋_GB2312"/>
          <w:sz w:val="32"/>
          <w:szCs w:val="32"/>
          <w:lang w:val="en-US" w:eastAsia="zh-CN"/>
        </w:rPr>
        <w:t>2、维护妇女儿童合法权益促进妇女儿童发展。帮助权益受到侵害的妇女儿童解决困难和问题，提高广大妇女儿童的维权意识和维权能力，有效维护妇女儿童合法权益；规范妇女信访秩序，促进社会和谐稳定。</w:t>
      </w:r>
    </w:p>
    <w:p>
      <w:pPr>
        <w:spacing w:line="500" w:lineRule="exact"/>
        <w:ind w:firstLine="620"/>
        <w:rPr>
          <w:rFonts w:hint="eastAsia" w:ascii="仿宋_GB2312" w:eastAsia="仿宋_GB2312"/>
          <w:sz w:val="32"/>
          <w:szCs w:val="32"/>
          <w:lang w:val="en-US" w:eastAsia="zh-CN"/>
        </w:rPr>
      </w:pPr>
      <w:r>
        <w:rPr>
          <w:rFonts w:hint="eastAsia" w:ascii="仿宋_GB2312" w:eastAsia="仿宋_GB2312"/>
          <w:sz w:val="32"/>
          <w:szCs w:val="32"/>
          <w:lang w:val="en-US" w:eastAsia="zh-CN"/>
        </w:rPr>
        <w:t>3、服务广大妇女儿童。为社会广大妇女儿童服务，关爱儿童健康、教育、生活、平安。</w:t>
      </w:r>
    </w:p>
    <w:p>
      <w:pPr>
        <w:spacing w:line="500" w:lineRule="exact"/>
        <w:ind w:firstLine="62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4、强化妇联干部队伍素质培训。继续深化实施素质提升培训计划围绕本地实际开展妇联干部轮训，实现多层次、多领域、多方位的教育培训，不断提升妇联干部主动适应新常态、创新发展妇联工作的能力和水平。     </w:t>
      </w:r>
    </w:p>
    <w:p>
      <w:pPr>
        <w:spacing w:line="500" w:lineRule="exact"/>
        <w:ind w:firstLine="620"/>
        <w:rPr>
          <w:rFonts w:hint="eastAsia" w:ascii="仿宋_GB2312" w:eastAsia="仿宋_GB2312"/>
          <w:sz w:val="32"/>
          <w:szCs w:val="32"/>
          <w:highlight w:val="none"/>
          <w:lang w:val="en-US" w:eastAsia="zh-CN"/>
        </w:rPr>
      </w:pPr>
      <w:r>
        <w:rPr>
          <w:rFonts w:hint="eastAsia" w:ascii="仿宋_GB2312" w:eastAsia="仿宋_GB2312"/>
          <w:sz w:val="32"/>
          <w:szCs w:val="32"/>
          <w:lang w:val="en-US" w:eastAsia="zh-CN"/>
        </w:rPr>
        <w:t>5、注重从源头上推动解决妇女儿童权益重点难点问题。深入研究农村改革中农村妇女权益保障问题, 及时提出意见建议,在农村土地确权登记颁证工作中维护好农村妇女权益；认真研究实施全面两孩政策带来的新情况, 推动解决妇女就业等方面出现的新问题，为妇女更好平衡工作和家庭关系创造有利条件。积极推进妇女儿童两个规划实施，做好中期监测评估，迎接上级妇儿委对我区中期评估督导；加大协调推进力度，争取在新生儿出生缺陷干预</w:t>
      </w:r>
      <w:r>
        <w:rPr>
          <w:rFonts w:hint="eastAsia" w:ascii="仿宋_GB2312" w:eastAsia="仿宋_GB2312"/>
          <w:sz w:val="32"/>
          <w:szCs w:val="32"/>
          <w:highlight w:val="none"/>
          <w:lang w:val="en-US" w:eastAsia="zh-CN"/>
        </w:rPr>
        <w:t>等重难点指标上实现突破，推动将普惠妇女儿童的实施项目纳入政府民生工程。</w:t>
      </w:r>
    </w:p>
    <w:p>
      <w:pPr>
        <w:spacing w:line="500" w:lineRule="exact"/>
        <w:ind w:firstLine="620"/>
        <w:rPr>
          <w:rFonts w:hint="eastAsia" w:ascii="仿宋_GB2312" w:eastAsia="仿宋_GB2312" w:cs="ArialUnicodeMS" w:hAnsiTheme="minorHAnsi"/>
          <w:kern w:val="0"/>
          <w:sz w:val="32"/>
          <w:szCs w:val="32"/>
          <w:highlight w:val="yellow"/>
        </w:rPr>
      </w:pPr>
      <w:r>
        <w:rPr>
          <w:rFonts w:hint="eastAsia" w:ascii="仿宋_GB2312" w:eastAsia="仿宋_GB2312"/>
          <w:sz w:val="32"/>
          <w:szCs w:val="32"/>
          <w:highlight w:val="none"/>
          <w:lang w:val="en-US" w:eastAsia="zh-CN"/>
        </w:rPr>
        <w:t>6、注重法制宣传教育和</w:t>
      </w:r>
      <w:r>
        <w:rPr>
          <w:rFonts w:hint="eastAsia" w:ascii="仿宋_GB2312" w:eastAsia="仿宋_GB2312"/>
          <w:sz w:val="32"/>
          <w:szCs w:val="32"/>
          <w:lang w:val="en-US" w:eastAsia="zh-CN"/>
        </w:rPr>
        <w:t>服务。大力宣传反家庭暴力法，让学法、守法、尊法、用法成为妇女的自觉行动。持续开展“建设法治中国·巾帼在行动”活动, 扎实做好普法宣传、矛盾排查、心理疏导、纠纷调解、信访代理、法律帮助、困难帮扶等服务, 进一步探索承接政府转移出来的涉及妇女儿童和家庭的公共服务, 加大对年轻女性、老龄妇女、困境儿童等群体的帮扶力度。</w:t>
      </w:r>
    </w:p>
    <w:p>
      <w:pPr>
        <w:keepNext/>
        <w:keepLines/>
        <w:spacing w:line="580" w:lineRule="exact"/>
        <w:ind w:firstLine="640" w:firstLineChars="200"/>
        <w:jc w:val="left"/>
        <w:outlineLvl w:val="0"/>
        <w:rPr>
          <w:rFonts w:hint="eastAsia" w:ascii="黑体" w:hAnsi="Calibri" w:eastAsia="黑体" w:cs="黑体"/>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个，具体情况如下：</w:t>
      </w: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7"/>
        <w:gridCol w:w="3663"/>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0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663"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07" w:type="dxa"/>
            <w:vAlign w:val="top"/>
          </w:tcPr>
          <w:p>
            <w:pPr>
              <w:spacing w:after="0" w:line="560" w:lineRule="exact"/>
              <w:jc w:val="center"/>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rPr>
              <w:t>1</w:t>
            </w:r>
          </w:p>
        </w:tc>
        <w:tc>
          <w:tcPr>
            <w:tcW w:w="3663" w:type="dxa"/>
            <w:vAlign w:val="top"/>
          </w:tcPr>
          <w:p>
            <w:pPr>
              <w:spacing w:after="0" w:line="560" w:lineRule="exact"/>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lang w:eastAsia="zh-CN"/>
              </w:rPr>
              <w:t>石家庄市鹿泉区妇女联合会</w:t>
            </w:r>
          </w:p>
        </w:tc>
        <w:tc>
          <w:tcPr>
            <w:tcW w:w="2445" w:type="dxa"/>
            <w:vAlign w:val="top"/>
          </w:tcPr>
          <w:p>
            <w:pPr>
              <w:spacing w:after="0" w:line="560" w:lineRule="exact"/>
              <w:jc w:val="center"/>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lang w:eastAsia="zh-CN"/>
              </w:rPr>
              <w:t>行政单位</w:t>
            </w:r>
          </w:p>
        </w:tc>
        <w:tc>
          <w:tcPr>
            <w:tcW w:w="2665" w:type="dxa"/>
            <w:vAlign w:val="top"/>
          </w:tcPr>
          <w:p>
            <w:pPr>
              <w:spacing w:after="0" w:line="560" w:lineRule="exact"/>
              <w:jc w:val="center"/>
              <w:rPr>
                <w:rFonts w:ascii="仿宋_GB2312" w:hAnsi="Calibri" w:eastAsia="仿宋_GB2312" w:cs="ArialUnicodeMS"/>
                <w:kern w:val="0"/>
                <w:sz w:val="28"/>
                <w:szCs w:val="28"/>
              </w:rPr>
            </w:pPr>
            <w:r>
              <w:rPr>
                <w:rFonts w:hint="eastAsia" w:ascii="仿宋_GB2312" w:eastAsia="仿宋_GB2312" w:cs="ArialUnicodeMS" w:hAnsiTheme="minorHAnsi"/>
                <w:kern w:val="0"/>
                <w:sz w:val="28"/>
                <w:szCs w:val="28"/>
                <w:lang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Borders>
            <w:top w:val="none" w:sz="0" w:space="0"/>
            <w:left w:val="none" w:sz="0" w:space="0"/>
            <w:bottom w:val="none" w:sz="0" w:space="0"/>
            <w:right w:val="none" w:sz="0" w:space="0"/>
          </w:pgBorders>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950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70528"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70528;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w:t>
      </w:r>
      <w:r>
        <w:rPr>
          <w:rFonts w:hint="eastAsia" w:ascii="仿宋_GB2312" w:hAnsi="Times New Roman" w:eastAsia="仿宋_GB2312" w:cs="DengXian-Regular"/>
          <w:sz w:val="32"/>
          <w:szCs w:val="32"/>
          <w:lang w:val="en-US" w:eastAsia="zh-CN"/>
        </w:rPr>
        <w:t>249.2</w:t>
      </w:r>
      <w:r>
        <w:rPr>
          <w:rFonts w:hint="eastAsia" w:ascii="仿宋_GB2312" w:hAnsi="Times New Roman" w:eastAsia="仿宋_GB2312" w:cs="DengXian-Regular"/>
          <w:sz w:val="32"/>
          <w:szCs w:val="32"/>
        </w:rPr>
        <w:t>万元。与2018年度决算相比，收支各增加</w:t>
      </w:r>
      <w:r>
        <w:rPr>
          <w:rFonts w:hint="eastAsia" w:ascii="仿宋_GB2312" w:hAnsi="Times New Roman" w:eastAsia="仿宋_GB2312" w:cs="DengXian-Regular"/>
          <w:sz w:val="32"/>
          <w:szCs w:val="32"/>
          <w:lang w:val="en-US" w:eastAsia="zh-CN"/>
        </w:rPr>
        <w:t>26.26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10.54</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人员工资增加、项目支出增加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242.54</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239.43</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98.72</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3.11</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1.28</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6672" behindDoc="0" locked="0" layoutInCell="1" allowOverlap="1">
            <wp:simplePos x="0" y="0"/>
            <wp:positionH relativeFrom="column">
              <wp:posOffset>421005</wp:posOffset>
            </wp:positionH>
            <wp:positionV relativeFrom="paragraph">
              <wp:posOffset>51435</wp:posOffset>
            </wp:positionV>
            <wp:extent cx="3706495" cy="1947545"/>
            <wp:effectExtent l="4445" t="4445" r="22860" b="10160"/>
            <wp:wrapNone/>
            <wp:docPr id="34" name="图表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240.59</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135.89</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56.48</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104.70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43.52</w:t>
      </w:r>
      <w:r>
        <w:rPr>
          <w:rFonts w:hint="eastAsia" w:ascii="仿宋_GB2312" w:hAnsi="Times New Roman" w:eastAsia="仿宋_GB2312" w:cs="DengXian-Regular"/>
          <w:sz w:val="32"/>
          <w:szCs w:val="32"/>
        </w:rPr>
        <w:t>%；。如图所示：</w:t>
      </w:r>
    </w:p>
    <w:p>
      <w:pPr>
        <w:adjustRightInd w:val="0"/>
        <w:snapToGrid w:val="0"/>
        <w:spacing w:line="580" w:lineRule="exact"/>
        <w:ind w:firstLine="1920" w:firstLineChars="6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lang w:eastAsia="zh-CN"/>
        </w:rPr>
        <w:drawing>
          <wp:anchor distT="0" distB="0" distL="114300" distR="114300" simplePos="0" relativeHeight="251675648" behindDoc="0" locked="0" layoutInCell="1" allowOverlap="1">
            <wp:simplePos x="0" y="0"/>
            <wp:positionH relativeFrom="column">
              <wp:posOffset>504190</wp:posOffset>
            </wp:positionH>
            <wp:positionV relativeFrom="paragraph">
              <wp:posOffset>15875</wp:posOffset>
            </wp:positionV>
            <wp:extent cx="3811905" cy="2117725"/>
            <wp:effectExtent l="4445" t="4445" r="12700" b="11430"/>
            <wp:wrapNone/>
            <wp:docPr id="32" name="图表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pPr>
        <w:keepNext/>
        <w:keepLines/>
        <w:snapToGrid w:val="0"/>
        <w:spacing w:line="580" w:lineRule="exact"/>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215.38</w:t>
      </w:r>
      <w:r>
        <w:rPr>
          <w:rFonts w:hint="eastAsia" w:ascii="仿宋_GB2312" w:hAnsi="Times New Roman" w:eastAsia="仿宋_GB2312" w:cs="DengXian-Regular"/>
          <w:sz w:val="32"/>
          <w:szCs w:val="32"/>
        </w:rPr>
        <w:t>万元,比2018年度减少</w:t>
      </w:r>
      <w:r>
        <w:rPr>
          <w:rFonts w:hint="eastAsia" w:ascii="仿宋_GB2312" w:hAnsi="Times New Roman" w:eastAsia="仿宋_GB2312" w:cs="DengXian-Regular"/>
          <w:sz w:val="32"/>
          <w:szCs w:val="32"/>
          <w:lang w:val="en-US" w:eastAsia="zh-CN"/>
        </w:rPr>
        <w:t>3.75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1.75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人员退休</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237.48</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1.79</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3.28</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结余结转资金支出</w:t>
      </w:r>
      <w:r>
        <w:rPr>
          <w:rFonts w:hint="eastAsia" w:ascii="仿宋_GB2312" w:hAnsi="Times New Roman" w:eastAsia="仿宋_GB2312" w:cs="DengXian-Regular"/>
          <w:sz w:val="32"/>
          <w:szCs w:val="32"/>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none"/>
        </w:rPr>
      </w:pPr>
      <w:r>
        <w:rPr>
          <w:rFonts w:hint="eastAsia" w:ascii="仿宋_GB2312" w:hAnsi="Times New Roman" w:eastAsia="仿宋_GB2312" w:cs="DengXian-Regular"/>
          <w:sz w:val="32"/>
          <w:szCs w:val="32"/>
          <w:highlight w:val="none"/>
        </w:rPr>
        <w:t>本部门2019年度一般公共预算财政拨款收入</w:t>
      </w:r>
      <w:r>
        <w:rPr>
          <w:rFonts w:hint="eastAsia" w:ascii="仿宋_GB2312" w:hAnsi="Times New Roman" w:eastAsia="仿宋_GB2312" w:cs="DengXian-Regular"/>
          <w:sz w:val="32"/>
          <w:szCs w:val="32"/>
          <w:highlight w:val="none"/>
          <w:lang w:val="en-US" w:eastAsia="zh-CN"/>
        </w:rPr>
        <w:t>239.43</w:t>
      </w:r>
      <w:r>
        <w:rPr>
          <w:rFonts w:hint="eastAsia" w:ascii="仿宋_GB2312" w:hAnsi="Times New Roman" w:eastAsia="仿宋_GB2312" w:cs="DengXian-Regular"/>
          <w:sz w:val="32"/>
          <w:szCs w:val="32"/>
          <w:highlight w:val="none"/>
        </w:rPr>
        <w:t>万元，完成年初预算的</w:t>
      </w:r>
      <w:r>
        <w:rPr>
          <w:rFonts w:hint="eastAsia" w:ascii="仿宋_GB2312" w:hAnsi="Times New Roman" w:eastAsia="仿宋_GB2312" w:cs="DengXian-Regular"/>
          <w:sz w:val="32"/>
          <w:szCs w:val="32"/>
          <w:highlight w:val="none"/>
          <w:lang w:val="en-US" w:eastAsia="zh-CN"/>
        </w:rPr>
        <w:t>121.92</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13.04</w:t>
      </w:r>
      <w:r>
        <w:rPr>
          <w:rFonts w:hint="eastAsia" w:ascii="仿宋_GB2312" w:hAnsi="Times New Roman" w:eastAsia="仿宋_GB2312" w:cs="DengXian-Regular"/>
          <w:sz w:val="32"/>
          <w:szCs w:val="32"/>
          <w:highlight w:val="none"/>
        </w:rPr>
        <w:t>万元，决算数大于预算数主要原因是</w:t>
      </w:r>
      <w:r>
        <w:rPr>
          <w:rFonts w:hint="eastAsia" w:ascii="仿宋_GB2312" w:hAnsi="Times New Roman" w:eastAsia="仿宋_GB2312" w:cs="DengXian-Regular"/>
          <w:sz w:val="32"/>
          <w:szCs w:val="32"/>
          <w:highlight w:val="none"/>
          <w:lang w:val="en-US" w:eastAsia="zh-CN"/>
        </w:rPr>
        <w:t>增加省、市级项目支出</w:t>
      </w:r>
      <w:r>
        <w:rPr>
          <w:rFonts w:hint="eastAsia" w:ascii="仿宋_GB2312" w:hAnsi="Times New Roman" w:eastAsia="仿宋_GB2312" w:cs="DengXian-Regular"/>
          <w:sz w:val="32"/>
          <w:szCs w:val="32"/>
          <w:highlight w:val="none"/>
        </w:rPr>
        <w:t>；本年支出</w:t>
      </w:r>
      <w:r>
        <w:rPr>
          <w:rFonts w:hint="eastAsia" w:ascii="仿宋_GB2312" w:hAnsi="Times New Roman" w:eastAsia="仿宋_GB2312" w:cs="DengXian-Regular"/>
          <w:sz w:val="32"/>
          <w:szCs w:val="32"/>
          <w:highlight w:val="none"/>
          <w:lang w:val="en-US" w:eastAsia="zh-CN"/>
        </w:rPr>
        <w:t>215.38</w:t>
      </w:r>
      <w:r>
        <w:rPr>
          <w:rFonts w:hint="eastAsia" w:ascii="仿宋_GB2312" w:hAnsi="Times New Roman" w:eastAsia="仿宋_GB2312" w:cs="DengXian-Regular"/>
          <w:sz w:val="32"/>
          <w:szCs w:val="32"/>
          <w:highlight w:val="none"/>
        </w:rPr>
        <w:t>万元，完成年初预算的</w:t>
      </w:r>
      <w:r>
        <w:rPr>
          <w:rFonts w:hint="eastAsia" w:ascii="仿宋_GB2312" w:hAnsi="Times New Roman" w:eastAsia="仿宋_GB2312" w:cs="DengXian-Regular"/>
          <w:sz w:val="32"/>
          <w:szCs w:val="32"/>
          <w:highlight w:val="none"/>
          <w:lang w:val="en-US" w:eastAsia="zh-CN"/>
        </w:rPr>
        <w:t>109.67</w:t>
      </w:r>
      <w:r>
        <w:rPr>
          <w:rFonts w:hint="eastAsia" w:ascii="仿宋_GB2312" w:hAnsi="Times New Roman" w:eastAsia="仿宋_GB2312" w:cs="DengXian-Regular"/>
          <w:sz w:val="32"/>
          <w:szCs w:val="32"/>
          <w:highlight w:val="none"/>
        </w:rPr>
        <w:t>%,比年初预算增加</w:t>
      </w:r>
      <w:r>
        <w:rPr>
          <w:rFonts w:hint="eastAsia" w:ascii="仿宋_GB2312" w:hAnsi="Times New Roman" w:eastAsia="仿宋_GB2312" w:cs="DengXian-Regular"/>
          <w:sz w:val="32"/>
          <w:szCs w:val="32"/>
          <w:highlight w:val="none"/>
          <w:lang w:val="en-US" w:eastAsia="zh-CN"/>
        </w:rPr>
        <w:t>18.99</w:t>
      </w:r>
      <w:r>
        <w:rPr>
          <w:rFonts w:hint="eastAsia" w:ascii="仿宋_GB2312" w:hAnsi="Times New Roman" w:eastAsia="仿宋_GB2312" w:cs="DengXian-Regular"/>
          <w:sz w:val="32"/>
          <w:szCs w:val="32"/>
          <w:highlight w:val="none"/>
        </w:rPr>
        <w:t>万元，决算数大于预算数主要原因是主要是</w:t>
      </w:r>
      <w:r>
        <w:rPr>
          <w:rFonts w:hint="eastAsia" w:ascii="仿宋_GB2312" w:hAnsi="Times New Roman" w:eastAsia="仿宋_GB2312" w:cs="DengXian-Regular"/>
          <w:sz w:val="32"/>
          <w:szCs w:val="32"/>
          <w:highlight w:val="none"/>
          <w:lang w:val="en-US" w:eastAsia="zh-CN"/>
        </w:rPr>
        <w:t>增加省、市级项目支出</w:t>
      </w:r>
      <w:r>
        <w:rPr>
          <w:rFonts w:hint="eastAsia" w:ascii="仿宋_GB2312" w:hAnsi="Times New Roman" w:eastAsia="仿宋_GB2312" w:cs="DengXian-Regular"/>
          <w:sz w:val="32"/>
          <w:szCs w:val="32"/>
          <w:highlight w:val="none"/>
        </w:rPr>
        <w:t>。</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239.43</w:t>
      </w:r>
      <w:r>
        <w:rPr>
          <w:rFonts w:hint="eastAsia" w:ascii="仿宋_GB2312" w:hAnsi="Times New Roman" w:eastAsia="仿宋_GB2312" w:cs="DengXian-Regular"/>
          <w:sz w:val="32"/>
          <w:szCs w:val="32"/>
        </w:rPr>
        <w:t>万元，主要用于以下方面一般公共服务（类）支出</w:t>
      </w:r>
      <w:r>
        <w:rPr>
          <w:rFonts w:hint="eastAsia" w:ascii="仿宋_GB2312" w:hAnsi="Times New Roman" w:eastAsia="仿宋_GB2312" w:cs="DengXian-Regular"/>
          <w:sz w:val="32"/>
          <w:szCs w:val="32"/>
          <w:lang w:val="en-US" w:eastAsia="zh-CN"/>
        </w:rPr>
        <w:t>215.38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89.96</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11.05</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4.62</w:t>
      </w:r>
      <w:r>
        <w:rPr>
          <w:rFonts w:hint="eastAsia" w:ascii="仿宋_GB2312" w:hAnsi="Times New Roman" w:eastAsia="仿宋_GB2312" w:cs="DengXian-Regular"/>
          <w:sz w:val="32"/>
          <w:szCs w:val="32"/>
        </w:rPr>
        <w:t>%；卫生健康支出</w:t>
      </w:r>
      <w:r>
        <w:rPr>
          <w:rFonts w:hint="eastAsia" w:ascii="仿宋_GB2312" w:hAnsi="Times New Roman" w:eastAsia="仿宋_GB2312" w:cs="DengXian-Regular"/>
          <w:sz w:val="32"/>
          <w:szCs w:val="32"/>
          <w:lang w:val="en-US" w:eastAsia="zh-CN"/>
        </w:rPr>
        <w:t>6.04万元，</w:t>
      </w:r>
      <w:r>
        <w:rPr>
          <w:rFonts w:hint="eastAsia" w:ascii="仿宋_GB2312" w:hAnsi="Times New Roman" w:eastAsia="仿宋_GB2312" w:cs="DengXian-Regular"/>
          <w:sz w:val="32"/>
          <w:szCs w:val="32"/>
        </w:rPr>
        <w:t xml:space="preserve">占 </w:t>
      </w:r>
      <w:r>
        <w:rPr>
          <w:rFonts w:hint="eastAsia" w:ascii="仿宋_GB2312" w:hAnsi="Times New Roman" w:eastAsia="仿宋_GB2312" w:cs="DengXian-Regular"/>
          <w:sz w:val="32"/>
          <w:szCs w:val="32"/>
          <w:lang w:val="en-US" w:eastAsia="zh-CN"/>
        </w:rPr>
        <w:t>2.52</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5.01</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2.09</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lang w:eastAsia="zh-CN"/>
        </w:rPr>
        <w:drawing>
          <wp:anchor distT="0" distB="0" distL="114300" distR="114300" simplePos="0" relativeHeight="251674624" behindDoc="0" locked="0" layoutInCell="1" allowOverlap="1">
            <wp:simplePos x="0" y="0"/>
            <wp:positionH relativeFrom="column">
              <wp:posOffset>882650</wp:posOffset>
            </wp:positionH>
            <wp:positionV relativeFrom="paragraph">
              <wp:posOffset>109220</wp:posOffset>
            </wp:positionV>
            <wp:extent cx="3534410" cy="2107565"/>
            <wp:effectExtent l="4445" t="4445" r="23495" b="21590"/>
            <wp:wrapNone/>
            <wp:docPr id="28" name="图表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132.77</w:t>
      </w:r>
      <w:r>
        <w:rPr>
          <w:rFonts w:hint="eastAsia" w:ascii="仿宋_GB2312" w:hAnsi="Times New Roman" w:eastAsia="仿宋_GB2312" w:cs="DengXian-Regular"/>
          <w:sz w:val="32"/>
          <w:szCs w:val="32"/>
        </w:rPr>
        <w:t xml:space="preserve">万元，其中：人员经费 </w:t>
      </w:r>
      <w:r>
        <w:rPr>
          <w:rFonts w:hint="eastAsia" w:ascii="仿宋_GB2312" w:hAnsi="Times New Roman" w:eastAsia="仿宋_GB2312" w:cs="DengXian-Regular"/>
          <w:sz w:val="32"/>
          <w:szCs w:val="32"/>
          <w:lang w:val="en-US" w:eastAsia="zh-CN"/>
        </w:rPr>
        <w:t>104.3</w:t>
      </w:r>
      <w:r>
        <w:rPr>
          <w:rFonts w:hint="eastAsia" w:ascii="仿宋_GB2312" w:hAnsi="Times New Roman"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hAnsi="Times New Roman" w:eastAsia="仿宋_GB2312" w:cs="DengXian-Regular"/>
          <w:sz w:val="32"/>
          <w:szCs w:val="32"/>
          <w:lang w:val="en-US" w:eastAsia="zh-CN"/>
        </w:rPr>
        <w:t>28.47</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1.81</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67.04</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0.89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32.96</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1.18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65.19</w:t>
      </w:r>
      <w:r>
        <w:rPr>
          <w:rFonts w:hint="eastAsia" w:ascii="仿宋_GB2312" w:hAnsi="Times New Roman" w:eastAsia="仿宋_GB2312" w:cs="DengXian-Regular"/>
          <w:sz w:val="32"/>
          <w:szCs w:val="32"/>
        </w:rPr>
        <w:t>%，主</w:t>
      </w:r>
      <w:bookmarkStart w:id="0" w:name="_GoBack"/>
      <w:bookmarkEnd w:id="0"/>
      <w:r>
        <w:rPr>
          <w:rFonts w:hint="eastAsia" w:ascii="仿宋_GB2312" w:hAnsi="Times New Roman" w:eastAsia="仿宋_GB2312" w:cs="DengXian-Regular"/>
          <w:sz w:val="32"/>
          <w:szCs w:val="32"/>
        </w:rPr>
        <w:t>要是</w:t>
      </w:r>
      <w:r>
        <w:rPr>
          <w:rFonts w:hint="eastAsia" w:ascii="仿宋_GB2312" w:hAnsi="Times New Roman" w:eastAsia="仿宋_GB2312" w:cs="DengXian-Regular"/>
          <w:sz w:val="32"/>
          <w:szCs w:val="32"/>
          <w:lang w:val="en-US" w:eastAsia="zh-CN"/>
        </w:rPr>
        <w:t>车辆维修</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3" w:firstLineChars="200"/>
        <w:rPr>
          <w:rFonts w:hint="eastAsia" w:ascii="仿宋_GB2312" w:hAnsi="Times New Roman" w:eastAsia="仿宋_GB2312" w:cs="DengXian-Regular"/>
          <w:sz w:val="32"/>
          <w:szCs w:val="32"/>
          <w:lang w:val="en-US" w:eastAsia="zh-CN"/>
        </w:rPr>
      </w:pP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val="en-US" w:eastAsia="zh-CN"/>
        </w:rPr>
        <w:t>无因公出国境</w:t>
      </w:r>
    </w:p>
    <w:p>
      <w:pPr>
        <w:numPr>
          <w:ilvl w:val="0"/>
          <w:numId w:val="2"/>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1.81</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0.89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32.96</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；较2018年度增加</w:t>
      </w:r>
      <w:r>
        <w:rPr>
          <w:rFonts w:hint="eastAsia" w:ascii="仿宋_GB2312" w:hAnsi="Times New Roman" w:eastAsia="仿宋_GB2312" w:cs="DengXian-Regular"/>
          <w:sz w:val="32"/>
          <w:szCs w:val="32"/>
          <w:lang w:val="en-US" w:eastAsia="zh-CN"/>
        </w:rPr>
        <w:t>1.18</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65.19</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车辆维修</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万元。公务用车购置费支出</w:t>
      </w:r>
      <w:r>
        <w:rPr>
          <w:rFonts w:hint="eastAsia" w:ascii="仿宋_GB2312" w:hAnsi="Times New Roman" w:eastAsia="仿宋_GB2312" w:cs="DengXian-Regular"/>
          <w:sz w:val="32"/>
          <w:szCs w:val="32"/>
          <w:lang w:val="en-US" w:eastAsia="zh-CN"/>
        </w:rPr>
        <w:t>无增减变化，与2018年度决算支出持平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0.89</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32.96</w:t>
      </w:r>
      <w:r>
        <w:rPr>
          <w:rFonts w:hint="eastAsia" w:ascii="仿宋_GB2312" w:hAnsi="Times New Roman" w:eastAsia="仿宋_GB2312" w:cs="DengXian-Regular"/>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val="en-US" w:eastAsia="zh-CN"/>
        </w:rPr>
        <w:t>无</w:t>
      </w:r>
      <w:r>
        <w:rPr>
          <w:rFonts w:hint="eastAsia" w:ascii="仿宋_GB2312" w:hAnsi="Times New Roman" w:eastAsia="仿宋_GB2312" w:cs="DengXian-Regular"/>
          <w:sz w:val="32"/>
          <w:szCs w:val="32"/>
        </w:rPr>
        <w:t>公务接待。</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67.4</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。一般公共预算支出</w:t>
      </w:r>
      <w:r>
        <w:rPr>
          <w:rFonts w:hint="eastAsia" w:ascii="仿宋_GB2312" w:hAnsi="仿宋_GB2312" w:eastAsia="仿宋_GB2312" w:cs="仿宋_GB2312"/>
          <w:sz w:val="32"/>
          <w:szCs w:val="32"/>
          <w:lang w:val="en-US" w:eastAsia="zh-CN"/>
        </w:rPr>
        <w:t>67.4</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本部门在今年部门决算公开中反映鹿泉区妇联军队退役人员公益岗位工资项目及鹿泉区妇联妇女儿童发展项目等</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个项目绩效自评结果。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鹿泉区妇联军队退役人员公益岗位工资项目自评综述：根据年初设定的绩效目标鹿泉区妇联军队退役人员公益岗位工资项目绩效自评得分为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2.54</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2.54</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。项目绩效目标完成情况：一是对符合就业困难条件军队退役人员1名帮扶到位；二是工资按月及时发放，全年发放资金2</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54</w:t>
      </w:r>
      <w:r>
        <w:rPr>
          <w:rFonts w:hint="eastAsia" w:ascii="仿宋_GB2312" w:hAnsi="仿宋_GB2312" w:eastAsia="仿宋_GB2312" w:cs="仿宋_GB2312"/>
          <w:sz w:val="32"/>
          <w:szCs w:val="32"/>
          <w:lang w:val="en-US" w:eastAsia="zh-CN"/>
        </w:rPr>
        <w:t>万</w:t>
      </w:r>
      <w:r>
        <w:rPr>
          <w:rFonts w:hint="eastAsia" w:ascii="仿宋_GB2312" w:hAnsi="仿宋_GB2312" w:eastAsia="仿宋_GB2312" w:cs="仿宋_GB2312"/>
          <w:sz w:val="32"/>
          <w:szCs w:val="32"/>
        </w:rPr>
        <w:t>元。</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鹿泉区妇联妇女儿童发展项目绩效自评综述：根据年初设定的绩效目标鹿泉区妇联妇女儿童发展项目绩效自评得分为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。项目绩效目标完成情况：一是对妇女干部进行培训、开展“两纲”等活动。制作宣传页、宣传品在“三八”维权周、11.24和12.4等法制日进行发放，提高妇女维权意识；二是做好白内障免费筛查宣传工作。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鹿泉区妇联人居环境整创（美丽庭院创建）项目绩效自评综述：根据年初设定的绩效目标鹿泉区妇联人居环境整创（美丽庭院创建）项目绩效自评得分为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。项目绩效目标完成情况：制作宣传材料、宣传册、宣传品、标识标牌，每月对挂牌美丽庭院进行评比，评出10户进行表彰，巩固创建成果。。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鹿泉区妇联关于提前下达2019年妇女工作市级专项资金的通知项目绩效自评综述：根据年初设定的绩效目标鹿泉区妇联妇女儿童发展项目绩效自评得分为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12.2</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12.2</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一是打造妇联办公室、妇女讲习所、儿童之家、图书阅览室、维权室、手工室等，打造一个供给妇联主席办公、妇女阅读学习、维权、展示妇女手工的场所，也为儿童提供学习、娱乐的空间，完成建设后可以更好的开展妇联工作,推进服务型基层妇联组织建设，进一步建强妇联基层阵地，进一步提升软硬件水平，拓展功能，丰富内容，更好地服务妇女多样化需求，切实把妇联组织建成可信赖依靠的妇女之家，真正把妇女之家建设成基层妇联组织的有效抓手、基层妇联工作的重要阵地。</w:t>
      </w:r>
      <w:r>
        <w:rPr>
          <w:rFonts w:hint="eastAsia"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rPr>
        <w:t>提前在各村委会挑选一间不少于30平米的，给全村儿童提供了一个课外活动场所，面向儿童和家庭开展游戏活动、临时照料、课后托管家庭教育引导、儿童保护等服务。</w:t>
      </w:r>
      <w:r>
        <w:rPr>
          <w:rFonts w:hint="eastAsia" w:ascii="仿宋_GB2312" w:hAnsi="仿宋_GB2312" w:eastAsia="仿宋_GB2312" w:cs="仿宋_GB2312"/>
          <w:sz w:val="32"/>
          <w:szCs w:val="32"/>
          <w:lang w:val="en-US" w:eastAsia="zh-CN"/>
        </w:rPr>
        <w:t>三是</w:t>
      </w:r>
      <w:r>
        <w:rPr>
          <w:rFonts w:hint="eastAsia" w:ascii="仿宋_GB2312" w:hAnsi="仿宋_GB2312" w:eastAsia="仿宋_GB2312" w:cs="仿宋_GB2312"/>
          <w:sz w:val="32"/>
          <w:szCs w:val="32"/>
        </w:rPr>
        <w:t>为儿童身心健康成长，提高儿童友好家园的管理运行水平，开展不少于40次儿童友好家园宣传、心理绘画、儿童阅读、兴趣培训、亲子活动等主题活动且每次活动不少于20名儿童参加。达到丰富儿童课外活动、培养儿童兴趣爱好、关爱农村儿童的效果。</w:t>
      </w:r>
    </w:p>
    <w:p>
      <w:pPr>
        <w:numPr>
          <w:ilvl w:val="0"/>
          <w:numId w:val="3"/>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鹿泉区妇联关于提前下达2019年妇女之家建设经费的通知项目绩效自评综述：根据年初设定的绩效目标鹿泉区妇联妇女儿童发展项目绩效自评得分为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建设3个妇女之家，提供妇联主席办公、妇女阅读学习、维权、展示妇女手工的场所，也为儿童提供学习、娱乐的空间，完成建设后可以更好的开展妇联工作，,推进服务型基层妇联组织建设，进一步建强妇联基层阵地，进一步提升软硬件水平，拓展功能，丰富内容，更好地服务妇女多样化需求，切实把妇联组织建成可信赖依靠的妇女之家，真正把妇女之家建设成基层妇联组织的有效抓手、基层妇联工作的重要阵地、妇联组织在广大妇女群众心目中的贴心家园。</w:t>
      </w:r>
    </w:p>
    <w:p>
      <w:pPr>
        <w:keepNext/>
        <w:keepLines/>
        <w:numPr>
          <w:ilvl w:val="0"/>
          <w:numId w:val="4"/>
        </w:numPr>
        <w:snapToGrid w:val="0"/>
        <w:spacing w:line="580" w:lineRule="exact"/>
        <w:ind w:firstLine="643" w:firstLine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财政评价项目绩效评价结果</w:t>
      </w:r>
    </w:p>
    <w:p>
      <w:pPr>
        <w:keepNext/>
        <w:keepLines/>
        <w:numPr>
          <w:ilvl w:val="0"/>
          <w:numId w:val="0"/>
        </w:numPr>
        <w:snapToGrid w:val="0"/>
        <w:spacing w:line="580" w:lineRule="exact"/>
        <w:ind w:firstLine="640" w:firstLineChars="200"/>
        <w:outlineLvl w:val="1"/>
        <w:rPr>
          <w:rFonts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无</w:t>
      </w:r>
      <w:r>
        <w:rPr>
          <w:rFonts w:hint="eastAsia" w:ascii="仿宋_GB2312" w:hAnsi="仿宋_GB2312" w:eastAsia="仿宋_GB2312" w:cs="仿宋_GB2312"/>
          <w:b w:val="0"/>
          <w:bCs w:val="0"/>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28.47</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2.33</w:t>
      </w:r>
      <w:r>
        <w:rPr>
          <w:rFonts w:hint="eastAsia" w:ascii="仿宋_GB2312" w:hAnsi="Times New Roman" w:eastAsia="仿宋_GB2312" w:cs="DengXian-Regular"/>
          <w:sz w:val="32"/>
          <w:szCs w:val="32"/>
        </w:rPr>
        <w:t>万元，增长（降低）</w:t>
      </w:r>
      <w:r>
        <w:rPr>
          <w:rFonts w:hint="eastAsia" w:ascii="仿宋_GB2312" w:hAnsi="Times New Roman" w:eastAsia="仿宋_GB2312" w:cs="DengXian-Regular"/>
          <w:sz w:val="32"/>
          <w:szCs w:val="32"/>
          <w:lang w:val="en-US" w:eastAsia="zh-CN"/>
        </w:rPr>
        <w:t>8.19</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办公经费支出增加</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val="en-US" w:eastAsia="zh-CN"/>
        </w:rPr>
        <w:t>无</w:t>
      </w:r>
      <w:r>
        <w:rPr>
          <w:rFonts w:hint="eastAsia" w:ascii="仿宋_GB2312" w:hAnsi="Times New Roman" w:eastAsia="仿宋_GB2312" w:cs="DengXian-Regular"/>
          <w:sz w:val="32"/>
          <w:szCs w:val="32"/>
        </w:rPr>
        <w:t>政府采购</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较上年无增减</w:t>
      </w:r>
      <w:r>
        <w:rPr>
          <w:rFonts w:hint="eastAsia" w:ascii="仿宋_GB2312" w:hAnsi="Times New Roman" w:eastAsia="仿宋_GB2312" w:cs="DengXian-Regular"/>
          <w:sz w:val="32"/>
          <w:szCs w:val="32"/>
        </w:rPr>
        <w:t>。其中，副部（省）级及以上领导用车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较</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val="en-US" w:eastAsia="zh-CN"/>
        </w:rPr>
        <w:t>无</w:t>
      </w:r>
      <w:r>
        <w:rPr>
          <w:rFonts w:hint="eastAsia" w:ascii="仿宋_GB2312" w:hAnsi="Times New Roman" w:eastAsia="仿宋_GB2312" w:cs="DengXian-Regular"/>
          <w:sz w:val="32"/>
          <w:szCs w:val="32"/>
        </w:rPr>
        <w:t>增减</w:t>
      </w:r>
      <w:r>
        <w:rPr>
          <w:rFonts w:hint="eastAsia" w:ascii="仿宋_GB2312" w:hAnsi="Times New Roman" w:eastAsia="仿宋_GB2312" w:cs="DengXian-Regular"/>
          <w:sz w:val="32"/>
          <w:szCs w:val="32"/>
          <w:lang w:val="en-US" w:eastAsia="zh-CN"/>
        </w:rPr>
        <w:t>变化</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lang w:val="en-US" w:eastAsia="zh-CN"/>
        </w:rPr>
        <w:t>较</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val="en-US" w:eastAsia="zh-CN"/>
        </w:rPr>
        <w:t>无</w:t>
      </w:r>
      <w:r>
        <w:rPr>
          <w:rFonts w:hint="eastAsia" w:ascii="仿宋_GB2312" w:hAnsi="Times New Roman" w:eastAsia="仿宋_GB2312" w:cs="DengXian-Regular"/>
          <w:sz w:val="32"/>
          <w:szCs w:val="32"/>
        </w:rPr>
        <w:t>增减</w:t>
      </w:r>
      <w:r>
        <w:rPr>
          <w:rFonts w:hint="eastAsia" w:ascii="仿宋_GB2312" w:hAnsi="Times New Roman" w:eastAsia="仿宋_GB2312" w:cs="DengXian-Regular"/>
          <w:sz w:val="32"/>
          <w:szCs w:val="32"/>
          <w:lang w:val="en-US" w:eastAsia="zh-CN"/>
        </w:rPr>
        <w:t>变化</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本部门2019年政府性基金</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度国有资本经营无收支及结转结余情况，故政府性基金</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度国有资本经营表以空表列示。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Borders>
            <w:top w:val="none" w:sz="0" w:space="0"/>
            <w:left w:val="none" w:sz="0" w:space="0"/>
            <w:bottom w:val="none" w:sz="0" w:space="0"/>
            <w:right w:val="none" w:sz="0" w:space="0"/>
          </w:pgBorders>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71552"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71552;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Borders>
            <w:top w:val="none" w:sz="0" w:space="0"/>
            <w:left w:val="none" w:sz="0" w:space="0"/>
            <w:bottom w:val="none" w:sz="0" w:space="0"/>
            <w:right w:val="none" w:sz="0" w:space="0"/>
          </w:pgBorders>
          <w:pgNumType w:fmt="numberInDash"/>
          <w:cols w:space="425" w:num="1"/>
          <w:docGrid w:type="lines" w:linePitch="312" w:charSpace="0"/>
        </w:sectPr>
      </w:pPr>
      <w:r>
        <w:rPr>
          <w:sz w:val="72"/>
        </w:rPr>
        <mc:AlternateContent>
          <mc:Choice Requires="wps">
            <w:drawing>
              <wp:anchor distT="0" distB="0" distL="114300" distR="114300" simplePos="0" relativeHeight="251672576"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72576;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6"/>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239.43</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218.49</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3.11</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11.05</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6.04</w:t>
            </w: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5.01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242.54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240.59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6.66</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8.61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249.2</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249.2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6"/>
        <w:tblW w:w="9682" w:type="dxa"/>
        <w:jc w:val="center"/>
        <w:tblLayout w:type="fixed"/>
        <w:tblCellMar>
          <w:top w:w="0" w:type="dxa"/>
          <w:left w:w="0" w:type="dxa"/>
          <w:bottom w:w="0" w:type="dxa"/>
          <w:right w:w="0" w:type="dxa"/>
        </w:tblCellMar>
      </w:tblPr>
      <w:tblGrid>
        <w:gridCol w:w="718"/>
        <w:gridCol w:w="41"/>
        <w:gridCol w:w="41"/>
        <w:gridCol w:w="3555"/>
        <w:gridCol w:w="983"/>
        <w:gridCol w:w="1283"/>
        <w:gridCol w:w="612"/>
        <w:gridCol w:w="612"/>
        <w:gridCol w:w="612"/>
        <w:gridCol w:w="612"/>
        <w:gridCol w:w="613"/>
      </w:tblGrid>
      <w:tr>
        <w:tblPrEx>
          <w:tblCellMar>
            <w:top w:w="0" w:type="dxa"/>
            <w:left w:w="0" w:type="dxa"/>
            <w:bottom w:w="0" w:type="dxa"/>
            <w:right w:w="0" w:type="dxa"/>
          </w:tblCellMar>
        </w:tblPrEx>
        <w:trPr>
          <w:trHeight w:val="670" w:hRule="atLeast"/>
          <w:jc w:val="center"/>
        </w:trPr>
        <w:tc>
          <w:tcPr>
            <w:tcW w:w="9682"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7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5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2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71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5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2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837"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435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28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6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6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6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61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61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55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5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8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1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35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2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1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4355"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242.54</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r>
              <w:rPr>
                <w:rFonts w:hint="eastAsia" w:ascii="宋体" w:hAnsi="宋体" w:eastAsia="宋体" w:cs="宋体"/>
                <w:b/>
                <w:color w:val="000000"/>
                <w:sz w:val="22"/>
                <w:lang w:val="en-US" w:eastAsia="zh-CN"/>
              </w:rPr>
              <w:t>239.43</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b/>
                <w:color w:val="000000"/>
                <w:sz w:val="22"/>
                <w:lang w:val="en-US" w:eastAsia="zh-CN"/>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3.11</w:t>
            </w: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218.78</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215.67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3.11</w:t>
            </w: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群众团体事务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157.78</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154.67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3.11</w:t>
            </w: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2012901</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115.58</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112.47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3.11</w:t>
            </w: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2012902</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lang w:val="en-US" w:eastAsia="zh-CN"/>
              </w:rPr>
            </w:pPr>
            <w:r>
              <w:rPr>
                <w:rFonts w:hint="eastAsia" w:ascii="宋体" w:hAnsi="宋体" w:eastAsia="宋体" w:cs="宋体"/>
                <w:color w:val="000000"/>
                <w:sz w:val="22"/>
              </w:rPr>
              <w:t>12.2</w:t>
            </w:r>
            <w:r>
              <w:rPr>
                <w:rFonts w:hint="eastAsia" w:ascii="宋体" w:hAnsi="宋体" w:eastAsia="宋体" w:cs="宋体"/>
                <w:color w:val="000000"/>
                <w:sz w:val="22"/>
                <w:lang w:val="en-US" w:eastAsia="zh-CN"/>
              </w:rPr>
              <w:t>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rPr>
              <w:t>12.2</w:t>
            </w:r>
            <w:r>
              <w:rPr>
                <w:rFonts w:hint="eastAsia" w:ascii="宋体" w:hAnsi="宋体" w:eastAsia="宋体" w:cs="宋体"/>
                <w:color w:val="000000"/>
                <w:sz w:val="22"/>
                <w:lang w:val="en-US" w:eastAsia="zh-CN"/>
              </w:rPr>
              <w:t>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2012999</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其他群众团体事务支出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30.00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20131</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党委办公厅（室）及相关机构事务</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61.00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61.00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2013199</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其他党委办公厅（室）及相关机构事务支出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61.00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61.00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12.07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12.07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10.57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10.57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2080505</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10.57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10.57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1.50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2080901</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1.50</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2101101</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6.47</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6.47</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住房保障支出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5.22</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5.22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22102</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住房改革支出</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5.22</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5.22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2210201</w:t>
            </w:r>
          </w:p>
        </w:tc>
        <w:tc>
          <w:tcPr>
            <w:tcW w:w="35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住房公积金</w:t>
            </w:r>
          </w:p>
        </w:tc>
        <w:tc>
          <w:tcPr>
            <w:tcW w:w="9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5.22</w:t>
            </w:r>
          </w:p>
        </w:tc>
        <w:tc>
          <w:tcPr>
            <w:tcW w:w="12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5.22</w:t>
            </w: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1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9682"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615"/>
        <w:gridCol w:w="905"/>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61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0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272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0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615"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1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15"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90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272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272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240.59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135.89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104.7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一般公共服务支出</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218.49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115.29</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103.2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群众团体事务</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152.43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110.23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42.2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2012901</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110.23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110.23</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2012902</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一般行政管理事务</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12.20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12.2</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2012999</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 xml:space="preserve">  其他群众团体事务支出</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30.00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党委办公厅（室）及相关机构事务</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61.00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2013101</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行政运行</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5.07</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2013199</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其他党委办公厅（室）及相关机构事务支出</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61.00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61.00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社会保障和就业支出</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11.05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行政事业单位离退休</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2080505</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机关事业单位基本养老保险缴费支出</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9.55</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20809</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退役安置</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1.50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2080901</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退役士兵安置</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1.50</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卫生健康支出</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行政事业单位医疗</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2101101</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行政单位医疗</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6.04</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住房保障支出</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住房改革支出</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2210201</w:t>
            </w:r>
          </w:p>
        </w:tc>
        <w:tc>
          <w:tcPr>
            <w:tcW w:w="161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住房公积金</w:t>
            </w:r>
          </w:p>
        </w:tc>
        <w:tc>
          <w:tcPr>
            <w:tcW w:w="90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6"/>
        <w:tblW w:w="9730" w:type="dxa"/>
        <w:jc w:val="center"/>
        <w:tblLayout w:type="fixed"/>
        <w:tblCellMar>
          <w:top w:w="0" w:type="dxa"/>
          <w:left w:w="0" w:type="dxa"/>
          <w:bottom w:w="0" w:type="dxa"/>
          <w:right w:w="0" w:type="dxa"/>
        </w:tblCellMar>
      </w:tblPr>
      <w:tblGrid>
        <w:gridCol w:w="2812"/>
        <w:gridCol w:w="367"/>
        <w:gridCol w:w="800"/>
        <w:gridCol w:w="2950"/>
        <w:gridCol w:w="466"/>
        <w:gridCol w:w="872"/>
        <w:gridCol w:w="733"/>
        <w:gridCol w:w="730"/>
      </w:tblGrid>
      <w:tr>
        <w:tblPrEx>
          <w:tblCellMar>
            <w:top w:w="0" w:type="dxa"/>
            <w:left w:w="0" w:type="dxa"/>
            <w:bottom w:w="0" w:type="dxa"/>
            <w:right w:w="0" w:type="dxa"/>
          </w:tblCellMar>
        </w:tblPrEx>
        <w:trPr>
          <w:trHeight w:val="406" w:hRule="atLeast"/>
          <w:jc w:val="center"/>
        </w:trPr>
        <w:tc>
          <w:tcPr>
            <w:tcW w:w="9730"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81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3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81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6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5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335"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39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751"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81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6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72"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3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81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6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72"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3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239.43</w:t>
            </w: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215.38</w:t>
            </w: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215.38</w:t>
            </w: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11.05</w:t>
            </w: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11.05</w:t>
            </w: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6.04</w:t>
            </w: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6.04</w:t>
            </w: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5.01</w:t>
            </w: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239.43</w:t>
            </w: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237.48</w:t>
            </w: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237.48</w:t>
            </w: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6.66</w:t>
            </w: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8.61</w:t>
            </w: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8.61</w:t>
            </w: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6.66</w:t>
            </w: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81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3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246.09</w:t>
            </w:r>
          </w:p>
        </w:tc>
        <w:tc>
          <w:tcPr>
            <w:tcW w:w="29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8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246.09</w:t>
            </w:r>
          </w:p>
        </w:tc>
        <w:tc>
          <w:tcPr>
            <w:tcW w:w="73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246.09</w:t>
            </w:r>
          </w:p>
        </w:tc>
        <w:tc>
          <w:tcPr>
            <w:tcW w:w="7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730"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r>
        <w:br w:type="page"/>
      </w:r>
    </w:p>
    <w:tbl>
      <w:tblPr>
        <w:tblStyle w:val="6"/>
        <w:tblW w:w="10299" w:type="dxa"/>
        <w:jc w:val="center"/>
        <w:tblLayout w:type="fixed"/>
        <w:tblCellMar>
          <w:top w:w="0" w:type="dxa"/>
          <w:left w:w="0" w:type="dxa"/>
          <w:bottom w:w="0" w:type="dxa"/>
          <w:right w:w="0" w:type="dxa"/>
        </w:tblCellMar>
      </w:tblPr>
      <w:tblGrid>
        <w:gridCol w:w="718"/>
        <w:gridCol w:w="41"/>
        <w:gridCol w:w="41"/>
        <w:gridCol w:w="5830"/>
        <w:gridCol w:w="1584"/>
        <w:gridCol w:w="1116"/>
        <w:gridCol w:w="969"/>
      </w:tblGrid>
      <w:tr>
        <w:tblPrEx>
          <w:tblCellMar>
            <w:top w:w="0" w:type="dxa"/>
            <w:left w:w="0" w:type="dxa"/>
            <w:bottom w:w="0" w:type="dxa"/>
            <w:right w:w="0" w:type="dxa"/>
          </w:tblCellMar>
        </w:tblPrEx>
        <w:trPr>
          <w:trHeight w:val="600" w:hRule="atLeast"/>
          <w:jc w:val="center"/>
        </w:trPr>
        <w:tc>
          <w:tcPr>
            <w:tcW w:w="10299"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71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8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8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trHeight w:val="255" w:hRule="atLeast"/>
          <w:jc w:val="center"/>
        </w:trPr>
        <w:tc>
          <w:tcPr>
            <w:tcW w:w="718"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8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8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85"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663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366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312" w:hRule="atLeast"/>
          <w:jc w:val="center"/>
        </w:trPr>
        <w:tc>
          <w:tcPr>
            <w:tcW w:w="80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583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58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1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9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3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80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83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58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1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663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663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237.48</w:t>
            </w:r>
          </w:p>
        </w:tc>
        <w:tc>
          <w:tcPr>
            <w:tcW w:w="11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132.77</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104.70</w:t>
            </w:r>
          </w:p>
        </w:tc>
      </w:tr>
      <w:tr>
        <w:tblPrEx>
          <w:tblCellMar>
            <w:top w:w="0" w:type="dxa"/>
            <w:left w:w="0" w:type="dxa"/>
            <w:bottom w:w="0" w:type="dxa"/>
            <w:right w:w="0"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201</w:t>
            </w:r>
          </w:p>
        </w:tc>
        <w:tc>
          <w:tcPr>
            <w:tcW w:w="5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一般公共服务支出</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215.38</w:t>
            </w:r>
          </w:p>
        </w:tc>
        <w:tc>
          <w:tcPr>
            <w:tcW w:w="11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112.18</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103.2</w:t>
            </w:r>
          </w:p>
        </w:tc>
      </w:tr>
      <w:tr>
        <w:tblPrEx>
          <w:tblCellMar>
            <w:top w:w="0" w:type="dxa"/>
            <w:left w:w="0" w:type="dxa"/>
            <w:bottom w:w="0" w:type="dxa"/>
            <w:right w:w="0"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20129</w:t>
            </w:r>
          </w:p>
        </w:tc>
        <w:tc>
          <w:tcPr>
            <w:tcW w:w="5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群众团体事务</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149.32</w:t>
            </w:r>
          </w:p>
        </w:tc>
        <w:tc>
          <w:tcPr>
            <w:tcW w:w="11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107.12</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42.2</w:t>
            </w:r>
          </w:p>
        </w:tc>
      </w:tr>
      <w:tr>
        <w:tblPrEx>
          <w:tblCellMar>
            <w:top w:w="0" w:type="dxa"/>
            <w:left w:w="0" w:type="dxa"/>
            <w:bottom w:w="0" w:type="dxa"/>
            <w:right w:w="0"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2012901</w:t>
            </w:r>
          </w:p>
        </w:tc>
        <w:tc>
          <w:tcPr>
            <w:tcW w:w="5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行政运行</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107.12</w:t>
            </w:r>
          </w:p>
        </w:tc>
        <w:tc>
          <w:tcPr>
            <w:tcW w:w="11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107.12</w:t>
            </w: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2012902</w:t>
            </w:r>
          </w:p>
        </w:tc>
        <w:tc>
          <w:tcPr>
            <w:tcW w:w="5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一般行政管理事务</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rPr>
              <w:t>12.2</w:t>
            </w:r>
            <w:r>
              <w:rPr>
                <w:rFonts w:hint="eastAsia" w:ascii="宋体" w:hAnsi="宋体" w:eastAsia="宋体" w:cs="宋体"/>
                <w:color w:val="000000"/>
                <w:sz w:val="22"/>
                <w:lang w:val="en-US" w:eastAsia="zh-CN"/>
              </w:rPr>
              <w:t>0</w:t>
            </w:r>
          </w:p>
        </w:tc>
        <w:tc>
          <w:tcPr>
            <w:tcW w:w="11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rPr>
              <w:t>12.2</w:t>
            </w:r>
            <w:r>
              <w:rPr>
                <w:rFonts w:hint="eastAsia" w:ascii="宋体" w:hAnsi="宋体" w:eastAsia="宋体" w:cs="宋体"/>
                <w:color w:val="000000"/>
                <w:sz w:val="22"/>
                <w:lang w:val="en-US" w:eastAsia="zh-CN"/>
              </w:rPr>
              <w:t>0</w:t>
            </w:r>
          </w:p>
        </w:tc>
      </w:tr>
      <w:tr>
        <w:tblPrEx>
          <w:tblCellMar>
            <w:top w:w="0" w:type="dxa"/>
            <w:left w:w="0" w:type="dxa"/>
            <w:bottom w:w="0" w:type="dxa"/>
            <w:right w:w="0" w:type="dxa"/>
          </w:tblCellMar>
        </w:tblPrEx>
        <w:trPr>
          <w:trHeight w:val="308" w:hRule="atLeast"/>
          <w:jc w:val="center"/>
        </w:trPr>
        <w:tc>
          <w:tcPr>
            <w:tcW w:w="80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2012999</w:t>
            </w:r>
          </w:p>
        </w:tc>
        <w:tc>
          <w:tcPr>
            <w:tcW w:w="58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kern w:val="2"/>
                <w:sz w:val="22"/>
                <w:szCs w:val="22"/>
                <w:lang w:val="en-US" w:eastAsia="zh-CN" w:bidi="ar-SA"/>
              </w:rPr>
            </w:pPr>
            <w:r>
              <w:rPr>
                <w:rFonts w:hint="eastAsia" w:ascii="宋体" w:hAnsi="宋体" w:eastAsia="宋体" w:cs="宋体"/>
                <w:color w:val="000000"/>
                <w:sz w:val="22"/>
              </w:rPr>
              <w:t>其他群众团体事务支出</w:t>
            </w:r>
          </w:p>
        </w:tc>
        <w:tc>
          <w:tcPr>
            <w:tcW w:w="15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30.00</w:t>
            </w:r>
          </w:p>
        </w:tc>
        <w:tc>
          <w:tcPr>
            <w:tcW w:w="111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6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30.00</w:t>
            </w: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20131</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党委办公厅（室）及相关机构事务</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66.07</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5.07</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61.11</w:t>
            </w: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2013101</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rPr>
            </w:pPr>
            <w:r>
              <w:rPr>
                <w:rFonts w:hint="eastAsia" w:ascii="宋体" w:hAnsi="宋体" w:eastAsia="宋体" w:cs="宋体"/>
                <w:color w:val="000000"/>
                <w:sz w:val="22"/>
              </w:rPr>
              <w:t>行政运行</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5.07</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5.07</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2013199</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其他党委办公厅（室）及相关机构事务支出</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61.00</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61.00</w:t>
            </w: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208</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社会保障和就业支出</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11.05</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9.55</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20805</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行政事业单位离退休</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9.55</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r>
              <w:rPr>
                <w:rFonts w:hint="eastAsia" w:ascii="宋体" w:hAnsi="宋体" w:eastAsia="宋体" w:cs="宋体"/>
                <w:color w:val="000000"/>
                <w:sz w:val="22"/>
                <w:lang w:val="en-US" w:eastAsia="zh-CN"/>
              </w:rPr>
              <w:t>9.55</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2080505</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机关事业单位基本养老保险缴费支出</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9.55</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r>
              <w:rPr>
                <w:rFonts w:hint="eastAsia" w:ascii="宋体" w:hAnsi="宋体" w:eastAsia="宋体" w:cs="宋体"/>
                <w:color w:val="000000"/>
                <w:sz w:val="22"/>
                <w:lang w:val="en-US" w:eastAsia="zh-CN"/>
              </w:rPr>
              <w:t>9.55</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20809</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退役安置</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1.50</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2080901</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退役士兵安置</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1.50</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1.50</w:t>
            </w: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210</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卫生健康支出</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6.04</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6.04</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21011</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行政事业单位医疗</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6.04</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6.04</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2101101</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行政单位医疗</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6.47</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6.47</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221</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住房保障支出</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22102</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住房改革支出</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80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2210201</w:t>
            </w:r>
          </w:p>
        </w:tc>
        <w:tc>
          <w:tcPr>
            <w:tcW w:w="58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hint="eastAsia" w:ascii="宋体" w:hAnsi="宋体" w:eastAsia="宋体" w:cs="宋体"/>
                <w:color w:val="000000"/>
                <w:sz w:val="22"/>
                <w:lang w:val="en-US" w:eastAsia="zh-CN"/>
              </w:rPr>
            </w:pPr>
            <w:r>
              <w:rPr>
                <w:rFonts w:hint="eastAsia" w:ascii="宋体" w:hAnsi="宋体" w:eastAsia="宋体" w:cs="宋体"/>
                <w:color w:val="000000"/>
                <w:sz w:val="22"/>
              </w:rPr>
              <w:t>住房公积金</w:t>
            </w:r>
          </w:p>
        </w:tc>
        <w:tc>
          <w:tcPr>
            <w:tcW w:w="158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111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5.01</w:t>
            </w:r>
          </w:p>
        </w:tc>
        <w:tc>
          <w:tcPr>
            <w:tcW w:w="96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eastAsia" w:ascii="宋体" w:hAnsi="宋体" w:eastAsia="宋体" w:cs="宋体"/>
                <w:color w:val="000000"/>
                <w:sz w:val="22"/>
              </w:rPr>
            </w:pPr>
          </w:p>
        </w:tc>
      </w:tr>
    </w:tbl>
    <w:p>
      <w:r>
        <w:br w:type="page"/>
      </w:r>
    </w:p>
    <w:tbl>
      <w:tblPr>
        <w:tblStyle w:val="6"/>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101.63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28.47</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28.63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4.88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19.57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32.61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9.55</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3.16</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6.04</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0.23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0.09</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5.01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2.67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15.05</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1.81</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3.48</w:t>
            </w: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104.30</w:t>
            </w:r>
          </w:p>
        </w:tc>
        <w:tc>
          <w:tcPr>
            <w:tcW w:w="5657"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28.47</w:t>
            </w:r>
          </w:p>
        </w:tc>
      </w:tr>
    </w:tbl>
    <w:p>
      <w:r>
        <w:br w:type="page"/>
      </w:r>
    </w:p>
    <w:tbl>
      <w:tblPr>
        <w:tblStyle w:val="6"/>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w:t>
            </w: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1.81</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1.81</w:t>
            </w: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1.81</w:t>
            </w: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hint="default" w:ascii="宋体" w:hAnsi="宋体" w:eastAsia="宋体" w:cs="宋体"/>
                <w:color w:val="000000"/>
                <w:sz w:val="22"/>
                <w:lang w:val="en-US"/>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6"/>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rPr>
      </w:pPr>
      <w:r>
        <w:rPr>
          <w:rFonts w:hint="eastAsia"/>
        </w:rPr>
        <w:t>本部门本年度无政府性基金预算财政拨款收入支出情况，按要求空表列示。</w:t>
      </w: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tbl>
      <w:tblPr>
        <w:tblStyle w:val="6"/>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rPr>
          <w:rFonts w:hint="eastAsia"/>
        </w:rPr>
      </w:pPr>
      <w:r>
        <w:rPr>
          <w:rFonts w:hint="eastAsia"/>
        </w:rPr>
        <w:t>本部门本年度无国有资本经营预算财政拨款支出情况，按要求空表列示</w:t>
      </w: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pPr>
        <w:rPr>
          <w:rFonts w:hint="eastAsia"/>
        </w:rPr>
      </w:pPr>
    </w:p>
    <w:p>
      <w:r>
        <mc:AlternateContent>
          <mc:Choice Requires="wps">
            <w:drawing>
              <wp:anchor distT="0" distB="0" distL="114300" distR="114300" simplePos="0" relativeHeight="251673600"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251673600;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KYCWneQIAANoEAAAOAAAAZHJzL2Uyb0RvYy54&#10;bWytVEtu2zAQ3RfoHQjuG8lO/EXkwLDhokDQBEiLrmmKsgjwV5L+pJcp0F0P0eMUvUYfKcdJ0y6y&#10;6Eae0Yzfm3kzo8urg1ZkJ3yQ1lS0d1ZSIgy3tTSbin78sHozpiREZmqmrBEVvReBXs1ev7rcu6no&#10;29aqWngCEBOme1fRNkY3LYrAW6FZOLNOGAQb6zWLcP2mqD3bA12rol+Ww2Jvfe285SIEvF12QXpE&#10;9C8BtE0juVhavtXCxA7VC8UiWgqtdIHOcrVNI3i8aZogIlEVRacxP0ECe52exeySTTeeuVbyYwns&#10;JSU860kzaUB6glqyyMjWy7+gtOTeBtvEM2510TWSFUEXvfKZNnctcyL3AqmDO4ke/h8sf7+79UTW&#10;Fb2AJIZpTPzX1+8/f3wjeAF19i5MkXTnbv3RCzBTq4fG6/SLJsihopPz0XgyoOQeS9UbTsrzQSeu&#10;OETCER8NBqPRCCQ8ZZTDcX9Y5pTiEcr5EN8Kq0kyKuoxvqwq212HCHqkPqQk5mCVrFdSqez4zXqh&#10;PNkxjHq1WpRlrh9/+SNNGbIHf3+EMOEMC9xgcWBqBxGC2VDC1AaXwaPP3MYmhrwniXvJQttxZNiu&#10;Ry0jbkJJXdExeE/MyqDmpGCnWbLWtr6H4t52qxgcX0nAXrMQb5nH7qEsXGe8waNRFrXao0VJa/2X&#10;f71P+VgJRCnZY5fRx+ct84IS9c5gWSa9izTdmJ2LwagPxz+NrJ9GzFYvLDTs4TvgeDZTflQPZuOt&#10;/oQjnidWhJjh4O4UOzqL2N0YPgNczOc5DQvvWLw2d44n8DQzY+fbaBuZZ/uozlE0rHwe+fE80009&#10;9XPW4ydp9h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Agm8tf3QAAAA8BAAAPAAAAAAAAAAEAIAAA&#10;ACIAAABkcnMvZG93bnJldi54bWxQSwECFAAUAAAACACHTuJACmAlp3kCAADaBAAADgAAAAAAAAAB&#10;ACAAAAAsAQAAZHJzL2Uyb0RvYy54bWxQSwUGAAAAAAYABgBZAQAAFwYAAAAA&#10;">
                <v:fill on="t" focussize="0,0"/>
                <v:stroke on="f" weight="1pt" miterlimit="8" joinstyle="miter"/>
                <v:imagedata o:title=""/>
                <o:lock v:ext="edit" aspectratio="f"/>
              </v:rect>
            </w:pict>
          </mc:Fallback>
        </mc:AlternateContent>
      </w:r>
    </w:p>
    <w:sectPr>
      <w:headerReference r:id="rId25" w:type="first"/>
      <w:headerReference r:id="rId24" w:type="default"/>
      <w:footerReference r:id="rId26" w:type="default"/>
      <w:pgSz w:w="11906" w:h="16838"/>
      <w:pgMar w:top="1701" w:right="1417" w:bottom="1281" w:left="1417" w:header="851" w:footer="992" w:gutter="0"/>
      <w:pgBorders>
        <w:top w:val="none" w:sz="0" w:space="0"/>
        <w:left w:val="none" w:sz="0" w:space="0"/>
        <w:bottom w:val="none" w:sz="0" w:space="0"/>
        <w:right w:val="none" w:sz="0" w:space="0"/>
      </w:pgBorders>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Yu Gothic UI Semibold">
    <w:altName w:val="Meiryo UI"/>
    <w:panose1 w:val="020B0700000000000000"/>
    <w:charset w:val="80"/>
    <w:family w:val="swiss"/>
    <w:pitch w:val="default"/>
    <w:sig w:usb0="00000000" w:usb1="00000000"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80F3C52"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等线">
    <w:altName w:val="微软雅黑"/>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仿宋">
    <w:panose1 w:val="02010609060101010101"/>
    <w:charset w:val="86"/>
    <w:family w:val="auto"/>
    <w:pitch w:val="default"/>
    <w:sig w:usb0="800002BF" w:usb1="38CF7CFA" w:usb2="00000016" w:usb3="00000000" w:csb0="00040001" w:csb1="00000000"/>
  </w:font>
  <w:font w:name="Malgun Gothic">
    <w:panose1 w:val="020B0503020000020004"/>
    <w:charset w:val="81"/>
    <w:family w:val="auto"/>
    <w:pitch w:val="default"/>
    <w:sig w:usb0="900002AF" w:usb1="01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588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588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691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691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793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793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8896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896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9203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9203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60288"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028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9264"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926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2816"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82816;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81792"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81792;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510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9510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612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93056"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9305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4080"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9408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998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998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9100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9100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83840"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83840;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486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4864;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8720"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8720;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7696"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7696;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79744"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9744;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076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8076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3FE42E"/>
    <w:multiLevelType w:val="singleLevel"/>
    <w:tmpl w:val="033FE42E"/>
    <w:lvl w:ilvl="0" w:tentative="0">
      <w:start w:val="1"/>
      <w:numFmt w:val="chineseCounting"/>
      <w:suff w:val="nothing"/>
      <w:lvlText w:val="（%1）"/>
      <w:lvlJc w:val="left"/>
      <w:rPr>
        <w:rFonts w:hint="eastAsia"/>
      </w:rPr>
    </w:lvl>
  </w:abstractNum>
  <w:abstractNum w:abstractNumId="1">
    <w:nsid w:val="45DB9A87"/>
    <w:multiLevelType w:val="singleLevel"/>
    <w:tmpl w:val="45DB9A87"/>
    <w:lvl w:ilvl="0" w:tentative="0">
      <w:start w:val="3"/>
      <w:numFmt w:val="chineseCounting"/>
      <w:suff w:val="nothing"/>
      <w:lvlText w:val="（%1）"/>
      <w:lvlJc w:val="left"/>
      <w:rPr>
        <w:rFonts w:hint="eastAsia"/>
      </w:rPr>
    </w:lvl>
  </w:abstractNum>
  <w:abstractNum w:abstractNumId="2">
    <w:nsid w:val="59950409"/>
    <w:multiLevelType w:val="singleLevel"/>
    <w:tmpl w:val="59950409"/>
    <w:lvl w:ilvl="0" w:tentative="0">
      <w:start w:val="1"/>
      <w:numFmt w:val="decimal"/>
      <w:suff w:val="space"/>
      <w:lvlText w:val="%1."/>
      <w:lvlJc w:val="left"/>
    </w:lvl>
  </w:abstractNum>
  <w:abstractNum w:abstractNumId="3">
    <w:nsid w:val="5F222FFA"/>
    <w:multiLevelType w:val="singleLevel"/>
    <w:tmpl w:val="5F222FFA"/>
    <w:lvl w:ilvl="0" w:tentative="0">
      <w:start w:val="1"/>
      <w:numFmt w:val="decimal"/>
      <w:suff w:val="nothing"/>
      <w:lvlText w:val="（%1）"/>
      <w:lvlJc w:val="left"/>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Y3NWZiY2YwNzhhNzE1M2ViMWJiNzlhZjhkZjNlNDgifQ=="/>
  </w:docVars>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2675B34"/>
    <w:rsid w:val="05B00A30"/>
    <w:rsid w:val="09232B3B"/>
    <w:rsid w:val="0B011416"/>
    <w:rsid w:val="15786F4E"/>
    <w:rsid w:val="163F1605"/>
    <w:rsid w:val="1BD04BDB"/>
    <w:rsid w:val="1EB75930"/>
    <w:rsid w:val="2E23328C"/>
    <w:rsid w:val="2EB3229A"/>
    <w:rsid w:val="31C2036A"/>
    <w:rsid w:val="320D02A5"/>
    <w:rsid w:val="33033CBD"/>
    <w:rsid w:val="348E566F"/>
    <w:rsid w:val="36B41AE5"/>
    <w:rsid w:val="3A0378D0"/>
    <w:rsid w:val="3A226944"/>
    <w:rsid w:val="3AEE6A48"/>
    <w:rsid w:val="3C1620AA"/>
    <w:rsid w:val="3C9E5451"/>
    <w:rsid w:val="3D7C5666"/>
    <w:rsid w:val="3D8F080F"/>
    <w:rsid w:val="44CE1FA4"/>
    <w:rsid w:val="454C4472"/>
    <w:rsid w:val="487F73ED"/>
    <w:rsid w:val="48E97D13"/>
    <w:rsid w:val="4A347EAE"/>
    <w:rsid w:val="52600405"/>
    <w:rsid w:val="529B4319"/>
    <w:rsid w:val="532F1948"/>
    <w:rsid w:val="54372AC9"/>
    <w:rsid w:val="54C84B3B"/>
    <w:rsid w:val="570B26F2"/>
    <w:rsid w:val="57773DD6"/>
    <w:rsid w:val="578B79AB"/>
    <w:rsid w:val="5CCD3FD5"/>
    <w:rsid w:val="5DA8369B"/>
    <w:rsid w:val="5E9A7F12"/>
    <w:rsid w:val="605367D9"/>
    <w:rsid w:val="61FA5F9D"/>
    <w:rsid w:val="64CD6910"/>
    <w:rsid w:val="6789158D"/>
    <w:rsid w:val="67D81BA4"/>
    <w:rsid w:val="6AAF1C96"/>
    <w:rsid w:val="6D740F6C"/>
    <w:rsid w:val="6E0C670E"/>
    <w:rsid w:val="707C1CB2"/>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眉 Char"/>
    <w:basedOn w:val="8"/>
    <w:link w:val="5"/>
    <w:qFormat/>
    <w:uiPriority w:val="99"/>
    <w:rPr>
      <w:rFonts w:asciiTheme="minorHAnsi" w:hAnsiTheme="minorHAnsi" w:eastAsiaTheme="minorEastAsia"/>
      <w:sz w:val="18"/>
      <w:szCs w:val="18"/>
    </w:rPr>
  </w:style>
  <w:style w:type="character" w:customStyle="1" w:styleId="10">
    <w:name w:val="页脚 Char"/>
    <w:basedOn w:val="8"/>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5" Type="http://schemas.openxmlformats.org/officeDocument/2006/relationships/fontTable" Target="fontTable.xml"/><Relationship Id="rId34" Type="http://schemas.openxmlformats.org/officeDocument/2006/relationships/customXml" Target="../customXml/item2.xml"/><Relationship Id="rId33" Type="http://schemas.openxmlformats.org/officeDocument/2006/relationships/numbering" Target="numbering.xml"/><Relationship Id="rId32" Type="http://schemas.openxmlformats.org/officeDocument/2006/relationships/customXml" Target="../customXml/item1.xml"/><Relationship Id="rId31" Type="http://schemas.openxmlformats.org/officeDocument/2006/relationships/chart" Target="charts/chart3.xml"/><Relationship Id="rId30" Type="http://schemas.openxmlformats.org/officeDocument/2006/relationships/chart" Target="charts/chart2.xml"/><Relationship Id="rId3" Type="http://schemas.openxmlformats.org/officeDocument/2006/relationships/header" Target="header1.xml"/><Relationship Id="rId29" Type="http://schemas.openxmlformats.org/officeDocument/2006/relationships/chart" Target="charts/chart1.xml"/><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收入决算情况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其他收入</c:v>
                </c:pt>
              </c:strCache>
            </c:strRef>
          </c:cat>
          <c:val>
            <c:numRef>
              <c:f>Sheet1!$B$2:$B$3</c:f>
              <c:numCache>
                <c:formatCode>0.00%</c:formatCode>
                <c:ptCount val="2"/>
                <c:pt idx="0">
                  <c:v>0.9872</c:v>
                </c:pt>
                <c:pt idx="1">
                  <c:v>0.0128</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支出决算情况</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基本支出</c:v>
                </c:pt>
                <c:pt idx="1">
                  <c:v>项目支出</c:v>
                </c:pt>
              </c:strCache>
            </c:strRef>
          </c:cat>
          <c:val>
            <c:numRef>
              <c:f>Sheet1!$B$2:$B$3</c:f>
              <c:numCache>
                <c:formatCode>0.00%</c:formatCode>
                <c:ptCount val="2"/>
                <c:pt idx="0">
                  <c:v>0.5648</c:v>
                </c:pt>
                <c:pt idx="1">
                  <c:v>0.4352</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400" b="0" i="0" u="none" strike="noStrike" kern="1200" spc="0" baseline="0">
              <a:solidFill>
                <a:schemeClr val="tx1">
                  <a:lumMod val="65000"/>
                  <a:lumOff val="35000"/>
                </a:schemeClr>
              </a:solidFill>
              <a:latin typeface="+mn-lt"/>
              <a:ea typeface="+mn-ea"/>
              <a:cs typeface="+mn-cs"/>
            </a:defRPr>
          </a:pPr>
        </a:p>
      </c:txPr>
    </c:title>
    <c:autoTitleDeleted val="0"/>
    <c:plotArea>
      <c:layout/>
      <c:pieChart>
        <c:varyColors val="1"/>
        <c:ser>
          <c:idx val="0"/>
          <c:order val="0"/>
          <c:tx>
            <c:strRef>
              <c:f>Sheet1!$B$1</c:f>
              <c:strCache>
                <c:ptCount val="1"/>
                <c:pt idx="0">
                  <c:v>财政拨款支出</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一般公共服务（类）支出</c:v>
                </c:pt>
                <c:pt idx="1">
                  <c:v>社会保障和就业（类）支出</c:v>
                </c:pt>
                <c:pt idx="2">
                  <c:v>卫生健康支出</c:v>
                </c:pt>
                <c:pt idx="3">
                  <c:v>住房保障（类）支出</c:v>
                </c:pt>
              </c:strCache>
            </c:strRef>
          </c:cat>
          <c:val>
            <c:numRef>
              <c:f>Sheet1!$B$2:$B$5</c:f>
              <c:numCache>
                <c:formatCode>0.00%</c:formatCode>
                <c:ptCount val="4"/>
                <c:pt idx="0">
                  <c:v>0.8996</c:v>
                </c:pt>
                <c:pt idx="1">
                  <c:v>0.0462</c:v>
                </c:pt>
                <c:pt idx="2">
                  <c:v>0.0252</c:v>
                </c:pt>
                <c:pt idx="3">
                  <c:v>0.0209</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manualLayout>
          <c:xMode val="edge"/>
          <c:yMode val="edge"/>
          <c:x val="0.661336687028387"/>
          <c:y val="0.363663754142814"/>
        </c:manualLayout>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30</Pages>
  <Words>8621</Words>
  <Characters>10368</Characters>
  <Lines>78</Lines>
  <Paragraphs>22</Paragraphs>
  <TotalTime>338</TotalTime>
  <ScaleCrop>false</ScaleCrop>
  <LinksUpToDate>false</LinksUpToDate>
  <CharactersWithSpaces>10653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平凡</cp:lastModifiedBy>
  <cp:lastPrinted>2020-07-30T02:37:00Z</cp:lastPrinted>
  <dcterms:modified xsi:type="dcterms:W3CDTF">2023-06-28T08:40:01Z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7B602470A3434174BDC5EF18840A7F86_13</vt:lpwstr>
  </property>
</Properties>
</file>