
<file path=[Content_Types].xml><?xml version="1.0" encoding="utf-8"?>
<Types xmlns="http://schemas.openxmlformats.org/package/2006/content-types">
  <Default Extension="xml" ContentType="application/xml"/>
  <Default Extension="jpeg" ContentType="image/jpe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drawing>
          <wp:anchor distT="0" distB="0" distL="114300" distR="114300" simplePos="0" relativeHeight="251668480" behindDoc="1" locked="0" layoutInCell="1" allowOverlap="1">
            <wp:simplePos x="0" y="0"/>
            <wp:positionH relativeFrom="column">
              <wp:posOffset>-959485</wp:posOffset>
            </wp:positionH>
            <wp:positionV relativeFrom="paragraph">
              <wp:posOffset>-1398270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0"/>
                    <a:stretch>
                      <a:fillRect/>
                    </a:stretch>
                  </pic:blipFill>
                  <pic:spPr>
                    <a:xfrm>
                      <a:off x="0" y="0"/>
                      <a:ext cx="7592060" cy="10739755"/>
                    </a:xfrm>
                    <a:prstGeom prst="rect">
                      <a:avLst/>
                    </a:prstGeom>
                  </pic:spPr>
                </pic:pic>
              </a:graphicData>
            </a:graphic>
          </wp:anchor>
        </w:drawing>
      </w:r>
      <w:r>
        <w:rPr>
          <w:sz w:val="21"/>
        </w:rPr>
        <mc:AlternateContent>
          <mc:Choice Requires="wps">
            <w:drawing>
              <wp:anchor distT="0" distB="0" distL="114300" distR="114300" simplePos="0" relativeHeight="251667456" behindDoc="0" locked="0" layoutInCell="1" allowOverlap="1">
                <wp:simplePos x="0" y="0"/>
                <wp:positionH relativeFrom="column">
                  <wp:posOffset>1110615</wp:posOffset>
                </wp:positionH>
                <wp:positionV relativeFrom="paragraph">
                  <wp:posOffset>8049260</wp:posOffset>
                </wp:positionV>
                <wp:extent cx="2924175" cy="819150"/>
                <wp:effectExtent l="4445" t="4445" r="5080" b="14605"/>
                <wp:wrapNone/>
                <wp:docPr id="22" name="文本框 22"/>
                <wp:cNvGraphicFramePr/>
                <a:graphic xmlns:a="http://schemas.openxmlformats.org/drawingml/2006/main">
                  <a:graphicData uri="http://schemas.microsoft.com/office/word/2010/wordprocessingShape">
                    <wps:wsp>
                      <wps:cNvSpPr txBox="1"/>
                      <wps:spPr>
                        <a:xfrm>
                          <a:off x="2082800" y="9381490"/>
                          <a:ext cx="2924175" cy="81915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b/>
                                <w:bCs/>
                                <w:sz w:val="44"/>
                                <w:szCs w:val="44"/>
                                <w:lang w:val="en-US" w:eastAsia="zh-CN"/>
                              </w:rPr>
                            </w:pPr>
                            <w:r>
                              <w:rPr>
                                <w:rFonts w:hint="eastAsia" w:ascii="楷体" w:hAnsi="楷体" w:eastAsia="楷体" w:cs="楷体"/>
                                <w:b/>
                                <w:bCs/>
                                <w:sz w:val="44"/>
                                <w:szCs w:val="44"/>
                                <w:lang w:val="en-US" w:eastAsia="zh-CN"/>
                              </w:rPr>
                              <w:t>2021年10月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7.45pt;margin-top:633.8pt;height:64.5pt;width:230.25pt;z-index:251667456;mso-width-relative:page;mso-height-relative:page;" fillcolor="#FFFFFF [3201]" filled="t" stroked="t" coordsize="21600,21600" o:gfxdata="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ZiWsvtsAAAANAQAADwAAAAAAAAABACAAAAAi&#10;AAAAZHJzL2Rvd25yZXYueG1sUEsBAhQAFAAAAAgAh07iQFeUQIZAAgAAeAQAAA4AAAAAAAAAAQAg&#10;AAAAKgEAAGRycy9lMm9Eb2MueG1sUEsFBgAAAAAGAAYAWQEAANwFAAAAAA==&#10;">
                <v:fill on="t" focussize="0,0"/>
                <v:stroke weight="0.5pt" color="#FFFFFF [3212]" joinstyle="round"/>
                <v:imagedata o:title=""/>
                <o:lock v:ext="edit" aspectratio="f"/>
                <v:textbox>
                  <w:txbxContent>
                    <w:p>
                      <w:pPr>
                        <w:jc w:val="center"/>
                        <w:rPr>
                          <w:rFonts w:hint="eastAsia" w:ascii="楷体" w:hAnsi="楷体" w:eastAsia="楷体" w:cs="楷体"/>
                          <w:b/>
                          <w:bCs/>
                          <w:sz w:val="44"/>
                          <w:szCs w:val="44"/>
                          <w:lang w:val="en-US" w:eastAsia="zh-CN"/>
                        </w:rPr>
                      </w:pPr>
                      <w:r>
                        <w:rPr>
                          <w:rFonts w:hint="eastAsia" w:ascii="楷体" w:hAnsi="楷体" w:eastAsia="楷体" w:cs="楷体"/>
                          <w:b/>
                          <w:bCs/>
                          <w:sz w:val="44"/>
                          <w:szCs w:val="44"/>
                          <w:lang w:val="en-US" w:eastAsia="zh-CN"/>
                        </w:rPr>
                        <w:t>2021年10月</w:t>
                      </w:r>
                    </w:p>
                  </w:txbxContent>
                </v:textbox>
              </v:shape>
            </w:pict>
          </mc:Fallback>
        </mc:AlternateContent>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w:t>
      </w:r>
      <w:r>
        <w:rPr>
          <w:rFonts w:hint="eastAsia" w:ascii="黑体" w:hAnsi="黑体" w:eastAsia="黑体" w:cs="黑体"/>
          <w:sz w:val="72"/>
          <w:szCs w:val="96"/>
          <w:lang w:eastAsia="zh-CN"/>
        </w:rPr>
        <w:t>本级</w:t>
      </w:r>
      <w:r>
        <w:rPr>
          <w:rFonts w:hint="eastAsia" w:ascii="黑体" w:hAnsi="黑体" w:eastAsia="黑体" w:cs="黑体"/>
          <w:sz w:val="72"/>
          <w:szCs w:val="96"/>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石家庄市鹿泉区住房和城乡建设局</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石家庄市鹿泉区</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default" w:ascii="黑体" w:hAnsi="黑体" w:eastAsia="黑体" w:cs="黑体"/>
          <w:sz w:val="72"/>
          <w:szCs w:val="96"/>
          <w:lang w:val="en-US" w:eastAsia="zh-CN"/>
        </w:rPr>
      </w:pPr>
      <w:r>
        <w:rPr>
          <w:rFonts w:hint="eastAsia" w:ascii="黑体" w:hAnsi="黑体" w:eastAsia="黑体" w:cs="黑体"/>
          <w:sz w:val="72"/>
          <w:szCs w:val="96"/>
          <w:lang w:val="en-US" w:eastAsia="zh-CN"/>
        </w:rPr>
        <w:t>住房和城乡建设局</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w:t>
      </w:r>
      <w:r>
        <w:rPr>
          <w:rFonts w:hint="eastAsia" w:ascii="黑体" w:hAnsi="黑体" w:eastAsia="黑体" w:cs="黑体"/>
          <w:sz w:val="72"/>
          <w:szCs w:val="96"/>
          <w:lang w:eastAsia="zh-CN"/>
        </w:rPr>
        <w:t>本级</w:t>
      </w:r>
      <w:r>
        <w:rPr>
          <w:rFonts w:hint="eastAsia" w:ascii="黑体" w:hAnsi="黑体" w:eastAsia="黑体" w:cs="黑体"/>
          <w:sz w:val="72"/>
          <w:szCs w:val="96"/>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both"/>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both"/>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w:t>
      </w:r>
      <w:r>
        <w:rPr>
          <w:rFonts w:hint="eastAsia" w:ascii="Times New Roman" w:hAnsi="Times New Roman" w:eastAsia="黑体" w:cs="Times New Roman"/>
          <w:sz w:val="32"/>
          <w:szCs w:val="32"/>
          <w:lang w:eastAsia="zh-CN"/>
        </w:rPr>
        <w:t>本级</w:t>
      </w:r>
      <w:r>
        <w:rPr>
          <w:rFonts w:ascii="Times New Roman" w:hAnsi="Times New Roman" w:eastAsia="黑体" w:cs="Times New Roman"/>
          <w:sz w:val="32"/>
          <w:szCs w:val="32"/>
        </w:rPr>
        <w:t>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w:t>
      </w:r>
      <w:r>
        <w:rPr>
          <w:rFonts w:hint="eastAsia" w:ascii="Times New Roman" w:hAnsi="Times New Roman" w:eastAsia="黑体" w:cs="Times New Roman"/>
          <w:sz w:val="32"/>
          <w:szCs w:val="32"/>
          <w:lang w:eastAsia="zh-CN"/>
        </w:rPr>
        <w:t>本级</w:t>
      </w:r>
      <w:r>
        <w:rPr>
          <w:rFonts w:ascii="Times New Roman" w:hAnsi="Times New Roman" w:eastAsia="黑体" w:cs="Times New Roman"/>
          <w:sz w:val="32"/>
          <w:szCs w:val="32"/>
        </w:rPr>
        <w:t>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JOCXofcAAAADQEAAA8A&#10;AAAAAAAAAQAgAAAAIgAAAGRycy9kb3ducmV2LnhtbFBLAQIUABQAAAAIAIdO4kCVxoSdhQIAACMF&#10;AAAOAAAAAAAAAAEAIAAAACsBAABkcnMvZTJvRG9jLnhtbFBLBQYAAAAABgAGAFkBAAAiBgAAAAA=&#10;">
                <v:fill type="pattern" on="t" color2="#FFFFFF [3212]"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3"/>
        <w:numPr>
          <w:ilvl w:val="0"/>
          <w:numId w:val="1"/>
        </w:numPr>
        <w:spacing w:before="0" w:after="0" w:line="580" w:lineRule="exact"/>
        <w:ind w:firstLine="640" w:firstLineChars="200"/>
        <w:jc w:val="left"/>
      </w:pPr>
      <w:r>
        <w:rPr>
          <w:rFonts w:hint="eastAsia" w:ascii="黑体" w:eastAsia="黑体" w:cs="黑体"/>
          <w:b w:val="0"/>
          <w:bCs w:val="0"/>
          <w:kern w:val="0"/>
          <w:sz w:val="32"/>
          <w:szCs w:val="32"/>
        </w:rPr>
        <w:t>部门职责</w:t>
      </w:r>
    </w:p>
    <w:p>
      <w:pPr>
        <w:ind w:firstLine="640" w:firstLineChars="200"/>
        <w:jc w:val="both"/>
        <w:outlineLvl w:val="1"/>
        <w:rPr>
          <w:rFonts w:hint="eastAsia" w:ascii="仿宋" w:hAnsi="仿宋" w:eastAsia="仿宋" w:cs="仿宋"/>
          <w:sz w:val="32"/>
          <w:szCs w:val="32"/>
        </w:rPr>
      </w:pPr>
      <w:r>
        <w:rPr>
          <w:rFonts w:hint="eastAsia" w:ascii="仿宋" w:hAnsi="仿宋" w:eastAsia="仿宋" w:cs="仿宋"/>
          <w:sz w:val="32"/>
          <w:szCs w:val="32"/>
        </w:rPr>
        <w:t>根据《石家庄市鹿泉区住房和城乡建设局职能配置、内设机构和人员编制规定》，石家庄市鹿泉区住房和城乡建设局的主要职责是：</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b w:val="0"/>
          <w:bCs/>
          <w:sz w:val="32"/>
          <w:szCs w:val="32"/>
          <w:lang w:val="en-US" w:eastAsia="zh-CN"/>
        </w:rPr>
        <w:t>1</w:t>
      </w:r>
      <w:r>
        <w:rPr>
          <w:rFonts w:hint="eastAsia" w:ascii="仿宋" w:hAnsi="仿宋" w:eastAsia="仿宋" w:cs="仿宋"/>
          <w:sz w:val="32"/>
          <w:szCs w:val="32"/>
        </w:rPr>
        <w:t>、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、贯彻落实党中央、国务院和省、市、区关于城市管理相关工作的方针政策和法律法规。拟订城市管理中长期发展规划和年度计划并组织实施。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、负责推进住房制度改革。贯彻落实住房政策，指导住房建设，推动住房制度改革；拟订住房建设发展规划并组织实施。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、负责全区房地产市场的监督管理。贯彻落实房地产市场调控政策并监督执行；落实上级房地产业行业发展规划、产业政策和房地产开发、房屋交易、房屋租赁、房地产估价与经纪管理的规章制度并监督实施。</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、推进新型城镇化（国家新型城镇化综合试点）建设工作。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、负责全区污水处理及污水处理行业管理工作。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、负责全区燃气行业管理工作。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、负责城市建设档案监督管理工作。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、负责直管公有住房的资产、售房款和售后维修资金的管理工作。会同有关部门做好支油、支铁建设协调工作。会同有关部门，做好城市建设行业涉及本部门的相关专业规划的编制和实施工作。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、负责住房城乡建设行业信息采集、整理、统计、分析、发布等工作。</w:t>
      </w:r>
    </w:p>
    <w:p>
      <w:pPr>
        <w:spacing w:line="5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、实施住房和城乡建设范围内法律法规规章规定的行政处罚权有关的行政强制措施。</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20</w:t>
      </w:r>
      <w:r>
        <w:rPr>
          <w:rFonts w:hint="eastAsia" w:ascii="仿宋" w:hAnsi="仿宋" w:eastAsia="仿宋" w:cs="仿宋"/>
          <w:sz w:val="32"/>
          <w:szCs w:val="32"/>
        </w:rPr>
        <w:t>、完成区委、区政府交办的其他任务。</w:t>
      </w:r>
    </w:p>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eastAsia="zh-CN"/>
        </w:rPr>
        <w:t>本部门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7</w:t>
      </w:r>
      <w:r>
        <w:rPr>
          <w:rFonts w:hint="eastAsia" w:ascii="仿宋_GB2312" w:hAnsi="Calibri" w:eastAsia="仿宋_GB2312" w:cs="Arial Black"/>
          <w:kern w:val="0"/>
          <w:sz w:val="32"/>
          <w:szCs w:val="32"/>
        </w:rPr>
        <w:t>个，具体情况如下：</w:t>
      </w:r>
    </w:p>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748"/>
        <w:gridCol w:w="218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74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8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石家庄市鹿泉区住房和城乡建设局</w:t>
            </w:r>
            <w:r>
              <w:rPr>
                <w:rFonts w:hint="eastAsia" w:ascii="仿宋_GB2312" w:eastAsia="仿宋_GB2312" w:cs="ArialUnicodeMS" w:hAnsiTheme="minorHAnsi"/>
                <w:kern w:val="0"/>
                <w:sz w:val="18"/>
                <w:szCs w:val="18"/>
              </w:rPr>
              <w:t>(本级)</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石家庄市鹿泉区房屋征收中心</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石家庄市鹿泉区城市建设服务中心</w:t>
            </w:r>
          </w:p>
        </w:tc>
        <w:tc>
          <w:tcPr>
            <w:tcW w:w="2182"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财政补助事业单位</w:t>
            </w:r>
          </w:p>
        </w:tc>
        <w:tc>
          <w:tcPr>
            <w:tcW w:w="2665"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4</w:t>
            </w:r>
          </w:p>
        </w:tc>
        <w:tc>
          <w:tcPr>
            <w:tcW w:w="3748"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18"/>
                <w:szCs w:val="18"/>
              </w:rPr>
              <w:t>石家庄市鹿泉区建筑和房地产市场稽查大队</w:t>
            </w:r>
          </w:p>
        </w:tc>
        <w:tc>
          <w:tcPr>
            <w:tcW w:w="2182" w:type="dxa"/>
            <w:tcBorders>
              <w:bottom w:val="single" w:color="auto" w:sz="4" w:space="0"/>
            </w:tcBorders>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5</w:t>
            </w:r>
          </w:p>
        </w:tc>
        <w:tc>
          <w:tcPr>
            <w:tcW w:w="3748" w:type="dxa"/>
            <w:tcBorders>
              <w:bottom w:val="single" w:color="auto" w:sz="4" w:space="0"/>
            </w:tcBorders>
          </w:tcPr>
          <w:p>
            <w:pPr>
              <w:spacing w:after="0" w:line="560" w:lineRule="exact"/>
              <w:rPr>
                <w:rFonts w:hint="eastAsia" w:ascii="仿宋" w:hAnsi="仿宋" w:eastAsia="仿宋" w:cs="仿宋"/>
                <w:sz w:val="18"/>
                <w:szCs w:val="18"/>
              </w:rPr>
            </w:pPr>
            <w:r>
              <w:rPr>
                <w:rFonts w:hint="eastAsia" w:ascii="仿宋" w:hAnsi="仿宋" w:eastAsia="仿宋" w:cs="仿宋"/>
                <w:sz w:val="21"/>
                <w:szCs w:val="21"/>
              </w:rPr>
              <w:t>石家庄市鹿泉区建筑业管理处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6</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鹿泉区廉租住房和经济适用住房管理中心</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7</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鹿泉区住房保障和房地产管理处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hint="default" w:ascii="仿宋_GB2312" w:eastAsia="仿宋_GB2312" w:cs="ArialUnicodeMS" w:hAnsiTheme="minorHAnsi"/>
                <w:kern w:val="0"/>
                <w:sz w:val="28"/>
                <w:szCs w:val="28"/>
                <w:lang w:val="en-US"/>
              </w:rPr>
            </w:pPr>
          </w:p>
        </w:tc>
      </w:tr>
    </w:tbl>
    <w:p>
      <w:pPr>
        <w:pStyle w:val="2"/>
      </w:pPr>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本级</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7F7F7F [1612]" filled="t" stroked="t" coordsize="21600,21600" o:gfxdata="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Msg6ANwAAAAOAQAADwAA&#10;AAAAAAABACAAAAAiAAAAZHJzL2Rvd25yZXYueG1sUEsBAhQAFAAAAAgAh07iQFOWLHKEAgAAHwUA&#10;AA4AAAAAAAAAAQAgAAAAKwEAAGRycy9lMm9Eb2MueG1sUEsFBgAAAAAGAAYAWQEAACEGAAAAAA==&#10;">
                <v:fill type="pattern" on="t" color2="#FFFFFF [3212]"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本级</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25009.99</w:t>
      </w:r>
      <w:r>
        <w:rPr>
          <w:rFonts w:hint="eastAsia" w:ascii="仿宋_GB2312" w:hAnsi="Times New Roman" w:eastAsia="仿宋_GB2312" w:cs="Wingdings"/>
          <w:sz w:val="32"/>
          <w:szCs w:val="32"/>
        </w:rPr>
        <w:t>万元。与2019年度决算相比，收支各减少</w:t>
      </w:r>
      <w:r>
        <w:rPr>
          <w:rFonts w:hint="eastAsia" w:ascii="仿宋_GB2312" w:hAnsi="Times New Roman" w:eastAsia="仿宋_GB2312" w:cs="Wingdings"/>
          <w:sz w:val="32"/>
          <w:szCs w:val="32"/>
          <w:lang w:val="en-US" w:eastAsia="zh-CN"/>
        </w:rPr>
        <w:t>17130.71</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40.65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主要原因是</w:t>
      </w:r>
      <w:r>
        <w:rPr>
          <w:rFonts w:hint="eastAsia" w:ascii="仿宋" w:hAnsi="仿宋" w:eastAsia="仿宋" w:cs="仿宋"/>
          <w:sz w:val="32"/>
          <w:szCs w:val="32"/>
          <w:lang w:eastAsia="zh-CN"/>
        </w:rPr>
        <w:t>基础设施建设</w:t>
      </w:r>
      <w:r>
        <w:rPr>
          <w:rFonts w:hint="eastAsia" w:ascii="仿宋_GB2312" w:hAnsi="Times New Roman" w:eastAsia="仿宋_GB2312" w:cs="DengXian-Regular"/>
          <w:sz w:val="32"/>
          <w:szCs w:val="32"/>
        </w:rPr>
        <w:t>减少。</w:t>
      </w:r>
    </w:p>
    <w:p>
      <w:pPr>
        <w:bidi w:val="0"/>
      </w:pPr>
      <w:r>
        <w:drawing>
          <wp:inline distT="0" distB="0" distL="114300" distR="114300">
            <wp:extent cx="5019675" cy="2686050"/>
            <wp:effectExtent l="0" t="0" r="9525" b="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2"/>
                    <a:stretch>
                      <a:fillRect/>
                    </a:stretch>
                  </pic:blipFill>
                  <pic:spPr>
                    <a:xfrm>
                      <a:off x="0" y="0"/>
                      <a:ext cx="5019675" cy="2686050"/>
                    </a:xfrm>
                    <a:prstGeom prst="rect">
                      <a:avLst/>
                    </a:prstGeom>
                    <a:noFill/>
                    <a:ln>
                      <a:noFill/>
                    </a:ln>
                  </pic:spPr>
                </pic:pic>
              </a:graphicData>
            </a:graphic>
          </wp:inline>
        </w:drawing>
      </w:r>
    </w:p>
    <w:p>
      <w:pPr>
        <w:tabs>
          <w:tab w:val="left" w:pos="5800"/>
        </w:tabs>
        <w:adjustRightInd w:val="0"/>
        <w:snapToGrid w:val="0"/>
        <w:spacing w:line="600" w:lineRule="exact"/>
        <w:jc w:val="center"/>
        <w:rPr>
          <w:rFonts w:hint="default" w:ascii="黑体" w:hAnsi="Calibri" w:eastAsia="仿宋_GB2312" w:cs="Times New Roman"/>
          <w:sz w:val="32"/>
          <w:szCs w:val="32"/>
          <w:lang w:val="en-US" w:eastAsia="zh-CN"/>
        </w:rPr>
      </w:pPr>
      <w:r>
        <w:rPr>
          <w:rFonts w:hint="eastAsia" w:ascii="仿宋_GB2312" w:hAnsi="Times New Roman" w:eastAsia="仿宋_GB2312" w:cs="Wingdings"/>
          <w:sz w:val="32"/>
          <w:szCs w:val="32"/>
          <w:lang w:val="en-US" w:eastAsia="zh-CN"/>
        </w:rPr>
        <w:t>图1：2019-2020年收支总计对比情况</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20890</w:t>
      </w:r>
      <w:r>
        <w:rPr>
          <w:rFonts w:hint="eastAsia" w:ascii="仿宋_GB2312" w:hAnsi="Times New Roman" w:eastAsia="仿宋_GB2312" w:cs="Wingdings"/>
          <w:sz w:val="32"/>
          <w:szCs w:val="32"/>
        </w:rPr>
        <w:t>万元，</w:t>
      </w:r>
      <w:r>
        <w:rPr>
          <w:rFonts w:hint="eastAsia" w:ascii="仿宋_GB2312" w:hAnsi="Times New Roman" w:eastAsia="仿宋_GB2312" w:cs="DengXian-Regular"/>
          <w:sz w:val="32"/>
          <w:szCs w:val="32"/>
        </w:rPr>
        <w:t>其中：财政拨款收入</w:t>
      </w:r>
      <w:r>
        <w:rPr>
          <w:rFonts w:hint="eastAsia" w:ascii="仿宋_GB2312" w:hAnsi="Times New Roman" w:eastAsia="仿宋_GB2312" w:cs="DengXian-Regular"/>
          <w:sz w:val="32"/>
          <w:szCs w:val="32"/>
          <w:lang w:val="en-US" w:eastAsia="zh-CN"/>
        </w:rPr>
        <w:t>20617.22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98.69</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272.78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1.31</w:t>
      </w:r>
      <w:r>
        <w:rPr>
          <w:rFonts w:hint="eastAsia" w:ascii="仿宋_GB2312" w:hAnsi="Times New Roman" w:eastAsia="仿宋_GB2312" w:cs="DengXian-Regular"/>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社会保障和就业支出19.56万元，占0.09%；卫生健康支出17.49万元，占0.08%；节能环保支出7518.6万元，占37.1%；城乡社区支出10432.39万元，占51.48%；住房保障支出928.79万元，占比4.58%；其他支出800万元，占比3.95%；抗疫特别国债安排的支出547万元，占比2.7%。（见图2）。</w:t>
      </w:r>
    </w:p>
    <w:p>
      <w:pPr>
        <w:pStyle w:val="2"/>
        <w:rPr>
          <w:rFonts w:hint="eastAsia"/>
          <w:lang w:val="en-US" w:eastAsia="zh-CN"/>
        </w:rPr>
      </w:pPr>
      <w:r>
        <w:rPr>
          <w:sz w:val="32"/>
        </w:rPr>
        <mc:AlternateContent>
          <mc:Choice Requires="wps">
            <w:drawing>
              <wp:anchor distT="0" distB="0" distL="114300" distR="114300" simplePos="0" relativeHeight="251669504" behindDoc="0" locked="0" layoutInCell="1" allowOverlap="1">
                <wp:simplePos x="0" y="0"/>
                <wp:positionH relativeFrom="column">
                  <wp:posOffset>1419860</wp:posOffset>
                </wp:positionH>
                <wp:positionV relativeFrom="paragraph">
                  <wp:posOffset>3696335</wp:posOffset>
                </wp:positionV>
                <wp:extent cx="3552190" cy="504825"/>
                <wp:effectExtent l="0" t="0" r="10160" b="9525"/>
                <wp:wrapNone/>
                <wp:docPr id="7" name="文本框 7"/>
                <wp:cNvGraphicFramePr/>
                <a:graphic xmlns:a="http://schemas.openxmlformats.org/drawingml/2006/main">
                  <a:graphicData uri="http://schemas.microsoft.com/office/word/2010/wordprocessingShape">
                    <wps:wsp>
                      <wps:cNvSpPr txBox="1"/>
                      <wps:spPr>
                        <a:xfrm>
                          <a:off x="2392045" y="5866765"/>
                          <a:ext cx="3552190" cy="5048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2：收入决算构成情况（按支出功能分类）类）</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1.8pt;margin-top:291.05pt;height:39.75pt;width:279.7pt;z-index:251669504;mso-width-relative:page;mso-height-relative:page;" fillcolor="#FFFFFF [3201]" filled="t" stroked="f" coordsize="21600,21600" o:gfxdata="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I74LT9YAAAALAQAADwAAAAAAAAABACAAAAAiAAAA&#10;ZHJzL2Rvd25yZXYueG1sUEsBAhQAFAAAAAgAh07iQN5bIpxCAgAATQQAAA4AAAAAAAAAAQAgAAAA&#10;JQEAAGRycy9lMm9Eb2MueG1sUEsFBgAAAAAGAAYAWQEAANkFAAAAAA==&#10;">
                <v:fill on="t" focussize="0,0"/>
                <v:stroke on="f" weight="0.5pt"/>
                <v:imagedata o:title=""/>
                <o:lock v:ext="edit" aspectratio="f"/>
                <v:textbo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2：收入决算构成情况（按支出功能分类）类）</w:t>
                      </w:r>
                    </w:p>
                    <w:p/>
                  </w:txbxContent>
                </v:textbox>
              </v:shape>
            </w:pict>
          </mc:Fallback>
        </mc:AlternateContent>
      </w:r>
      <w:r>
        <w:rPr>
          <w:rFonts w:hint="eastAsia"/>
          <w:lang w:val="en-US" w:eastAsia="zh-CN"/>
        </w:rPr>
        <w:t xml:space="preserve">     </w:t>
      </w:r>
      <w:r>
        <w:drawing>
          <wp:inline distT="0" distB="0" distL="114300" distR="114300">
            <wp:extent cx="5048250" cy="4161790"/>
            <wp:effectExtent l="4445" t="4445" r="14605" b="5715"/>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snapToGrid w:val="0"/>
        <w:spacing w:line="60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20263.83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501.64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全部支出的2.48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其中人员经费支出337.59万元，占1.67%，公用经费支出164.05万元，占0.81%；</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19762.19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97.52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全部为行政事业类项目（见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pPr>
        <w:pStyle w:val="2"/>
        <w:rPr>
          <w:rFonts w:hint="eastAsia" w:ascii="仿宋_GB2312" w:hAnsi="Times New Roman" w:eastAsia="仿宋_GB2312" w:cs="Wingdings"/>
          <w:sz w:val="32"/>
          <w:szCs w:val="32"/>
        </w:rPr>
      </w:pPr>
      <w:r>
        <w:rPr>
          <w:sz w:val="32"/>
        </w:rPr>
        <mc:AlternateContent>
          <mc:Choice Requires="wps">
            <w:drawing>
              <wp:anchor distT="0" distB="0" distL="114300" distR="114300" simplePos="0" relativeHeight="251670528" behindDoc="0" locked="0" layoutInCell="1" allowOverlap="1">
                <wp:simplePos x="0" y="0"/>
                <wp:positionH relativeFrom="column">
                  <wp:posOffset>1520825</wp:posOffset>
                </wp:positionH>
                <wp:positionV relativeFrom="paragraph">
                  <wp:posOffset>3384550</wp:posOffset>
                </wp:positionV>
                <wp:extent cx="3343275" cy="427990"/>
                <wp:effectExtent l="5080" t="4445" r="4445" b="5715"/>
                <wp:wrapNone/>
                <wp:docPr id="9" name="文本框 9"/>
                <wp:cNvGraphicFramePr/>
                <a:graphic xmlns:a="http://schemas.openxmlformats.org/drawingml/2006/main">
                  <a:graphicData uri="http://schemas.microsoft.com/office/word/2010/wordprocessingShape">
                    <wps:wsp>
                      <wps:cNvSpPr txBox="1"/>
                      <wps:spPr>
                        <a:xfrm>
                          <a:off x="2435860" y="4821555"/>
                          <a:ext cx="3343275" cy="42799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3：支出决算构成情况（按支出性质）</w:t>
                            </w:r>
                          </w:p>
                          <w:p>
                            <w:pPr>
                              <w:jc w:val="cente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9.75pt;margin-top:266.5pt;height:33.7pt;width:263.25pt;z-index:251670528;mso-width-relative:page;mso-height-relative:page;" fillcolor="#FFFFFF [3201]" filled="t" stroked="t" coordsize="21600,21600" o:gfxdata="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CT0CE/ZAAAACwEAAA8AAAAAAAAAAQAg&#10;AAAAIgAAAGRycy9kb3ducmV2LnhtbFBLAQIUABQAAAAIAIdO4kDkD99GRgIAAHYEAAAOAAAAAAAA&#10;AAEAIAAAACgBAABkcnMvZTJvRG9jLnhtbFBLBQYAAAAABgAGAFkBAADgBQAAAAA=&#10;">
                <v:fill on="t" focussize="0,0"/>
                <v:stroke weight="0.5pt" color="#FFFFFF [3212]" joinstyle="round"/>
                <v:imagedata o:title=""/>
                <o:lock v:ext="edit" aspectratio="f"/>
                <v:textbox>
                  <w:txbxContent>
                    <w:p>
                      <w:pPr>
                        <w:jc w:val="cente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3：支出决算构成情况（按支出性质）</w:t>
                      </w:r>
                    </w:p>
                    <w:p>
                      <w:pPr>
                        <w:jc w:val="center"/>
                      </w:pPr>
                    </w:p>
                  </w:txbxContent>
                </v:textbox>
              </v:shape>
            </w:pict>
          </mc:Fallback>
        </mc:AlternateContent>
      </w:r>
      <w:r>
        <w:rPr>
          <w:rFonts w:hint="eastAsia"/>
          <w:lang w:val="en-US" w:eastAsia="zh-CN"/>
        </w:rPr>
        <w:t xml:space="preserve">     </w:t>
      </w:r>
      <w:r>
        <w:drawing>
          <wp:inline distT="0" distB="0" distL="114300" distR="114300">
            <wp:extent cx="5074920" cy="3771900"/>
            <wp:effectExtent l="5080" t="4445" r="6350" b="14605"/>
            <wp:docPr id="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580" w:lineRule="exact"/>
        <w:ind w:firstLine="640" w:firstLineChars="200"/>
        <w:rPr>
          <w:rFonts w:hint="eastAsia" w:ascii="楷体_GB2312" w:hAnsi="Times New Roman" w:eastAsia="楷体_GB2312" w:cs="Mongolian Baiti"/>
          <w:b/>
          <w:bCs/>
          <w:sz w:val="32"/>
          <w:szCs w:val="32"/>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2020年度形成的财政拨款收</w:t>
      </w:r>
      <w:r>
        <w:rPr>
          <w:rFonts w:hint="eastAsia" w:ascii="仿宋_GB2312" w:hAnsi="Times New Roman" w:eastAsia="仿宋_GB2312" w:cs="Wingdings"/>
          <w:sz w:val="32"/>
          <w:szCs w:val="32"/>
          <w:lang w:eastAsia="zh-CN"/>
        </w:rPr>
        <w:t>入为</w:t>
      </w:r>
      <w:r>
        <w:rPr>
          <w:rFonts w:hint="eastAsia" w:ascii="仿宋_GB2312" w:hAnsi="Times New Roman" w:eastAsia="仿宋_GB2312" w:cs="Wingdings"/>
          <w:sz w:val="32"/>
          <w:szCs w:val="32"/>
          <w:lang w:val="en-US" w:eastAsia="zh-CN"/>
        </w:rPr>
        <w:t>20617.22万元，其中：</w:t>
      </w:r>
      <w:r>
        <w:rPr>
          <w:rFonts w:hint="eastAsia" w:ascii="仿宋_GB2312" w:hAnsi="Times New Roman" w:eastAsia="仿宋_GB2312" w:cs="DengXian-Regular"/>
          <w:sz w:val="32"/>
          <w:szCs w:val="32"/>
        </w:rPr>
        <w:t>一般公共预算财政拨款</w:t>
      </w:r>
      <w:r>
        <w:rPr>
          <w:rFonts w:hint="eastAsia" w:ascii="仿宋_GB2312" w:hAnsi="Times New Roman" w:eastAsia="仿宋_GB2312" w:cs="DengXian-Regular"/>
          <w:sz w:val="32"/>
          <w:szCs w:val="32"/>
          <w:lang w:val="en-US" w:eastAsia="zh-CN"/>
        </w:rPr>
        <w:t>7738.97万元，</w:t>
      </w:r>
      <w:r>
        <w:rPr>
          <w:rFonts w:hint="eastAsia" w:ascii="仿宋_GB2312" w:hAnsi="Times New Roman" w:eastAsia="仿宋_GB2312" w:cs="DengXian-Regular"/>
          <w:sz w:val="32"/>
          <w:szCs w:val="32"/>
        </w:rPr>
        <w:t>政府性基金预算财政拨款</w:t>
      </w:r>
      <w:r>
        <w:rPr>
          <w:rFonts w:hint="eastAsia" w:ascii="仿宋_GB2312" w:hAnsi="Times New Roman" w:eastAsia="仿宋_GB2312" w:cs="DengXian-Regular"/>
          <w:sz w:val="32"/>
          <w:szCs w:val="32"/>
          <w:lang w:val="en-US" w:eastAsia="zh-CN"/>
        </w:rPr>
        <w:t>12878.25万元，</w:t>
      </w:r>
      <w:r>
        <w:rPr>
          <w:rFonts w:hint="eastAsia" w:ascii="仿宋_GB2312" w:hAnsi="Times New Roman" w:eastAsia="仿宋_GB2312" w:cs="DengXian-Regular"/>
          <w:sz w:val="32"/>
          <w:szCs w:val="32"/>
        </w:rPr>
        <w:t>本年收入比201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年度减少</w:t>
      </w:r>
      <w:r>
        <w:rPr>
          <w:rFonts w:hint="eastAsia" w:ascii="仿宋_GB2312" w:hAnsi="Times New Roman" w:eastAsia="仿宋_GB2312" w:cs="DengXian-Regular"/>
          <w:sz w:val="32"/>
          <w:szCs w:val="32"/>
          <w:lang w:val="en-US" w:eastAsia="zh-CN"/>
        </w:rPr>
        <w:t>9432.3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31.11</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20263.83</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11864.13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36.93</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lang w:val="en-US" w:eastAsia="zh-CN"/>
        </w:rPr>
        <w:t>收支减少</w:t>
      </w:r>
      <w:r>
        <w:rPr>
          <w:rFonts w:hint="eastAsia" w:ascii="仿宋_GB2312" w:hAnsi="Times New Roman" w:eastAsia="仿宋_GB2312" w:cs="Wingdings"/>
          <w:sz w:val="32"/>
          <w:szCs w:val="32"/>
        </w:rPr>
        <w:t>主要是</w:t>
      </w:r>
      <w:bookmarkStart w:id="0" w:name="_GoBack"/>
      <w:bookmarkEnd w:id="0"/>
      <w:r>
        <w:rPr>
          <w:rFonts w:hint="eastAsia" w:ascii="仿宋_GB2312" w:hAnsi="Times New Roman" w:eastAsia="仿宋_GB2312" w:cs="Wingdings"/>
          <w:sz w:val="32"/>
          <w:szCs w:val="32"/>
          <w:lang w:val="en-US" w:eastAsia="zh-CN"/>
        </w:rPr>
        <w:t>本年项目资金投入较上年减少。</w:t>
      </w:r>
    </w:p>
    <w:p>
      <w:pPr>
        <w:snapToGrid w:val="0"/>
        <w:spacing w:line="600" w:lineRule="exact"/>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snapToGrid w:val="0"/>
        <w:spacing w:line="600" w:lineRule="exact"/>
        <w:ind w:firstLine="420" w:firstLineChars="200"/>
        <w:rPr>
          <w:rFonts w:hint="eastAsia" w:ascii="楷体_GB2312" w:hAnsi="Times New Roman" w:eastAsia="楷体_GB2312" w:cs="Mongolian Baiti"/>
          <w:b/>
          <w:bCs/>
          <w:sz w:val="32"/>
          <w:szCs w:val="32"/>
        </w:rPr>
      </w:pPr>
      <w:r>
        <w:drawing>
          <wp:anchor distT="0" distB="0" distL="114300" distR="114300" simplePos="0" relativeHeight="251671552" behindDoc="1" locked="0" layoutInCell="1" allowOverlap="1">
            <wp:simplePos x="0" y="0"/>
            <wp:positionH relativeFrom="column">
              <wp:posOffset>271145</wp:posOffset>
            </wp:positionH>
            <wp:positionV relativeFrom="paragraph">
              <wp:posOffset>46355</wp:posOffset>
            </wp:positionV>
            <wp:extent cx="4572000" cy="3352800"/>
            <wp:effectExtent l="4445" t="4445" r="14605" b="14605"/>
            <wp:wrapTight wrapText="bothSides">
              <wp:wrapPolygon>
                <wp:start x="-21" y="-29"/>
                <wp:lineTo x="-21" y="21571"/>
                <wp:lineTo x="21579" y="21571"/>
                <wp:lineTo x="21579" y="-29"/>
                <wp:lineTo x="-21" y="-29"/>
              </wp:wrapPolygon>
            </wp:wrapTight>
            <wp:docPr id="1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pStyle w:val="2"/>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pStyle w:val="2"/>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pPr>
    </w:p>
    <w:p>
      <w:pPr>
        <w:snapToGrid w:val="0"/>
        <w:spacing w:line="600" w:lineRule="exact"/>
        <w:ind w:firstLine="640" w:firstLineChars="200"/>
        <w:rPr>
          <w:sz w:val="32"/>
        </w:rPr>
      </w:pPr>
    </w:p>
    <w:p>
      <w:pPr>
        <w:snapToGrid w:val="0"/>
        <w:spacing w:line="600" w:lineRule="exact"/>
        <w:rPr>
          <w:sz w:val="32"/>
        </w:rPr>
      </w:pPr>
      <w:r>
        <w:rPr>
          <w:sz w:val="32"/>
        </w:rPr>
        <mc:AlternateContent>
          <mc:Choice Requires="wps">
            <w:drawing>
              <wp:anchor distT="0" distB="0" distL="114300" distR="114300" simplePos="0" relativeHeight="251665408" behindDoc="1" locked="0" layoutInCell="1" allowOverlap="1">
                <wp:simplePos x="0" y="0"/>
                <wp:positionH relativeFrom="column">
                  <wp:posOffset>468630</wp:posOffset>
                </wp:positionH>
                <wp:positionV relativeFrom="paragraph">
                  <wp:posOffset>178435</wp:posOffset>
                </wp:positionV>
                <wp:extent cx="4209415" cy="390525"/>
                <wp:effectExtent l="0" t="0" r="12065" b="571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6.9pt;margin-top:14.05pt;height:30.75pt;width:331.45pt;z-index:-251651072;mso-width-relative:page;mso-height-relative:page;" fillcolor="#FFFFFF" filled="t" stroked="f" coordsize="21600,21600" o:gfxdata="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C3psTP1AAAAAgBAAAPAAAAAAAAAAEAIAAAACIAAABkcnMvZG93bnJl&#10;di54bWxQSwECFAAUAAAACACHTuJAdr6wUToCAABRBAAADgAAAAAAAAABACAAAAAjAQAAZHJzL2Uy&#10;b0RvYy54bWxQSwUGAAAAAAYABgBZAQAAz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pStyle w:val="2"/>
        <w:rPr>
          <w:rFonts w:hint="eastAsia"/>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7738.97</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175.82</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3337.28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11226.63</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255.05</w:t>
      </w:r>
      <w:r>
        <w:rPr>
          <w:rFonts w:hint="eastAsia" w:ascii="仿宋_GB2312" w:hAnsi="Times New Roman" w:eastAsia="仿宋_GB2312" w:cs="Wingdings"/>
          <w:sz w:val="32"/>
          <w:szCs w:val="32"/>
        </w:rPr>
        <w:t>%,比年初预算</w:t>
      </w:r>
      <w:r>
        <w:rPr>
          <w:rFonts w:hint="eastAsia" w:ascii="仿宋_GB2312" w:hAnsi="Times New Roman" w:eastAsia="仿宋_GB2312" w:cs="Wingdings"/>
          <w:sz w:val="32"/>
          <w:szCs w:val="32"/>
          <w:lang w:eastAsia="zh-CN"/>
        </w:rPr>
        <w:t>增加</w:t>
      </w:r>
      <w:r>
        <w:rPr>
          <w:rFonts w:hint="eastAsia" w:ascii="仿宋_GB2312" w:hAnsi="Times New Roman" w:eastAsia="仿宋_GB2312" w:cs="Wingdings"/>
          <w:sz w:val="32"/>
          <w:szCs w:val="32"/>
          <w:lang w:val="en-US" w:eastAsia="zh-CN"/>
        </w:rPr>
        <w:t>6824.94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。收入</w:t>
      </w:r>
      <w:r>
        <w:rPr>
          <w:rFonts w:hint="eastAsia" w:ascii="仿宋_GB2312" w:hAnsi="Times New Roman" w:eastAsia="仿宋_GB2312" w:cs="DengXian-Regular"/>
          <w:sz w:val="32"/>
          <w:szCs w:val="32"/>
        </w:rPr>
        <w:t>决算数大于预算数主要原因是</w:t>
      </w:r>
      <w:r>
        <w:rPr>
          <w:rFonts w:hint="eastAsia" w:ascii="仿宋_GB2312" w:eastAsia="仿宋_GB2312" w:cs="DengXian-Regular"/>
          <w:sz w:val="32"/>
          <w:szCs w:val="32"/>
          <w:lang w:eastAsia="zh-CN"/>
        </w:rPr>
        <w:t>部门调整预算指标</w:t>
      </w:r>
      <w:r>
        <w:rPr>
          <w:rFonts w:hint="eastAsia" w:ascii="仿宋_GB2312" w:hAnsi="Times New Roman" w:eastAsia="仿宋_GB2312" w:cs="Wingdings"/>
          <w:sz w:val="32"/>
          <w:szCs w:val="32"/>
          <w:lang w:val="en-US" w:eastAsia="zh-CN"/>
        </w:rPr>
        <w:t>。2020年项目收入7235.41万元，支出19489.41万元，分别比年初预算增加1487.97万元、1156.15万元</w:t>
      </w:r>
      <w:r>
        <w:rPr>
          <w:rFonts w:hint="eastAsia" w:ascii="仿宋_GB2312" w:hAnsi="Times New Roman" w:eastAsia="仿宋_GB2312" w:cs="Wingdings"/>
          <w:sz w:val="32"/>
          <w:szCs w:val="32"/>
          <w:highlight w:val="none"/>
          <w:lang w:val="en-US" w:eastAsia="zh-CN"/>
        </w:rPr>
        <w:t>。</w:t>
      </w:r>
    </w:p>
    <w:p>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年度财政拨款支出</w:t>
      </w:r>
      <w:r>
        <w:rPr>
          <w:rFonts w:hint="eastAsia" w:ascii="仿宋_GB2312" w:hAnsi="Times New Roman" w:eastAsia="仿宋_GB2312" w:cs="DengXian-Regular"/>
          <w:sz w:val="32"/>
          <w:szCs w:val="32"/>
          <w:lang w:val="en-US" w:eastAsia="zh-CN"/>
        </w:rPr>
        <w:t>19991.05</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社会保障和就业支出</w:t>
      </w:r>
      <w:r>
        <w:rPr>
          <w:rFonts w:hint="eastAsia" w:ascii="仿宋_GB2312" w:hAnsi="Times New Roman" w:eastAsia="仿宋_GB2312" w:cs="DengXian-Regular"/>
          <w:sz w:val="32"/>
          <w:szCs w:val="32"/>
          <w:lang w:val="en-US" w:eastAsia="zh-CN"/>
        </w:rPr>
        <w:t>19.57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17.49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0.09</w:t>
      </w:r>
      <w:r>
        <w:rPr>
          <w:rFonts w:hint="eastAsia" w:ascii="仿宋_GB2312" w:hAnsi="Times New Roman" w:eastAsia="仿宋_GB2312" w:cs="DengXian-Regular"/>
          <w:sz w:val="32"/>
          <w:szCs w:val="32"/>
        </w:rPr>
        <w:t>%；节能环保支出</w:t>
      </w:r>
      <w:r>
        <w:rPr>
          <w:rFonts w:hint="eastAsia" w:ascii="仿宋_GB2312" w:hAnsi="Times New Roman" w:eastAsia="仿宋_GB2312" w:cs="DengXian-Regular"/>
          <w:sz w:val="32"/>
          <w:szCs w:val="32"/>
          <w:lang w:val="en-US" w:eastAsia="zh-CN"/>
        </w:rPr>
        <w:t>7518.6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37.61</w:t>
      </w:r>
      <w:r>
        <w:rPr>
          <w:rFonts w:hint="eastAsia" w:ascii="仿宋_GB2312" w:hAnsi="Times New Roman" w:eastAsia="仿宋_GB2312" w:cs="DengXian-Regular"/>
          <w:sz w:val="32"/>
          <w:szCs w:val="32"/>
        </w:rPr>
        <w:t>%；城乡社区支出</w:t>
      </w:r>
      <w:r>
        <w:rPr>
          <w:rFonts w:hint="eastAsia" w:ascii="仿宋_GB2312" w:hAnsi="Times New Roman" w:eastAsia="仿宋_GB2312" w:cs="DengXian-Regular"/>
          <w:sz w:val="32"/>
          <w:szCs w:val="32"/>
          <w:lang w:val="en-US" w:eastAsia="zh-CN"/>
        </w:rPr>
        <w:t>10159.61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50.82</w:t>
      </w:r>
      <w:r>
        <w:rPr>
          <w:rFonts w:hint="eastAsia" w:ascii="仿宋_GB2312" w:hAnsi="Times New Roman" w:eastAsia="仿宋_GB2312" w:cs="DengXian-Regular"/>
          <w:sz w:val="32"/>
          <w:szCs w:val="32"/>
        </w:rPr>
        <w:t>%；住房保障支出</w:t>
      </w:r>
      <w:r>
        <w:rPr>
          <w:rFonts w:hint="eastAsia" w:ascii="仿宋_GB2312" w:hAnsi="Times New Roman" w:eastAsia="仿宋_GB2312" w:cs="DengXian-Regular"/>
          <w:sz w:val="32"/>
          <w:szCs w:val="32"/>
          <w:lang w:val="en-US" w:eastAsia="zh-CN"/>
        </w:rPr>
        <w:t>928.79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4.65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；其他支出</w:t>
      </w:r>
      <w:r>
        <w:rPr>
          <w:rFonts w:hint="eastAsia" w:ascii="仿宋_GB2312" w:hAnsi="Times New Roman" w:eastAsia="仿宋_GB2312" w:cs="DengXian-Regular"/>
          <w:sz w:val="32"/>
          <w:szCs w:val="32"/>
          <w:lang w:val="en-US" w:eastAsia="zh-CN"/>
        </w:rPr>
        <w:t>800万元，占比4%；抗疫特别国债安排的支出547万元，占比2.74%。</w:t>
      </w:r>
    </w:p>
    <w:p>
      <w:pPr>
        <w:bidi w:val="0"/>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按经济分类看：工资福利支出306.46万元、商品和服务支出</w:t>
      </w: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164.05万元、对个人和家庭的补助31.12万元、资本性支出19489.41万元（见图5）。</w:t>
      </w:r>
    </w:p>
    <w:p>
      <w:pPr>
        <w:pStyle w:val="2"/>
        <w:rPr>
          <w:rFonts w:hint="eastAsia" w:ascii="仿宋_GB2312" w:hAnsi="Times New Roman" w:eastAsia="仿宋_GB2312" w:cs="Wingdings"/>
          <w:sz w:val="32"/>
          <w:szCs w:val="32"/>
          <w:lang w:val="en-US" w:eastAsia="zh-CN"/>
        </w:rPr>
      </w:pPr>
      <w:r>
        <w:rPr>
          <w:rFonts w:hint="eastAsia"/>
          <w:lang w:val="en-US" w:eastAsia="zh-CN"/>
        </w:rPr>
        <w:t xml:space="preserve">    </w:t>
      </w:r>
      <w:r>
        <w:drawing>
          <wp:inline distT="0" distB="0" distL="114300" distR="114300">
            <wp:extent cx="5076825" cy="3903980"/>
            <wp:effectExtent l="5080" t="4445" r="4445" b="15875"/>
            <wp:docPr id="12"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2"/>
        <w:rPr>
          <w:rFonts w:hint="eastAsia" w:ascii="仿宋_GB2312" w:hAnsi="Times New Roman" w:eastAsia="仿宋_GB2312" w:cs="Wingdings"/>
          <w:sz w:val="32"/>
          <w:szCs w:val="32"/>
          <w:lang w:val="en-US" w:eastAsia="zh-CN"/>
        </w:rPr>
      </w:pPr>
      <w:r>
        <w:rPr>
          <w:sz w:val="32"/>
        </w:rPr>
        <mc:AlternateContent>
          <mc:Choice Requires="wps">
            <w:drawing>
              <wp:anchor distT="0" distB="0" distL="114300" distR="114300" simplePos="0" relativeHeight="251672576" behindDoc="0" locked="0" layoutInCell="1" allowOverlap="1">
                <wp:simplePos x="0" y="0"/>
                <wp:positionH relativeFrom="column">
                  <wp:posOffset>1397000</wp:posOffset>
                </wp:positionH>
                <wp:positionV relativeFrom="paragraph">
                  <wp:posOffset>10160</wp:posOffset>
                </wp:positionV>
                <wp:extent cx="3409950" cy="476250"/>
                <wp:effectExtent l="4445" t="4445" r="14605" b="14605"/>
                <wp:wrapNone/>
                <wp:docPr id="13" name="文本框 13"/>
                <wp:cNvGraphicFramePr/>
                <a:graphic xmlns:a="http://schemas.openxmlformats.org/drawingml/2006/main">
                  <a:graphicData uri="http://schemas.microsoft.com/office/word/2010/wordprocessingShape">
                    <wps:wsp>
                      <wps:cNvSpPr txBox="1"/>
                      <wps:spPr>
                        <a:xfrm>
                          <a:off x="2369185" y="7966710"/>
                          <a:ext cx="3409950" cy="47625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5:2020年支出构成（按经济分类）情况</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0pt;margin-top:0.8pt;height:37.5pt;width:268.5pt;z-index:251672576;mso-width-relative:page;mso-height-relative:page;" fillcolor="#FFFFFF [3201]" filled="t" stroked="t" coordsize="21600,21600" o:gfxdata="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H+PPznVAAAACAEAAA8AAAAAAAAAAQAgAAAAIgAAAGRycy9k&#10;b3ducmV2LnhtbFBLAQIUABQAAAAIAIdO4kAWl4/kPgIAAHgEAAAOAAAAAAAAAAEAIAAAACQBAABk&#10;cnMvZTJvRG9jLnhtbFBLBQYAAAAABgAGAFkBAADUBQAAAAA=&#10;">
                <v:fill on="t" focussize="0,0"/>
                <v:stroke weight="0.5pt" color="#FFFFFF [3212]" joinstyle="round"/>
                <v:imagedata o:title=""/>
                <o:lock v:ext="edit" aspectratio="f"/>
                <v:textbox>
                  <w:txbxContent>
                    <w:p>
                      <w:pP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5:2020年支出构成（按经济分类）情况</w:t>
                      </w:r>
                    </w:p>
                    <w:p/>
                  </w:txbxContent>
                </v:textbox>
              </v:shape>
            </w:pict>
          </mc:Fallback>
        </mc:AlternateContent>
      </w:r>
    </w:p>
    <w:p>
      <w:pPr>
        <w:pStyle w:val="2"/>
        <w:rPr>
          <w:rFonts w:hint="eastAsia" w:ascii="仿宋_GB2312" w:hAnsi="Times New Roman" w:eastAsia="仿宋_GB2312" w:cs="Wingdings"/>
          <w:sz w:val="32"/>
          <w:szCs w:val="32"/>
          <w:lang w:val="en-US" w:eastAsia="zh-CN"/>
        </w:rPr>
      </w:pPr>
    </w:p>
    <w:p>
      <w:pPr>
        <w:pStyle w:val="2"/>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66432" behindDoc="0" locked="0" layoutInCell="1" allowOverlap="1">
                <wp:simplePos x="0" y="0"/>
                <wp:positionH relativeFrom="column">
                  <wp:posOffset>1495425</wp:posOffset>
                </wp:positionH>
                <wp:positionV relativeFrom="paragraph">
                  <wp:posOffset>3879215</wp:posOffset>
                </wp:positionV>
                <wp:extent cx="3620135" cy="381000"/>
                <wp:effectExtent l="4445" t="4445" r="13970" b="14605"/>
                <wp:wrapNone/>
                <wp:docPr id="19" name="文本框 19"/>
                <wp:cNvGraphicFramePr/>
                <a:graphic xmlns:a="http://schemas.openxmlformats.org/drawingml/2006/main">
                  <a:graphicData uri="http://schemas.microsoft.com/office/word/2010/wordprocessingShape">
                    <wps:wsp>
                      <wps:cNvSpPr txBox="1"/>
                      <wps:spPr>
                        <a:xfrm>
                          <a:off x="1724660" y="5192395"/>
                          <a:ext cx="3620135" cy="38100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5:2020年支出构成（按经济分类）情况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7.75pt;margin-top:305.45pt;height:30pt;width:285.05pt;z-index:251666432;mso-width-relative:page;mso-height-relative:page;" fillcolor="#FFFFFF [3201]" filled="t" stroked="t" coordsize="21600,21600" o:gfxdata="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TXAVQtgAAAALAQAADwAAAAAAAAABACAA&#10;AAAiAAAAZHJzL2Rvd25yZXYueG1sUEsBAhQAFAAAAAgAh07iQFnpP6hGAgAAeAQAAA4AAAAAAAAA&#10;AQAgAAAAJwEAAGRycy9lMm9Eb2MueG1sUEsFBgAAAAAGAAYAWQEAAN8FAAAAAA==&#10;">
                <v:fill on="t" focussize="0,0"/>
                <v:stroke weight="0.5pt" color="#FFFFFF [3212]" joinstyle="round"/>
                <v:imagedata o:title=""/>
                <o:lock v:ext="edit" aspectratio="f"/>
                <v:textbox>
                  <w:txbxContent>
                    <w:p>
                      <w:pPr>
                        <w:rPr>
                          <w:rFonts w:hint="eastAsia" w:ascii="楷体" w:hAnsi="楷体" w:eastAsia="楷体" w:cs="楷体"/>
                          <w:sz w:val="28"/>
                          <w:szCs w:val="28"/>
                          <w:lang w:val="en-US" w:eastAsia="zh-CN"/>
                        </w:rPr>
                      </w:pPr>
                      <w:r>
                        <w:rPr>
                          <w:rFonts w:hint="eastAsia" w:ascii="楷体" w:hAnsi="楷体" w:eastAsia="楷体" w:cs="楷体"/>
                          <w:sz w:val="28"/>
                          <w:szCs w:val="28"/>
                          <w:lang w:eastAsia="zh-CN"/>
                        </w:rPr>
                        <w:t>图</w:t>
                      </w:r>
                      <w:r>
                        <w:rPr>
                          <w:rFonts w:hint="eastAsia" w:ascii="楷体" w:hAnsi="楷体" w:eastAsia="楷体" w:cs="楷体"/>
                          <w:sz w:val="28"/>
                          <w:szCs w:val="28"/>
                          <w:lang w:val="en-US" w:eastAsia="zh-CN"/>
                        </w:rPr>
                        <w:t>5:2020年支出构成（按经济分类）情况</w:t>
                      </w:r>
                    </w:p>
                  </w:txbxContent>
                </v:textbox>
              </v:shape>
            </w:pict>
          </mc:Fallback>
        </mc:AlternateContent>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501.64</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337.59</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164.05</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近年来，本单位</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8.1</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7.46</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92.1</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0.64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下降7.9</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厉行节约，</w:t>
      </w:r>
      <w:r>
        <w:rPr>
          <w:rFonts w:hint="eastAsia" w:ascii="仿宋_GB2312" w:eastAsia="仿宋_GB2312" w:cs="DengXian-Regular"/>
          <w:sz w:val="32"/>
          <w:szCs w:val="32"/>
        </w:rPr>
        <w:t>从严控制“三公”经费开支，</w:t>
      </w:r>
      <w:r>
        <w:rPr>
          <w:rFonts w:hint="eastAsia" w:ascii="仿宋_GB2312" w:hAnsi="Times New Roman" w:eastAsia="仿宋_GB2312" w:cs="Wingdings"/>
          <w:sz w:val="32"/>
          <w:szCs w:val="32"/>
          <w:lang w:val="en-US" w:eastAsia="zh-CN"/>
        </w:rPr>
        <w:t>与上年决算相比，本年“三公”经费支出减少0.1</w:t>
      </w:r>
      <w:r>
        <w:rPr>
          <w:rFonts w:hint="eastAsia" w:ascii="仿宋_GB2312" w:hAnsi="Times New Roman" w:eastAsia="仿宋_GB2312" w:cs="Wingdings"/>
          <w:sz w:val="32"/>
          <w:szCs w:val="32"/>
        </w:rPr>
        <w:t>万元，</w:t>
      </w:r>
      <w:r>
        <w:rPr>
          <w:rFonts w:hint="eastAsia" w:ascii="仿宋_GB2312" w:hAnsi="Times New Roman" w:eastAsia="仿宋_GB2312" w:cs="DengXian-Regular"/>
          <w:sz w:val="32"/>
          <w:szCs w:val="32"/>
        </w:rPr>
        <w:t>降低</w:t>
      </w:r>
      <w:r>
        <w:rPr>
          <w:rFonts w:hint="eastAsia" w:ascii="仿宋_GB2312" w:hAnsi="Times New Roman" w:eastAsia="仿宋_GB2312" w:cs="Wingdings"/>
          <w:sz w:val="32"/>
          <w:szCs w:val="32"/>
          <w:lang w:val="en-US" w:eastAsia="zh-CN"/>
        </w:rPr>
        <w:t>1.34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w:t>
      </w:r>
      <w:r>
        <w:rPr>
          <w:rFonts w:hint="eastAsia" w:ascii="仿宋_GB2312" w:eastAsia="仿宋_GB2312" w:cs="DengXian-Regular"/>
          <w:sz w:val="32"/>
          <w:szCs w:val="32"/>
        </w:rPr>
        <w:t>从严控制“三公”经费开支</w:t>
      </w:r>
      <w:r>
        <w:rPr>
          <w:rFonts w:hint="eastAsia" w:ascii="仿宋_GB2312" w:eastAsia="仿宋_GB2312" w:cs="DengXian-Regular"/>
          <w:sz w:val="32"/>
          <w:szCs w:val="32"/>
          <w:lang w:eastAsia="zh-CN"/>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ind w:firstLine="640"/>
        <w:rPr>
          <w:rFonts w:hint="eastAsia" w:ascii="仿宋" w:hAnsi="仿宋" w:eastAsia="仿宋" w:cs="仿宋"/>
          <w:sz w:val="32"/>
          <w:szCs w:val="32"/>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2020年度公务用车购置及运行维护费</w:t>
      </w:r>
      <w:r>
        <w:rPr>
          <w:rFonts w:hint="eastAsia" w:ascii="仿宋_GB2312" w:hAnsi="Times New Roman" w:eastAsia="仿宋_GB2312" w:cs="Wingdings"/>
          <w:sz w:val="32"/>
          <w:szCs w:val="32"/>
          <w:lang w:val="en-US" w:eastAsia="zh-CN"/>
        </w:rPr>
        <w:t>支出7.46万元，</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0.64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7.9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Mongolian Baiti"/>
          <w:b/>
          <w:bCs/>
          <w:sz w:val="32"/>
          <w:szCs w:val="32"/>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公务用车运维费支出7.46万元。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0.64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下降7.9</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w:t>
      </w:r>
    </w:p>
    <w:p>
      <w:pPr>
        <w:ind w:firstLine="64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仿宋_GB2312" w:eastAsia="仿宋_GB2312" w:cs="DengXian-Regular"/>
          <w:sz w:val="32"/>
          <w:szCs w:val="32"/>
        </w:rPr>
        <w:t>本</w:t>
      </w:r>
      <w:r>
        <w:rPr>
          <w:rFonts w:hint="eastAsia" w:ascii="仿宋_GB2312" w:eastAsia="仿宋_GB2312" w:cs="DengXian-Regular"/>
          <w:sz w:val="32"/>
          <w:szCs w:val="32"/>
          <w:lang w:eastAsia="zh-CN"/>
        </w:rPr>
        <w:t>单位未发生此类支出，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55</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18922.49</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eastAsia="zh-CN"/>
        </w:rPr>
        <w:t>本单位</w:t>
      </w:r>
      <w:r>
        <w:rPr>
          <w:rFonts w:hint="eastAsia" w:ascii="仿宋_GB2312" w:hAnsi="宋体" w:eastAsia="仿宋_GB2312"/>
          <w:sz w:val="32"/>
          <w:szCs w:val="32"/>
        </w:rPr>
        <w:t>绩效自评项目共1</w:t>
      </w:r>
      <w:r>
        <w:rPr>
          <w:rFonts w:hint="eastAsia" w:ascii="仿宋_GB2312" w:hAnsi="宋体" w:eastAsia="仿宋_GB2312"/>
          <w:sz w:val="32"/>
          <w:szCs w:val="32"/>
          <w:lang w:val="en-US" w:eastAsia="zh-CN"/>
        </w:rPr>
        <w:t>0</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8</w:t>
      </w:r>
      <w:r>
        <w:rPr>
          <w:rFonts w:hint="eastAsia" w:ascii="仿宋_GB2312" w:hAnsi="仿宋" w:eastAsia="仿宋_GB2312"/>
          <w:sz w:val="32"/>
          <w:szCs w:val="32"/>
        </w:rPr>
        <w:t>个，评优率为92.3%；评价等级为“良”的项目</w:t>
      </w:r>
      <w:r>
        <w:rPr>
          <w:rFonts w:hint="eastAsia" w:ascii="仿宋_GB2312" w:hAnsi="仿宋" w:eastAsia="仿宋_GB2312"/>
          <w:sz w:val="32"/>
          <w:szCs w:val="32"/>
          <w:lang w:val="en-US" w:eastAsia="zh-CN"/>
        </w:rPr>
        <w:t>2</w:t>
      </w:r>
      <w:r>
        <w:rPr>
          <w:rFonts w:hint="eastAsia" w:ascii="仿宋_GB2312" w:hAnsi="仿宋" w:eastAsia="仿宋_GB2312"/>
          <w:sz w:val="32"/>
          <w:szCs w:val="32"/>
        </w:rPr>
        <w:t>个，评良率为7.7%</w:t>
      </w:r>
      <w:r>
        <w:rPr>
          <w:rFonts w:hint="eastAsia" w:ascii="仿宋_GB2312" w:hAnsi="仿宋" w:eastAsia="仿宋_GB2312"/>
          <w:sz w:val="32"/>
          <w:szCs w:val="32"/>
          <w:lang w:eastAsia="zh-CN"/>
        </w:rPr>
        <w:t>，</w:t>
      </w:r>
      <w:r>
        <w:rPr>
          <w:rFonts w:hint="eastAsia" w:ascii="仿宋_GB2312" w:eastAsia="仿宋_GB2312" w:cs="DengXian-Regular"/>
          <w:sz w:val="32"/>
          <w:szCs w:val="32"/>
          <w:shd w:val="clear" w:color="auto" w:fill="auto"/>
          <w:lang w:eastAsia="zh-CN"/>
        </w:rPr>
        <w:t>本单位无绩效自评表。</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580" w:lineRule="exact"/>
        <w:ind w:firstLine="960" w:firstLineChars="3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164.05</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16.32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增加11.05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Times New Roman" w:eastAsia="仿宋_GB2312" w:cs="DengXian-Regular"/>
          <w:sz w:val="32"/>
          <w:szCs w:val="32"/>
        </w:rPr>
        <w:t>主要原因是</w:t>
      </w:r>
      <w:r>
        <w:rPr>
          <w:rFonts w:hint="eastAsia" w:ascii="仿宋" w:hAnsi="仿宋" w:eastAsia="仿宋" w:cs="仿宋"/>
          <w:b w:val="0"/>
          <w:bCs w:val="0"/>
          <w:sz w:val="32"/>
          <w:szCs w:val="32"/>
          <w:lang w:val="en-US" w:eastAsia="zh-CN"/>
        </w:rPr>
        <w:t>办公楼维护费用较大、中央空调电费维护费支出较大。</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4279.96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仿宋_GB2312" w:eastAsia="仿宋_GB2312" w:cs="仿宋_GB2312"/>
          <w:sz w:val="32"/>
          <w:szCs w:val="32"/>
          <w:lang w:eastAsia="zh-CN"/>
        </w:rPr>
        <w:t>其中：</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4.12</w:t>
      </w:r>
      <w:r>
        <w:rPr>
          <w:rFonts w:hint="eastAsia" w:ascii="仿宋_GB2312" w:hAnsi="仿宋_GB2312" w:eastAsia="仿宋_GB2312" w:cs="仿宋_GB2312"/>
          <w:color w:val="000000"/>
          <w:kern w:val="0"/>
          <w:sz w:val="32"/>
          <w:szCs w:val="32"/>
          <w:lang w:bidi="ar"/>
        </w:rPr>
        <w:t xml:space="preserve"> 万元、政府采购</w:t>
      </w:r>
      <w:r>
        <w:rPr>
          <w:rFonts w:hint="eastAsia" w:ascii="仿宋_GB2312" w:hAnsi="仿宋_GB2312" w:eastAsia="仿宋_GB2312" w:cs="仿宋_GB2312"/>
          <w:color w:val="000000"/>
          <w:kern w:val="0"/>
          <w:sz w:val="32"/>
          <w:szCs w:val="32"/>
          <w:lang w:eastAsia="zh-CN" w:bidi="ar"/>
        </w:rPr>
        <w:t>工程</w:t>
      </w:r>
      <w:r>
        <w:rPr>
          <w:rFonts w:hint="eastAsia" w:ascii="仿宋_GB2312" w:hAnsi="仿宋_GB2312" w:eastAsia="仿宋_GB2312" w:cs="仿宋_GB2312"/>
          <w:color w:val="000000"/>
          <w:kern w:val="0"/>
          <w:sz w:val="32"/>
          <w:szCs w:val="32"/>
          <w:lang w:bidi="ar"/>
        </w:rPr>
        <w:t>支出</w:t>
      </w:r>
      <w:r>
        <w:rPr>
          <w:rFonts w:hint="eastAsia" w:ascii="仿宋_GB2312" w:hAnsi="仿宋_GB2312" w:eastAsia="仿宋_GB2312" w:cs="仿宋_GB2312"/>
          <w:color w:val="000000"/>
          <w:kern w:val="0"/>
          <w:sz w:val="32"/>
          <w:szCs w:val="32"/>
          <w:lang w:val="en-US" w:eastAsia="zh-CN" w:bidi="ar"/>
        </w:rPr>
        <w:t>4275.84万元</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after="0" w:line="58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其中，机要通信用车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老干部用车。</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本单位没有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eastAsia="zh-CN"/>
        </w:rPr>
        <w:t>本单位</w:t>
      </w:r>
      <w:r>
        <w:rPr>
          <w:rFonts w:hint="eastAsia" w:ascii="仿宋_GB2312" w:hAnsi="仿宋_GB2312" w:eastAsia="仿宋_GB2312" w:cs="仿宋_GB2312"/>
          <w:sz w:val="32"/>
          <w:szCs w:val="32"/>
          <w:highlight w:val="none"/>
        </w:rPr>
        <w:t>2020年度未发生国有资金经营预算收支及结转结余情况，故国有资金经营预算</w:t>
      </w:r>
      <w:r>
        <w:rPr>
          <w:rFonts w:hint="eastAsia" w:ascii="仿宋_GB2312" w:hAnsi="仿宋_GB2312" w:eastAsia="仿宋_GB2312" w:cs="仿宋_GB2312"/>
          <w:sz w:val="32"/>
          <w:szCs w:val="32"/>
          <w:highlight w:val="none"/>
          <w:lang w:val="en-US" w:eastAsia="zh-CN"/>
        </w:rPr>
        <w:t>支出表（09表）</w:t>
      </w:r>
      <w:r>
        <w:rPr>
          <w:rFonts w:hint="eastAsia" w:ascii="仿宋_GB2312" w:hAnsi="仿宋_GB2312" w:eastAsia="仿宋_GB2312" w:cs="仿宋_GB2312"/>
          <w:sz w:val="32"/>
          <w:szCs w:val="32"/>
          <w:highlight w:val="none"/>
        </w:rPr>
        <w:t>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0288"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0288;v-text-anchor:middle;mso-width-relative:page;mso-height-relative:page;" fillcolor="#7F7F7F [1612]" filled="t" stroked="t" coordsize="21600,21600" o:gfxdata="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KzRqHNkAAAAMAQAADwAAAAAAAAABACAAAAAiAAAAZHJzL2Rvd25yZXYu&#10;eG1sUEsBAhQAFAAAAAgAh07iQPgymRhsAgAA/gQAAA4AAAAAAAAAAQAgAAAAKAEAAGRycy9lMm9E&#10;b2MueG1sUEsFBgAAAAAGAAYAWQEAAAYGAAAAAA==&#10;">
                <v:fill type="pattern" on="t" color2="#FFFFFF [3212]" focussize="0,0" r:id="rId11"/>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pPr>
        <w:rPr>
          <w:sz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本级</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4384;v-text-anchor:middle;mso-width-relative:page;mso-height-relative:page;" fillcolor="#7F7F7F" filled="t" stroked="t" coordsize="21600,21600" o:gfxdata="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KcevmzcAAAA&#10;DQEAAA8AAAAAAAAAAQAgAAAAIgAAAGRycy9kb3ducmV2LnhtbFBLAQIUABQAAAAIAIdO4kDLXY5P&#10;iwIAAFsFAAAOAAAAAAAAAAEAIAAAACsBAABkcnMvZTJvRG9jLnhtbFBLBQYAAAAABgAGAFkBAAAo&#10;BgAAAAA=&#10;">
                <v:fill type="pattern" on="t" color2="#FFFFFF" focussize="0,0" r:id="rId11"/>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w:t>
                      </w:r>
                      <w:r>
                        <w:rPr>
                          <w:rFonts w:hint="eastAsia" w:ascii="黑体" w:hAnsi="黑体" w:eastAsia="黑体" w:cs="黑体"/>
                          <w:color w:val="000000" w:themeColor="text1"/>
                          <w:sz w:val="90"/>
                          <w:szCs w:val="90"/>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本级</w:t>
                      </w: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决算报表</w:t>
                      </w:r>
                    </w:p>
                    <w:p/>
                  </w:txbxContent>
                </v:textbox>
              </v:shape>
            </w:pict>
          </mc:Fallback>
        </mc:AlternateContent>
      </w: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rPr>
          <w:lang w:val="en-US" w:eastAsia="zh-CN"/>
        </w:rPr>
      </w:pPr>
      <w:r>
        <w:rPr>
          <w:lang w:val="en-US" w:eastAsia="zh-CN"/>
        </w:rPr>
        <w:br w:type="page"/>
      </w:r>
    </w:p>
    <w:tbl>
      <w:tblPr>
        <w:tblStyle w:val="7"/>
        <w:tblW w:w="9060" w:type="dxa"/>
        <w:tblInd w:w="0" w:type="dxa"/>
        <w:shd w:val="clear" w:color="auto" w:fill="auto"/>
        <w:tblLayout w:type="fixed"/>
        <w:tblCellMar>
          <w:top w:w="0" w:type="dxa"/>
          <w:left w:w="108" w:type="dxa"/>
          <w:bottom w:w="0" w:type="dxa"/>
          <w:right w:w="108" w:type="dxa"/>
        </w:tblCellMar>
      </w:tblPr>
      <w:tblGrid>
        <w:gridCol w:w="3099"/>
        <w:gridCol w:w="576"/>
        <w:gridCol w:w="945"/>
        <w:gridCol w:w="2919"/>
        <w:gridCol w:w="576"/>
        <w:gridCol w:w="945"/>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收入支出决算批复表</w:t>
            </w:r>
          </w:p>
        </w:tc>
      </w:tr>
      <w:tr>
        <w:tblPrEx>
          <w:tblLayout w:type="fixed"/>
          <w:tblCellMar>
            <w:top w:w="0" w:type="dxa"/>
            <w:left w:w="108" w:type="dxa"/>
            <w:bottom w:w="0" w:type="dxa"/>
            <w:right w:w="108" w:type="dxa"/>
          </w:tblCellMar>
        </w:tblPrEx>
        <w:trPr>
          <w:trHeight w:val="255" w:hRule="atLeast"/>
        </w:trPr>
        <w:tc>
          <w:tcPr>
            <w:tcW w:w="3099"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57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94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521"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财决批复01表</w:t>
            </w:r>
          </w:p>
        </w:tc>
      </w:tr>
      <w:tr>
        <w:tblPrEx>
          <w:tblLayout w:type="fixed"/>
          <w:tblCellMar>
            <w:top w:w="0" w:type="dxa"/>
            <w:left w:w="108" w:type="dxa"/>
            <w:bottom w:w="0" w:type="dxa"/>
            <w:right w:w="108" w:type="dxa"/>
          </w:tblCellMar>
        </w:tblPrEx>
        <w:trPr>
          <w:trHeight w:val="255" w:hRule="atLeast"/>
        </w:trPr>
        <w:tc>
          <w:tcPr>
            <w:tcW w:w="4620" w:type="dxa"/>
            <w:gridSpan w:val="3"/>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291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521"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46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w:t>
            </w:r>
          </w:p>
        </w:tc>
        <w:tc>
          <w:tcPr>
            <w:tcW w:w="4440"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76"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4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76"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45"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7,738.97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12,878.25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三、国有资本经营预算财政拨款收入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四、上级补助收入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五、事业收入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六、经营收入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七、附属单位上缴收入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八、其他收入</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272.78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10,432.39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928.79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20,890.00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20,263.83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使用非财政拨款结余</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结余分配</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4,120.00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4,746.16 </w:t>
            </w: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919"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309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76" w:type="dxa"/>
            <w:tcBorders>
              <w:top w:val="nil"/>
              <w:left w:val="nil"/>
              <w:bottom w:val="single" w:color="000000" w:sz="8"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25,009.99 </w:t>
            </w:r>
          </w:p>
        </w:tc>
        <w:tc>
          <w:tcPr>
            <w:tcW w:w="29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5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25,009.99 </w:t>
            </w:r>
          </w:p>
        </w:tc>
      </w:tr>
      <w:tr>
        <w:tblPrEx>
          <w:tblLayout w:type="fixed"/>
          <w:tblCellMar>
            <w:top w:w="0" w:type="dxa"/>
            <w:left w:w="108" w:type="dxa"/>
            <w:bottom w:w="0" w:type="dxa"/>
            <w:right w:w="108" w:type="dxa"/>
          </w:tblCellMar>
        </w:tblPrEx>
        <w:trPr>
          <w:trHeight w:val="308" w:hRule="atLeast"/>
        </w:trPr>
        <w:tc>
          <w:tcPr>
            <w:tcW w:w="9060"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注：本套报表金额单位转换时可能存在尾数误差。</w:t>
            </w:r>
          </w:p>
        </w:tc>
      </w:tr>
      <w:tr>
        <w:tblPrEx>
          <w:tblLayout w:type="fixed"/>
          <w:tblCellMar>
            <w:top w:w="0" w:type="dxa"/>
            <w:left w:w="108" w:type="dxa"/>
            <w:bottom w:w="0" w:type="dxa"/>
            <w:right w:w="108" w:type="dxa"/>
          </w:tblCellMar>
        </w:tblPrEx>
        <w:trPr>
          <w:trHeight w:val="308" w:hRule="atLeast"/>
        </w:trPr>
        <w:tc>
          <w:tcPr>
            <w:tcW w:w="9060"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1.本表依据《收入支出决算总表》（财决01表）进行批复。</w:t>
            </w:r>
          </w:p>
        </w:tc>
      </w:tr>
      <w:tr>
        <w:tblPrEx>
          <w:tblLayout w:type="fixed"/>
          <w:tblCellMar>
            <w:top w:w="0" w:type="dxa"/>
            <w:left w:w="108" w:type="dxa"/>
            <w:bottom w:w="0" w:type="dxa"/>
            <w:right w:w="108" w:type="dxa"/>
          </w:tblCellMar>
        </w:tblPrEx>
        <w:trPr>
          <w:trHeight w:val="308" w:hRule="atLeast"/>
        </w:trPr>
        <w:tc>
          <w:tcPr>
            <w:tcW w:w="9060"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2.本表以“万元”为金额单位（保留两位小数）。</w:t>
            </w: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353"/>
        <w:gridCol w:w="353"/>
        <w:gridCol w:w="355"/>
        <w:gridCol w:w="3519"/>
        <w:gridCol w:w="774"/>
        <w:gridCol w:w="772"/>
        <w:gridCol w:w="458"/>
        <w:gridCol w:w="458"/>
        <w:gridCol w:w="458"/>
        <w:gridCol w:w="459"/>
        <w:gridCol w:w="1101"/>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1"/>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收入决算批复表</w:t>
            </w:r>
          </w:p>
        </w:tc>
      </w:tr>
      <w:tr>
        <w:tblPrEx>
          <w:tblLayout w:type="fixed"/>
          <w:tblCellMar>
            <w:top w:w="0" w:type="dxa"/>
            <w:left w:w="108" w:type="dxa"/>
            <w:bottom w:w="0" w:type="dxa"/>
            <w:right w:w="108" w:type="dxa"/>
          </w:tblCellMar>
        </w:tblPrEx>
        <w:trPr>
          <w:trHeight w:val="255" w:hRule="atLeast"/>
        </w:trPr>
        <w:tc>
          <w:tcPr>
            <w:tcW w:w="353"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5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5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51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77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77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5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5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018"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财决批复02表</w:t>
            </w:r>
          </w:p>
        </w:tc>
      </w:tr>
      <w:tr>
        <w:tblPrEx>
          <w:tblLayout w:type="fixed"/>
          <w:tblCellMar>
            <w:top w:w="0" w:type="dxa"/>
            <w:left w:w="108" w:type="dxa"/>
            <w:bottom w:w="0" w:type="dxa"/>
            <w:right w:w="108" w:type="dxa"/>
          </w:tblCellMar>
        </w:tblPrEx>
        <w:trPr>
          <w:trHeight w:val="255" w:hRule="atLeast"/>
        </w:trPr>
        <w:tc>
          <w:tcPr>
            <w:tcW w:w="5354" w:type="dxa"/>
            <w:gridSpan w:val="5"/>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77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5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5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018"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106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351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774"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77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458"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458"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458"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45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1101"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tblPrEx>
          <w:tblLayout w:type="fixed"/>
          <w:tblCellMar>
            <w:top w:w="0" w:type="dxa"/>
            <w:left w:w="108" w:type="dxa"/>
            <w:bottom w:w="0" w:type="dxa"/>
            <w:right w:w="108" w:type="dxa"/>
          </w:tblCellMar>
        </w:tblPrEx>
        <w:trPr>
          <w:trHeight w:val="308" w:hRule="atLeast"/>
        </w:trPr>
        <w:tc>
          <w:tcPr>
            <w:tcW w:w="10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51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0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51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0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51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4"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7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8"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5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01"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53"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35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35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351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774"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7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5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5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5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45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10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Layout w:type="fixed"/>
          <w:tblCellMar>
            <w:top w:w="0" w:type="dxa"/>
            <w:left w:w="108" w:type="dxa"/>
            <w:bottom w:w="0" w:type="dxa"/>
            <w:right w:w="108" w:type="dxa"/>
          </w:tblCellMar>
        </w:tblPrEx>
        <w:trPr>
          <w:trHeight w:val="308" w:hRule="atLeast"/>
        </w:trPr>
        <w:tc>
          <w:tcPr>
            <w:tcW w:w="353"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5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5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20,890.00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20,617.22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272.78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14,652.24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14,379.46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272.78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700.12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688.21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11.91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206.12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194.21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11.91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2120109</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住宅建设与房地产市场监管</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2,260.87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260.87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2120303</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小城镇基础设施建设</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2,260.87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260.87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8,075.34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8,075.34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2120803</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城市建设支出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1,484.43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1,484.43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2120811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公共租赁住房支出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城市公共设施</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污水处理费安排的支出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污水处理设施建设和运营</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1,421.50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1,421.50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保障性安居工程支出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2210105</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农村危房改造</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2210108</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老旧小区改造</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2290402</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抗疫特别国债安排的支出</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基础设施建设</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061"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2340107</w:t>
            </w:r>
          </w:p>
        </w:tc>
        <w:tc>
          <w:tcPr>
            <w:tcW w:w="351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城镇老旧小区改造</w:t>
            </w:r>
          </w:p>
        </w:tc>
        <w:tc>
          <w:tcPr>
            <w:tcW w:w="77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77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5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110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注：1.本表依据《收入决算表》（财决03表）进行批复。</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2.本表含一般公共预算财政拨款、政府性基金预算财政拨款和国有资本经营预算财政拨款。</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4.本表以“万元”为金额单位（保留两位小数）。</w:t>
            </w: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376"/>
        <w:gridCol w:w="376"/>
        <w:gridCol w:w="376"/>
        <w:gridCol w:w="4050"/>
        <w:gridCol w:w="862"/>
        <w:gridCol w:w="660"/>
        <w:gridCol w:w="862"/>
        <w:gridCol w:w="499"/>
        <w:gridCol w:w="499"/>
        <w:gridCol w:w="500"/>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0"/>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支出决算批复表</w:t>
            </w:r>
          </w:p>
        </w:tc>
      </w:tr>
      <w:tr>
        <w:tblPrEx>
          <w:tblLayout w:type="fixed"/>
          <w:tblCellMar>
            <w:top w:w="0" w:type="dxa"/>
            <w:left w:w="108" w:type="dxa"/>
            <w:bottom w:w="0" w:type="dxa"/>
            <w:right w:w="108" w:type="dxa"/>
          </w:tblCellMar>
        </w:tblPrEx>
        <w:trPr>
          <w:trHeight w:val="255" w:hRule="atLeast"/>
        </w:trPr>
        <w:tc>
          <w:tcPr>
            <w:tcW w:w="376"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7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7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05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6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6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6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498"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财决批复03表</w:t>
            </w:r>
          </w:p>
        </w:tc>
      </w:tr>
      <w:tr>
        <w:tblPrEx>
          <w:tblLayout w:type="fixed"/>
          <w:tblCellMar>
            <w:top w:w="0" w:type="dxa"/>
            <w:left w:w="108" w:type="dxa"/>
            <w:bottom w:w="0" w:type="dxa"/>
            <w:right w:w="108" w:type="dxa"/>
          </w:tblCellMar>
        </w:tblPrEx>
        <w:trPr>
          <w:trHeight w:val="255" w:hRule="atLeast"/>
        </w:trPr>
        <w:tc>
          <w:tcPr>
            <w:tcW w:w="6040" w:type="dxa"/>
            <w:gridSpan w:val="5"/>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66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360"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112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405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86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66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86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49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49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5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Layout w:type="fixed"/>
          <w:tblCellMar>
            <w:top w:w="0" w:type="dxa"/>
            <w:left w:w="108" w:type="dxa"/>
            <w:bottom w:w="0" w:type="dxa"/>
            <w:right w:w="108" w:type="dxa"/>
          </w:tblCellMar>
        </w:tblPrEx>
        <w:trPr>
          <w:trHeight w:val="308" w:hRule="atLeast"/>
        </w:trPr>
        <w:tc>
          <w:tcPr>
            <w:tcW w:w="112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05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6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6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6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0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12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05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6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6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6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0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12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05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6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6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6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0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76"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37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37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40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86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6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6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49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9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0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Layout w:type="fixed"/>
          <w:tblCellMar>
            <w:top w:w="0" w:type="dxa"/>
            <w:left w:w="108" w:type="dxa"/>
            <w:bottom w:w="0" w:type="dxa"/>
            <w:right w:w="108" w:type="dxa"/>
          </w:tblCellMar>
        </w:tblPrEx>
        <w:trPr>
          <w:trHeight w:val="308" w:hRule="atLeast"/>
        </w:trPr>
        <w:tc>
          <w:tcPr>
            <w:tcW w:w="37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20,263.83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501.64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19,762.19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10,432.39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9,988.39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699.38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255.37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205.37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205.37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2120109</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住宅建设与房地产市场监管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2,155.61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2,155.61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2120303</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小城镇基础设施建设</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2,155.61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2,155.61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3,961.50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3,961.50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2120803</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城市建设支出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1,191.10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1,191.10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2120811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公共租赁住房支出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城市公共设施</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污水处理费安排的支出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污水处理设施建设和运营</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928.79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保障性安居工程支出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2210105</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农村危房改造</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2210108</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老旧小区改造</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2290402</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抗疫特别国债安排的支出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基础设施建设</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1128"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2340107</w:t>
            </w:r>
          </w:p>
        </w:tc>
        <w:tc>
          <w:tcPr>
            <w:tcW w:w="4050"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城镇老旧小区改造</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0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注：1.本表依据《支出决算表》（财决04表）进行批复。</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2.本表含一般公共预算财政拨款、政府性基金预算财政拨款和国有资本经营预算财政拨款。</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4.本表以“万元”为金额单位（保留两位小数）。</w:t>
            </w: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2145"/>
        <w:gridCol w:w="364"/>
        <w:gridCol w:w="816"/>
        <w:gridCol w:w="2442"/>
        <w:gridCol w:w="364"/>
        <w:gridCol w:w="816"/>
        <w:gridCol w:w="816"/>
        <w:gridCol w:w="817"/>
        <w:gridCol w:w="480"/>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9"/>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财政拨款收入支出决算批复表</w:t>
            </w:r>
          </w:p>
        </w:tc>
      </w:tr>
      <w:tr>
        <w:tblPrEx>
          <w:tblLayout w:type="fixed"/>
          <w:tblCellMar>
            <w:top w:w="0" w:type="dxa"/>
            <w:left w:w="108" w:type="dxa"/>
            <w:bottom w:w="0" w:type="dxa"/>
            <w:right w:w="108" w:type="dxa"/>
          </w:tblCellMar>
        </w:tblPrEx>
        <w:trPr>
          <w:trHeight w:val="255" w:hRule="atLeast"/>
        </w:trPr>
        <w:tc>
          <w:tcPr>
            <w:tcW w:w="2145"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113"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财决批复04表</w:t>
            </w:r>
          </w:p>
        </w:tc>
      </w:tr>
      <w:tr>
        <w:tblPrEx>
          <w:tblLayout w:type="fixed"/>
          <w:tblCellMar>
            <w:top w:w="0" w:type="dxa"/>
            <w:left w:w="108" w:type="dxa"/>
            <w:bottom w:w="0" w:type="dxa"/>
            <w:right w:w="108" w:type="dxa"/>
          </w:tblCellMar>
        </w:tblPrEx>
        <w:trPr>
          <w:trHeight w:val="255" w:hRule="atLeast"/>
        </w:trPr>
        <w:tc>
          <w:tcPr>
            <w:tcW w:w="5767" w:type="dxa"/>
            <w:gridSpan w:val="4"/>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3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113" w:type="dxa"/>
            <w:gridSpan w:val="3"/>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33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     入</w:t>
            </w:r>
          </w:p>
        </w:tc>
        <w:tc>
          <w:tcPr>
            <w:tcW w:w="5735" w:type="dxa"/>
            <w:gridSpan w:val="6"/>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     出</w:t>
            </w:r>
          </w:p>
        </w:tc>
      </w:tr>
      <w:tr>
        <w:tblPrEx>
          <w:tblLayout w:type="fixed"/>
          <w:tblCellMar>
            <w:top w:w="0" w:type="dxa"/>
            <w:left w:w="108" w:type="dxa"/>
            <w:bottom w:w="0" w:type="dxa"/>
            <w:right w:w="108" w:type="dxa"/>
          </w:tblCellMar>
        </w:tblPrEx>
        <w:trPr>
          <w:trHeight w:val="292" w:hRule="atLeast"/>
        </w:trPr>
        <w:tc>
          <w:tcPr>
            <w:tcW w:w="2145"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81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244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3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81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1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一般公共预算财政拨款</w:t>
            </w:r>
          </w:p>
        </w:tc>
        <w:tc>
          <w:tcPr>
            <w:tcW w:w="81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政府性基金预算财政拨款</w:t>
            </w:r>
          </w:p>
        </w:tc>
        <w:tc>
          <w:tcPr>
            <w:tcW w:w="48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国有资本经营预算财政拨款</w:t>
            </w:r>
          </w:p>
        </w:tc>
      </w:tr>
      <w:tr>
        <w:tblPrEx>
          <w:tblLayout w:type="fixed"/>
          <w:tblCellMar>
            <w:top w:w="0" w:type="dxa"/>
            <w:left w:w="108" w:type="dxa"/>
            <w:bottom w:w="0" w:type="dxa"/>
            <w:right w:w="108" w:type="dxa"/>
          </w:tblCellMar>
        </w:tblPrEx>
        <w:trPr>
          <w:trHeight w:val="615" w:hRule="atLeast"/>
        </w:trPr>
        <w:tc>
          <w:tcPr>
            <w:tcW w:w="2145"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44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64"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364"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6"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16"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17"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8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7,738.97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12,878.25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二、外交支出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三、国有资本经营财政拨款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三、国防支出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四、公共安全支出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五、教育支出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六、科学技术支出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九、卫生健康支出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十、节能环保支出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十一、城乡社区支出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10,159.61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2,742.20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7,417.41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十二、农林水支出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十三、交通运输支出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十六、金融支出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十九、住房保障支出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928.79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928.79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二十二、灾害防治及应急管理支出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二十三、其他支出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二十六、抗疫特别国债安排的支出</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本年收入合计</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20,617.22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本年支出合计</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19,991.05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11,226.63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8,764.41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4,120.00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4,746.16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600.73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4,088.40 </w:t>
            </w:r>
          </w:p>
        </w:tc>
        <w:tc>
          <w:tcPr>
            <w:tcW w:w="2442"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2442"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2442"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21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364" w:type="dxa"/>
            <w:tcBorders>
              <w:top w:val="nil"/>
              <w:left w:val="nil"/>
              <w:bottom w:val="single" w:color="000000" w:sz="8"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24,737.21 </w:t>
            </w:r>
          </w:p>
        </w:tc>
        <w:tc>
          <w:tcPr>
            <w:tcW w:w="2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总计</w:t>
            </w:r>
          </w:p>
        </w:tc>
        <w:tc>
          <w:tcPr>
            <w:tcW w:w="364"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24,737.21 </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11,827.36 </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12,909.85 </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8580"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注：1.本表依据《财政拨款收入支出决算总表》（财决01-1表）进行批复。</w:t>
            </w:r>
          </w:p>
        </w:tc>
        <w:tc>
          <w:tcPr>
            <w:tcW w:w="480" w:type="dxa"/>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20"/>
                <w:szCs w:val="20"/>
                <w:u w:val="none"/>
              </w:rPr>
            </w:pPr>
          </w:p>
        </w:tc>
      </w:tr>
      <w:tr>
        <w:tblPrEx>
          <w:tblLayout w:type="fixed"/>
          <w:tblCellMar>
            <w:top w:w="0" w:type="dxa"/>
            <w:left w:w="108" w:type="dxa"/>
            <w:bottom w:w="0" w:type="dxa"/>
            <w:right w:w="108" w:type="dxa"/>
          </w:tblCellMar>
        </w:tblPrEx>
        <w:trPr>
          <w:trHeight w:val="308" w:hRule="atLeast"/>
        </w:trPr>
        <w:tc>
          <w:tcPr>
            <w:tcW w:w="8580"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2.本表以“万元”为金额单位（保留两位小数）。</w:t>
            </w:r>
          </w:p>
        </w:tc>
        <w:tc>
          <w:tcPr>
            <w:tcW w:w="480" w:type="dxa"/>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20"/>
                <w:szCs w:val="20"/>
                <w:u w:val="none"/>
              </w:rPr>
            </w:pP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308"/>
        <w:gridCol w:w="308"/>
        <w:gridCol w:w="308"/>
        <w:gridCol w:w="1776"/>
        <w:gridCol w:w="541"/>
        <w:gridCol w:w="379"/>
        <w:gridCol w:w="541"/>
        <w:gridCol w:w="541"/>
        <w:gridCol w:w="471"/>
        <w:gridCol w:w="541"/>
        <w:gridCol w:w="587"/>
        <w:gridCol w:w="471"/>
        <w:gridCol w:w="587"/>
        <w:gridCol w:w="471"/>
        <w:gridCol w:w="379"/>
        <w:gridCol w:w="471"/>
        <w:gridCol w:w="380"/>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7"/>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一般公共预算财政拨款收入支出决算批复表</w:t>
            </w:r>
          </w:p>
        </w:tc>
      </w:tr>
      <w:tr>
        <w:tblPrEx>
          <w:tblLayout w:type="fixed"/>
          <w:tblCellMar>
            <w:top w:w="0" w:type="dxa"/>
            <w:left w:w="108" w:type="dxa"/>
            <w:bottom w:w="0" w:type="dxa"/>
            <w:right w:w="108" w:type="dxa"/>
          </w:tblCellMar>
        </w:tblPrEx>
        <w:trPr>
          <w:trHeight w:val="255" w:hRule="atLeast"/>
        </w:trPr>
        <w:tc>
          <w:tcPr>
            <w:tcW w:w="308"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0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0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76"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7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7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8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7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8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01"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财决批复05表</w:t>
            </w:r>
          </w:p>
        </w:tc>
      </w:tr>
      <w:tr>
        <w:tblPrEx>
          <w:tblLayout w:type="fixed"/>
          <w:tblCellMar>
            <w:top w:w="0" w:type="dxa"/>
            <w:left w:w="108" w:type="dxa"/>
            <w:bottom w:w="0" w:type="dxa"/>
            <w:right w:w="108" w:type="dxa"/>
          </w:tblCellMar>
        </w:tblPrEx>
        <w:trPr>
          <w:trHeight w:val="255" w:hRule="atLeast"/>
        </w:trPr>
        <w:tc>
          <w:tcPr>
            <w:tcW w:w="4702" w:type="dxa"/>
            <w:gridSpan w:val="8"/>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47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4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8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71"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8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01"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92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776"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461"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553"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64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701"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Layout w:type="fixed"/>
          <w:tblCellMar>
            <w:top w:w="0" w:type="dxa"/>
            <w:left w:w="108" w:type="dxa"/>
            <w:bottom w:w="0" w:type="dxa"/>
            <w:right w:w="108" w:type="dxa"/>
          </w:tblCellMar>
        </w:tblPrEx>
        <w:trPr>
          <w:trHeight w:val="308" w:hRule="atLeast"/>
        </w:trPr>
        <w:tc>
          <w:tcPr>
            <w:tcW w:w="9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76"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7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54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c>
          <w:tcPr>
            <w:tcW w:w="54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7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4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58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7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8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47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7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851"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r>
      <w:tr>
        <w:tblPrEx>
          <w:tblLayout w:type="fixed"/>
          <w:tblCellMar>
            <w:top w:w="0" w:type="dxa"/>
            <w:left w:w="108" w:type="dxa"/>
            <w:bottom w:w="0" w:type="dxa"/>
            <w:right w:w="108" w:type="dxa"/>
          </w:tblCellMar>
        </w:tblPrEx>
        <w:trPr>
          <w:trHeight w:val="277" w:hRule="atLeast"/>
        </w:trPr>
        <w:tc>
          <w:tcPr>
            <w:tcW w:w="9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76"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8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8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w:t>
            </w:r>
          </w:p>
        </w:tc>
        <w:tc>
          <w:tcPr>
            <w:tcW w:w="38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项目支出结余</w:t>
            </w:r>
          </w:p>
        </w:tc>
      </w:tr>
      <w:tr>
        <w:tblPrEx>
          <w:tblLayout w:type="fixed"/>
          <w:tblCellMar>
            <w:top w:w="0" w:type="dxa"/>
            <w:left w:w="108" w:type="dxa"/>
            <w:bottom w:w="0" w:type="dxa"/>
            <w:right w:w="108" w:type="dxa"/>
          </w:tblCellMar>
        </w:tblPrEx>
        <w:trPr>
          <w:trHeight w:val="615" w:hRule="atLeast"/>
        </w:trPr>
        <w:tc>
          <w:tcPr>
            <w:tcW w:w="9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76"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4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8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8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7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08"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30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30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17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54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7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54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4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47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4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87"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47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87"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47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7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47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8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r>
      <w:tr>
        <w:tblPrEx>
          <w:tblLayout w:type="fixed"/>
          <w:tblCellMar>
            <w:top w:w="0" w:type="dxa"/>
            <w:left w:w="108" w:type="dxa"/>
            <w:bottom w:w="0" w:type="dxa"/>
            <w:right w:w="108" w:type="dxa"/>
          </w:tblCellMar>
        </w:tblPrEx>
        <w:trPr>
          <w:trHeight w:val="308" w:hRule="atLeast"/>
        </w:trPr>
        <w:tc>
          <w:tcPr>
            <w:tcW w:w="308"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4,088.40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4,088.40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7,738.97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503.56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7,235.41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11,226.63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501.64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10,724.99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600.73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1.93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598.81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0.46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0.46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20.02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0.46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18.64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4,088.00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3,430.60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7,518.60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2,848.21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2,404.21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2,742.20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2,298.20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106.41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106.41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688.21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244.21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687.47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243.46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444.00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194.21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194.21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193.46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193.46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0.74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2120109</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住宅建设与房地产市场监管</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1,894.74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1,894.74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2120303</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小城镇基础设施建设</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0.40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2,000.00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1,894.74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1,894.74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105.66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其他城乡社区支出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2129901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159.99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0.01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1,421.50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928.79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492.71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0.31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保障性安居工程支出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1,400.60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908.20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2210105</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农村危房改造</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524.60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32.20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492.40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2210108</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老旧小区改造</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0.31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0.31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2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1776"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20.90 </w:t>
            </w:r>
          </w:p>
        </w:tc>
        <w:tc>
          <w:tcPr>
            <w:tcW w:w="54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587"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0.31 </w:t>
            </w:r>
          </w:p>
        </w:tc>
        <w:tc>
          <w:tcPr>
            <w:tcW w:w="37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0.31 </w:t>
            </w:r>
          </w:p>
        </w:tc>
        <w:tc>
          <w:tcPr>
            <w:tcW w:w="47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8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注：1.本表依据《一般公共预算财政拨款收入支出决算表》（财决07表）进行批复。</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3.本表以“万元”为金额单位（保留两位小数）。</w:t>
            </w: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492"/>
        <w:gridCol w:w="1879"/>
        <w:gridCol w:w="525"/>
        <w:gridCol w:w="493"/>
        <w:gridCol w:w="1325"/>
        <w:gridCol w:w="524"/>
        <w:gridCol w:w="493"/>
        <w:gridCol w:w="2325"/>
        <w:gridCol w:w="1004"/>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9"/>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一般公共预算财政拨款基本支出决算批复表</w:t>
            </w:r>
          </w:p>
        </w:tc>
      </w:tr>
      <w:tr>
        <w:tblPrEx>
          <w:tblLayout w:type="fixed"/>
          <w:tblCellMar>
            <w:top w:w="0" w:type="dxa"/>
            <w:left w:w="108" w:type="dxa"/>
            <w:bottom w:w="0" w:type="dxa"/>
            <w:right w:w="108" w:type="dxa"/>
          </w:tblCellMar>
        </w:tblPrEx>
        <w:trPr>
          <w:trHeight w:val="285" w:hRule="atLeast"/>
        </w:trPr>
        <w:tc>
          <w:tcPr>
            <w:tcW w:w="492"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187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9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32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9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329"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财决批复06表</w:t>
            </w:r>
          </w:p>
        </w:tc>
      </w:tr>
      <w:tr>
        <w:tblPrEx>
          <w:tblLayout w:type="fixed"/>
          <w:tblCellMar>
            <w:top w:w="0" w:type="dxa"/>
            <w:left w:w="108" w:type="dxa"/>
            <w:bottom w:w="0" w:type="dxa"/>
            <w:right w:w="108" w:type="dxa"/>
          </w:tblCellMar>
        </w:tblPrEx>
        <w:trPr>
          <w:trHeight w:val="255" w:hRule="atLeast"/>
        </w:trPr>
        <w:tc>
          <w:tcPr>
            <w:tcW w:w="4714" w:type="dxa"/>
            <w:gridSpan w:val="5"/>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52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9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329" w:type="dxa"/>
            <w:gridSpan w:val="2"/>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28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w:t>
            </w:r>
          </w:p>
        </w:tc>
        <w:tc>
          <w:tcPr>
            <w:tcW w:w="6164" w:type="dxa"/>
            <w:gridSpan w:val="6"/>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w:t>
            </w:r>
          </w:p>
        </w:tc>
      </w:tr>
      <w:tr>
        <w:tblPrEx>
          <w:tblLayout w:type="fixed"/>
          <w:tblCellMar>
            <w:top w:w="0" w:type="dxa"/>
            <w:left w:w="108" w:type="dxa"/>
            <w:bottom w:w="0" w:type="dxa"/>
            <w:right w:w="108" w:type="dxa"/>
          </w:tblCellMar>
        </w:tblPrEx>
        <w:trPr>
          <w:trHeight w:val="308" w:hRule="atLeast"/>
        </w:trPr>
        <w:tc>
          <w:tcPr>
            <w:tcW w:w="492"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87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49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13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52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c>
          <w:tcPr>
            <w:tcW w:w="49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3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0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Layout w:type="fixed"/>
          <w:tblCellMar>
            <w:top w:w="0" w:type="dxa"/>
            <w:left w:w="108" w:type="dxa"/>
            <w:bottom w:w="0" w:type="dxa"/>
            <w:right w:w="108" w:type="dxa"/>
          </w:tblCellMar>
        </w:tblPrEx>
        <w:trPr>
          <w:trHeight w:val="308" w:hRule="atLeast"/>
        </w:trPr>
        <w:tc>
          <w:tcPr>
            <w:tcW w:w="492"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87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9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3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0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工资福利支出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306.46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商品和服务支出</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164.05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30101</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62.86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30201</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15.41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30701</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30102</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55.51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30202</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30702</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30103</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奖金</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129.86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30203</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资本性支出</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30106</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30204</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31001</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30107</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30205</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2.48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31002</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30108</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19.56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30206</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电费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31003</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30109</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职业年金缴费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30207</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13.03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31005</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30110</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职工基本医疗保险缴费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17.49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30208</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31006</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30111</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30209</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31007</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30112</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0.60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30211</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1.67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31008</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30113</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20.59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30212</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因公出国（境）费用</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31009</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30114</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30213</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15.37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31010</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30199</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30214</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31011</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31.12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30215</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31012</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30301</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21.19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30216</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31013</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30302</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7.24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30217</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31019</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30303</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30218</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31021</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30304</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30224</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31022</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30305</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30225</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31099</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30306</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30226</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30307</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30227</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79.12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39906</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赠与</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30308</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30228</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1.43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39907</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30309</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30229</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3.09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39908</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30310</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30231</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7.46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39999</w:t>
            </w:r>
          </w:p>
        </w:tc>
        <w:tc>
          <w:tcPr>
            <w:tcW w:w="23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100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0.00</w:t>
            </w: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30311</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30239</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12.27 </w:t>
            </w:r>
          </w:p>
        </w:tc>
        <w:tc>
          <w:tcPr>
            <w:tcW w:w="49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2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0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30399</w:t>
            </w:r>
          </w:p>
        </w:tc>
        <w:tc>
          <w:tcPr>
            <w:tcW w:w="18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其他对个人和家庭的补助</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30240</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税金及附加费用</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9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2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0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49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879" w:type="dxa"/>
            <w:tcBorders>
              <w:top w:val="nil"/>
              <w:left w:val="nil"/>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Arial" w:hAnsi="Arial" w:cs="Arial"/>
                <w:i w:val="0"/>
                <w:iCs w:val="0"/>
                <w:color w:val="000000"/>
                <w:sz w:val="20"/>
                <w:szCs w:val="20"/>
                <w:u w:val="none"/>
              </w:rPr>
            </w:pPr>
          </w:p>
        </w:tc>
        <w:tc>
          <w:tcPr>
            <w:tcW w:w="4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30299</w:t>
            </w:r>
          </w:p>
        </w:tc>
        <w:tc>
          <w:tcPr>
            <w:tcW w:w="1325"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4.74 </w:t>
            </w:r>
          </w:p>
        </w:tc>
        <w:tc>
          <w:tcPr>
            <w:tcW w:w="493"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2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04" w:type="dxa"/>
            <w:tcBorders>
              <w:top w:val="nil"/>
              <w:left w:val="nil"/>
              <w:bottom w:val="nil"/>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2371"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人员经费合计</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337.59 </w:t>
            </w:r>
          </w:p>
        </w:tc>
        <w:tc>
          <w:tcPr>
            <w:tcW w:w="5160" w:type="dxa"/>
            <w:gridSpan w:val="5"/>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公用经费合计</w:t>
            </w:r>
          </w:p>
        </w:tc>
        <w:tc>
          <w:tcPr>
            <w:tcW w:w="100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164.05 </w:t>
            </w:r>
          </w:p>
        </w:tc>
      </w:tr>
      <w:tr>
        <w:tblPrEx>
          <w:tblLayout w:type="fixed"/>
          <w:tblCellMar>
            <w:top w:w="0" w:type="dxa"/>
            <w:left w:w="108" w:type="dxa"/>
            <w:bottom w:w="0" w:type="dxa"/>
            <w:right w:w="108" w:type="dxa"/>
          </w:tblCellMar>
        </w:tblPrEx>
        <w:trPr>
          <w:trHeight w:val="308" w:hRule="atLeast"/>
        </w:trPr>
        <w:tc>
          <w:tcPr>
            <w:tcW w:w="906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注：1.本表依据《一般公共预算财政拨款基本支出决算明细表》（财决08-1表）进行批复。</w:t>
            </w:r>
          </w:p>
        </w:tc>
      </w:tr>
      <w:tr>
        <w:tblPrEx>
          <w:tblLayout w:type="fixed"/>
          <w:tblCellMar>
            <w:top w:w="0" w:type="dxa"/>
            <w:left w:w="108" w:type="dxa"/>
            <w:bottom w:w="0" w:type="dxa"/>
            <w:right w:w="108" w:type="dxa"/>
          </w:tblCellMar>
        </w:tblPrEx>
        <w:trPr>
          <w:trHeight w:val="308" w:hRule="atLeast"/>
        </w:trPr>
        <w:tc>
          <w:tcPr>
            <w:tcW w:w="9060"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2.本表以“万元”为金额单位（保留两位小数）。</w:t>
            </w: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302"/>
        <w:gridCol w:w="302"/>
        <w:gridCol w:w="302"/>
        <w:gridCol w:w="2279"/>
        <w:gridCol w:w="412"/>
        <w:gridCol w:w="368"/>
        <w:gridCol w:w="412"/>
        <w:gridCol w:w="564"/>
        <w:gridCol w:w="368"/>
        <w:gridCol w:w="564"/>
        <w:gridCol w:w="520"/>
        <w:gridCol w:w="368"/>
        <w:gridCol w:w="520"/>
        <w:gridCol w:w="520"/>
        <w:gridCol w:w="369"/>
        <w:gridCol w:w="521"/>
        <w:gridCol w:w="369"/>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7"/>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政府性基金预算财政拨款收入支出决算批复表</w:t>
            </w:r>
          </w:p>
        </w:tc>
      </w:tr>
      <w:tr>
        <w:tblPrEx>
          <w:tblLayout w:type="fixed"/>
          <w:tblCellMar>
            <w:top w:w="0" w:type="dxa"/>
            <w:left w:w="108" w:type="dxa"/>
            <w:bottom w:w="0" w:type="dxa"/>
            <w:right w:w="108" w:type="dxa"/>
          </w:tblCellMar>
        </w:tblPrEx>
        <w:trPr>
          <w:trHeight w:val="255" w:hRule="atLeast"/>
        </w:trPr>
        <w:tc>
          <w:tcPr>
            <w:tcW w:w="302"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30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0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279"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1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1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79"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财决批复07表</w:t>
            </w:r>
          </w:p>
        </w:tc>
      </w:tr>
      <w:tr>
        <w:tblPrEx>
          <w:tblLayout w:type="fixed"/>
          <w:tblCellMar>
            <w:top w:w="0" w:type="dxa"/>
            <w:left w:w="108" w:type="dxa"/>
            <w:bottom w:w="0" w:type="dxa"/>
            <w:right w:w="108" w:type="dxa"/>
          </w:tblCellMar>
        </w:tblPrEx>
        <w:trPr>
          <w:trHeight w:val="255" w:hRule="atLeast"/>
        </w:trPr>
        <w:tc>
          <w:tcPr>
            <w:tcW w:w="4941" w:type="dxa"/>
            <w:gridSpan w:val="8"/>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36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64"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368"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520"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779" w:type="dxa"/>
            <w:gridSpan w:val="4"/>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90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27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92"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496"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1408"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779"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Layout w:type="fixed"/>
          <w:tblCellMar>
            <w:top w:w="0" w:type="dxa"/>
            <w:left w:w="108" w:type="dxa"/>
            <w:bottom w:w="0" w:type="dxa"/>
            <w:right w:w="108" w:type="dxa"/>
          </w:tblCellMar>
        </w:tblPrEx>
        <w:trPr>
          <w:trHeight w:val="308" w:hRule="atLeast"/>
        </w:trPr>
        <w:tc>
          <w:tcPr>
            <w:tcW w:w="9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7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6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41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c>
          <w:tcPr>
            <w:tcW w:w="5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6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52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6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52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52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36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基本支出结转</w:t>
            </w:r>
          </w:p>
        </w:tc>
        <w:tc>
          <w:tcPr>
            <w:tcW w:w="890"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项目支出结转和结余</w:t>
            </w:r>
          </w:p>
        </w:tc>
      </w:tr>
      <w:tr>
        <w:tblPrEx>
          <w:tblLayout w:type="fixed"/>
          <w:tblCellMar>
            <w:top w:w="0" w:type="dxa"/>
            <w:left w:w="108" w:type="dxa"/>
            <w:bottom w:w="0" w:type="dxa"/>
            <w:right w:w="108" w:type="dxa"/>
          </w:tblCellMar>
        </w:tblPrEx>
        <w:trPr>
          <w:trHeight w:val="308" w:hRule="atLeast"/>
        </w:trPr>
        <w:tc>
          <w:tcPr>
            <w:tcW w:w="9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7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项目支出结转</w:t>
            </w:r>
          </w:p>
        </w:tc>
        <w:tc>
          <w:tcPr>
            <w:tcW w:w="36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项目支出结余</w:t>
            </w:r>
          </w:p>
        </w:tc>
      </w:tr>
      <w:tr>
        <w:tblPrEx>
          <w:tblLayout w:type="fixed"/>
          <w:tblCellMar>
            <w:top w:w="0" w:type="dxa"/>
            <w:left w:w="108" w:type="dxa"/>
            <w:bottom w:w="0" w:type="dxa"/>
            <w:right w:w="108" w:type="dxa"/>
          </w:tblCellMar>
        </w:tblPrEx>
        <w:trPr>
          <w:trHeight w:val="615" w:hRule="atLeast"/>
        </w:trPr>
        <w:tc>
          <w:tcPr>
            <w:tcW w:w="9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7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1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52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302"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30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30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227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41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6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412"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564"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6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564"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52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368"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52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52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36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521"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369"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r>
      <w:tr>
        <w:tblPrEx>
          <w:tblLayout w:type="fixed"/>
          <w:tblCellMar>
            <w:top w:w="0" w:type="dxa"/>
            <w:left w:w="108" w:type="dxa"/>
            <w:bottom w:w="0" w:type="dxa"/>
            <w:right w:w="108" w:type="dxa"/>
          </w:tblCellMar>
        </w:tblPrEx>
        <w:trPr>
          <w:trHeight w:val="308" w:hRule="atLeast"/>
        </w:trPr>
        <w:tc>
          <w:tcPr>
            <w:tcW w:w="302"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12,878.25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12,878.25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8,764.41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8,764.41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11,531.25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11,531.25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7,417.41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7,417.41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8,075.34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8,075.34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3,961.50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3,961.50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4,145.43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2120803</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城市建设支出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31.60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1,484.43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1,484.43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1,191.10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1,191.10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324.93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324.93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3,060.90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2,713.50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347.40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347.40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2120811</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公共租赁住房支出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3,530.00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56.90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3,473.10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3,473.10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2121301</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城市公共设施</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3,177.57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污水处理费安排的支出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2121401</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污水处理设施建设和运营</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278.34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2290402</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800.00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抗疫特别国债安排的支出</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基础设施建设</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2340107</w:t>
            </w:r>
          </w:p>
        </w:tc>
        <w:tc>
          <w:tcPr>
            <w:tcW w:w="2279" w:type="dxa"/>
            <w:tcBorders>
              <w:top w:val="nil"/>
              <w:left w:val="nil"/>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城镇老旧小区改造</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412"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64"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368"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547.00 </w:t>
            </w:r>
          </w:p>
        </w:tc>
        <w:tc>
          <w:tcPr>
            <w:tcW w:w="520"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521"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c>
          <w:tcPr>
            <w:tcW w:w="369"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default" w:ascii="Arial" w:hAnsi="Arial" w:cs="Arial"/>
                <w:i w:val="0"/>
                <w:iCs w:val="0"/>
                <w:color w:val="000000"/>
                <w:sz w:val="20"/>
                <w:szCs w:val="20"/>
                <w:u w:val="none"/>
              </w:rPr>
            </w:pPr>
            <w:r>
              <w:rPr>
                <w:rFonts w:hint="default" w:ascii="Arial" w:hAnsi="Arial" w:eastAsia="宋体" w:cs="Arial"/>
                <w:i w:val="0"/>
                <w:iCs w:val="0"/>
                <w:color w:val="000000"/>
                <w:kern w:val="0"/>
                <w:sz w:val="20"/>
                <w:szCs w:val="20"/>
                <w:u w:val="none"/>
                <w:lang w:val="en-US" w:eastAsia="zh-CN" w:bidi="ar"/>
              </w:rPr>
              <w:t xml:space="preserve">0.00 </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注：1.本表依据《政府性基金预算财政拨款收入支出决算表》（财决09表）进行批复。</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3.本表以“万元”为金额单位（保留两位小数）。</w:t>
            </w: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tbl>
      <w:tblPr>
        <w:tblStyle w:val="7"/>
        <w:tblW w:w="9060" w:type="dxa"/>
        <w:tblInd w:w="0" w:type="dxa"/>
        <w:shd w:val="clear" w:color="auto" w:fill="auto"/>
        <w:tblLayout w:type="fixed"/>
        <w:tblCellMar>
          <w:top w:w="0" w:type="dxa"/>
          <w:left w:w="108" w:type="dxa"/>
          <w:bottom w:w="0" w:type="dxa"/>
          <w:right w:w="108" w:type="dxa"/>
        </w:tblCellMar>
      </w:tblPr>
      <w:tblGrid>
        <w:gridCol w:w="421"/>
        <w:gridCol w:w="422"/>
        <w:gridCol w:w="422"/>
        <w:gridCol w:w="2377"/>
        <w:gridCol w:w="1113"/>
        <w:gridCol w:w="695"/>
        <w:gridCol w:w="695"/>
        <w:gridCol w:w="695"/>
        <w:gridCol w:w="695"/>
        <w:gridCol w:w="1525"/>
      </w:tblGrid>
      <w:tr>
        <w:tblPrEx>
          <w:shd w:val="clear" w:color="auto" w:fill="auto"/>
          <w:tblLayout w:type="fixed"/>
          <w:tblCellMar>
            <w:top w:w="0" w:type="dxa"/>
            <w:left w:w="108" w:type="dxa"/>
            <w:bottom w:w="0" w:type="dxa"/>
            <w:right w:w="108" w:type="dxa"/>
          </w:tblCellMar>
        </w:tblPrEx>
        <w:trPr>
          <w:trHeight w:val="390" w:hRule="atLeast"/>
        </w:trPr>
        <w:tc>
          <w:tcPr>
            <w:tcW w:w="9060" w:type="dxa"/>
            <w:gridSpan w:val="10"/>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i w:val="0"/>
                <w:iCs w:val="0"/>
                <w:color w:val="000000"/>
                <w:kern w:val="0"/>
                <w:sz w:val="30"/>
                <w:szCs w:val="30"/>
                <w:u w:val="none"/>
                <w:lang w:val="en-US" w:eastAsia="zh-CN" w:bidi="ar"/>
              </w:rPr>
              <w:t>国有资本经营预算财政拨款收入支出决算批复表</w:t>
            </w:r>
          </w:p>
        </w:tc>
      </w:tr>
      <w:tr>
        <w:tblPrEx>
          <w:tblLayout w:type="fixed"/>
          <w:tblCellMar>
            <w:top w:w="0" w:type="dxa"/>
            <w:left w:w="108" w:type="dxa"/>
            <w:bottom w:w="0" w:type="dxa"/>
            <w:right w:w="108" w:type="dxa"/>
          </w:tblCellMar>
        </w:tblPrEx>
        <w:trPr>
          <w:trHeight w:val="255" w:hRule="atLeast"/>
        </w:trPr>
        <w:tc>
          <w:tcPr>
            <w:tcW w:w="421" w:type="dxa"/>
            <w:tcBorders>
              <w:top w:val="nil"/>
              <w:left w:val="nil"/>
              <w:bottom w:val="nil"/>
              <w:right w:val="nil"/>
            </w:tcBorders>
            <w:shd w:val="clear" w:color="auto" w:fill="auto"/>
            <w:vAlign w:val="bottom"/>
          </w:tcPr>
          <w:p>
            <w:pPr>
              <w:rPr>
                <w:rFonts w:hint="eastAsia" w:ascii="Arial" w:hAnsi="Arial" w:cs="Arial"/>
                <w:i w:val="0"/>
                <w:iCs w:val="0"/>
                <w:color w:val="000000"/>
                <w:sz w:val="20"/>
                <w:szCs w:val="20"/>
                <w:u w:val="none"/>
              </w:rPr>
            </w:pPr>
          </w:p>
        </w:tc>
        <w:tc>
          <w:tcPr>
            <w:tcW w:w="42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422"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2377"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113"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525" w:type="dxa"/>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财决批复08表</w:t>
            </w:r>
          </w:p>
        </w:tc>
      </w:tr>
      <w:tr>
        <w:tblPrEx>
          <w:tblLayout w:type="fixed"/>
          <w:tblCellMar>
            <w:top w:w="0" w:type="dxa"/>
            <w:left w:w="108" w:type="dxa"/>
            <w:bottom w:w="0" w:type="dxa"/>
            <w:right w:w="108" w:type="dxa"/>
          </w:tblCellMar>
        </w:tblPrEx>
        <w:trPr>
          <w:trHeight w:val="255" w:hRule="atLeast"/>
        </w:trPr>
        <w:tc>
          <w:tcPr>
            <w:tcW w:w="4755" w:type="dxa"/>
            <w:gridSpan w:val="5"/>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部门：石家庄市鹿泉区住房和城乡建设局（本级）</w:t>
            </w: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695" w:type="dxa"/>
            <w:tcBorders>
              <w:top w:val="nil"/>
              <w:left w:val="nil"/>
              <w:bottom w:val="nil"/>
              <w:right w:val="nil"/>
            </w:tcBorders>
            <w:shd w:val="clear" w:color="auto" w:fill="auto"/>
            <w:vAlign w:val="bottom"/>
          </w:tcPr>
          <w:p>
            <w:pPr>
              <w:rPr>
                <w:rFonts w:hint="default" w:ascii="Arial" w:hAnsi="Arial" w:cs="Arial"/>
                <w:i w:val="0"/>
                <w:iCs w:val="0"/>
                <w:color w:val="000000"/>
                <w:sz w:val="20"/>
                <w:szCs w:val="20"/>
                <w:u w:val="none"/>
              </w:rPr>
            </w:pPr>
          </w:p>
        </w:tc>
        <w:tc>
          <w:tcPr>
            <w:tcW w:w="1525" w:type="dxa"/>
            <w:tcBorders>
              <w:top w:val="nil"/>
              <w:left w:val="nil"/>
              <w:bottom w:val="nil"/>
              <w:right w:val="nil"/>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Layout w:type="fixed"/>
          <w:tblCellMar>
            <w:top w:w="0" w:type="dxa"/>
            <w:left w:w="108" w:type="dxa"/>
            <w:bottom w:w="0" w:type="dxa"/>
            <w:right w:w="108" w:type="dxa"/>
          </w:tblCellMar>
        </w:tblPrEx>
        <w:trPr>
          <w:trHeight w:val="308" w:hRule="atLeast"/>
        </w:trPr>
        <w:tc>
          <w:tcPr>
            <w:tcW w:w="12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科目编码</w:t>
            </w:r>
          </w:p>
        </w:tc>
        <w:tc>
          <w:tcPr>
            <w:tcW w:w="2377"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13"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69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69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291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Layout w:type="fixed"/>
          <w:tblCellMar>
            <w:top w:w="0" w:type="dxa"/>
            <w:left w:w="108" w:type="dxa"/>
            <w:bottom w:w="0" w:type="dxa"/>
            <w:right w:w="108" w:type="dxa"/>
          </w:tblCellMar>
        </w:tblPrEx>
        <w:trPr>
          <w:trHeight w:val="308" w:hRule="atLeast"/>
        </w:trPr>
        <w:tc>
          <w:tcPr>
            <w:tcW w:w="12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37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69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结转</w:t>
            </w:r>
          </w:p>
        </w:tc>
        <w:tc>
          <w:tcPr>
            <w:tcW w:w="15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结余</w:t>
            </w:r>
          </w:p>
        </w:tc>
      </w:tr>
      <w:tr>
        <w:tblPrEx>
          <w:tblLayout w:type="fixed"/>
          <w:tblCellMar>
            <w:top w:w="0" w:type="dxa"/>
            <w:left w:w="108" w:type="dxa"/>
            <w:bottom w:w="0" w:type="dxa"/>
            <w:right w:w="108" w:type="dxa"/>
          </w:tblCellMar>
        </w:tblPrEx>
        <w:trPr>
          <w:trHeight w:val="308" w:hRule="atLeast"/>
        </w:trPr>
        <w:tc>
          <w:tcPr>
            <w:tcW w:w="12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37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615" w:hRule="atLeast"/>
        </w:trPr>
        <w:tc>
          <w:tcPr>
            <w:tcW w:w="12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377"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5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421"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42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42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237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1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6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5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Layout w:type="fixed"/>
          <w:tblCellMar>
            <w:top w:w="0" w:type="dxa"/>
            <w:left w:w="108" w:type="dxa"/>
            <w:bottom w:w="0" w:type="dxa"/>
            <w:right w:w="108" w:type="dxa"/>
          </w:tblCellMar>
        </w:tblPrEx>
        <w:trPr>
          <w:trHeight w:val="308" w:hRule="atLeast"/>
        </w:trPr>
        <w:tc>
          <w:tcPr>
            <w:tcW w:w="421"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2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42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37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52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265"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7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1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2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265"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7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1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2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265"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7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1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2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265"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7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1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2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265"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7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1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2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1265" w:type="dxa"/>
            <w:gridSpan w:val="3"/>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37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1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6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52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注：1.本表依据《国有资本经营预算财政拨款收入支出决算表》（财决11表）进行批复。</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2.本表批复到项级科目。</w:t>
            </w:r>
          </w:p>
        </w:tc>
      </w:tr>
      <w:tr>
        <w:tblPrEx>
          <w:tblLayout w:type="fixed"/>
          <w:tblCellMar>
            <w:top w:w="0" w:type="dxa"/>
            <w:left w:w="108" w:type="dxa"/>
            <w:bottom w:w="0" w:type="dxa"/>
            <w:right w:w="108" w:type="dxa"/>
          </w:tblCellMar>
        </w:tblPrEx>
        <w:trPr>
          <w:trHeight w:val="308" w:hRule="atLeast"/>
        </w:trPr>
        <w:tc>
          <w:tcPr>
            <w:tcW w:w="9060" w:type="dxa"/>
            <w:gridSpan w:val="10"/>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3.本表以“万元”为金额单位（保留两位小数）。</w:t>
            </w:r>
          </w:p>
        </w:tc>
      </w:tr>
    </w:tbl>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pStyle w:val="2"/>
        <w:rPr>
          <w:lang w:val="en-US" w:eastAsia="zh-CN"/>
        </w:r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3360;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046CF45"/>
    <w:multiLevelType w:val="singleLevel"/>
    <w:tmpl w:val="E046CF45"/>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18668E"/>
    <w:rsid w:val="001B73D2"/>
    <w:rsid w:val="001E62BF"/>
    <w:rsid w:val="00293E7B"/>
    <w:rsid w:val="002C051F"/>
    <w:rsid w:val="002D1F4F"/>
    <w:rsid w:val="00366D90"/>
    <w:rsid w:val="003D678E"/>
    <w:rsid w:val="00801F66"/>
    <w:rsid w:val="008B172C"/>
    <w:rsid w:val="009334BF"/>
    <w:rsid w:val="00E20C3F"/>
    <w:rsid w:val="01F249EF"/>
    <w:rsid w:val="02F317A7"/>
    <w:rsid w:val="043B5A17"/>
    <w:rsid w:val="05917185"/>
    <w:rsid w:val="06202487"/>
    <w:rsid w:val="06304027"/>
    <w:rsid w:val="06AA7E4F"/>
    <w:rsid w:val="08455A36"/>
    <w:rsid w:val="086E76C4"/>
    <w:rsid w:val="0A6947E7"/>
    <w:rsid w:val="0A954FB8"/>
    <w:rsid w:val="0E74280C"/>
    <w:rsid w:val="0E8E7B8D"/>
    <w:rsid w:val="0EA325C9"/>
    <w:rsid w:val="0F293393"/>
    <w:rsid w:val="0F6A0746"/>
    <w:rsid w:val="104F5FD1"/>
    <w:rsid w:val="110D1783"/>
    <w:rsid w:val="110F591E"/>
    <w:rsid w:val="11D15DD3"/>
    <w:rsid w:val="1240198C"/>
    <w:rsid w:val="12764064"/>
    <w:rsid w:val="139821FA"/>
    <w:rsid w:val="13D20423"/>
    <w:rsid w:val="153E12E4"/>
    <w:rsid w:val="15EC54DE"/>
    <w:rsid w:val="17F37C57"/>
    <w:rsid w:val="184A58CF"/>
    <w:rsid w:val="18D00DF5"/>
    <w:rsid w:val="19530E99"/>
    <w:rsid w:val="1AF50D2D"/>
    <w:rsid w:val="1AF714B4"/>
    <w:rsid w:val="1BE56912"/>
    <w:rsid w:val="1E2C6C12"/>
    <w:rsid w:val="1E4638C6"/>
    <w:rsid w:val="1EB97C90"/>
    <w:rsid w:val="1EC429A7"/>
    <w:rsid w:val="1F3353E1"/>
    <w:rsid w:val="1FD61320"/>
    <w:rsid w:val="20753469"/>
    <w:rsid w:val="20B16160"/>
    <w:rsid w:val="21CF56D4"/>
    <w:rsid w:val="22B80B08"/>
    <w:rsid w:val="235E7FB2"/>
    <w:rsid w:val="240547B1"/>
    <w:rsid w:val="25E011F4"/>
    <w:rsid w:val="2803445A"/>
    <w:rsid w:val="288E52ED"/>
    <w:rsid w:val="28B210F0"/>
    <w:rsid w:val="2B195338"/>
    <w:rsid w:val="2C977012"/>
    <w:rsid w:val="2D123A3F"/>
    <w:rsid w:val="2D4B7CD1"/>
    <w:rsid w:val="2ECF3D10"/>
    <w:rsid w:val="2EF9336E"/>
    <w:rsid w:val="2FE52ADB"/>
    <w:rsid w:val="30101ABF"/>
    <w:rsid w:val="301F5CE0"/>
    <w:rsid w:val="31B20F8E"/>
    <w:rsid w:val="326F26DD"/>
    <w:rsid w:val="32A236A9"/>
    <w:rsid w:val="347F4DA9"/>
    <w:rsid w:val="34C45458"/>
    <w:rsid w:val="3507445D"/>
    <w:rsid w:val="367F1CA1"/>
    <w:rsid w:val="368D19BE"/>
    <w:rsid w:val="36A02B7A"/>
    <w:rsid w:val="377C4599"/>
    <w:rsid w:val="37E36E31"/>
    <w:rsid w:val="3AD71A3F"/>
    <w:rsid w:val="3B304753"/>
    <w:rsid w:val="3B3468F0"/>
    <w:rsid w:val="3E574316"/>
    <w:rsid w:val="3F0D68B4"/>
    <w:rsid w:val="3F0E00CF"/>
    <w:rsid w:val="410424CC"/>
    <w:rsid w:val="44BB6165"/>
    <w:rsid w:val="45353948"/>
    <w:rsid w:val="45A0653B"/>
    <w:rsid w:val="45D93F00"/>
    <w:rsid w:val="474370FC"/>
    <w:rsid w:val="483112B7"/>
    <w:rsid w:val="4A4F13C4"/>
    <w:rsid w:val="4A764DE1"/>
    <w:rsid w:val="4A9C2C2A"/>
    <w:rsid w:val="4C6517CB"/>
    <w:rsid w:val="4CF25B2A"/>
    <w:rsid w:val="4DCD0FC8"/>
    <w:rsid w:val="4F235941"/>
    <w:rsid w:val="5015313E"/>
    <w:rsid w:val="50F018B8"/>
    <w:rsid w:val="50F85706"/>
    <w:rsid w:val="515F1FAA"/>
    <w:rsid w:val="51B46F58"/>
    <w:rsid w:val="5221629C"/>
    <w:rsid w:val="54D96658"/>
    <w:rsid w:val="550545F4"/>
    <w:rsid w:val="569433E1"/>
    <w:rsid w:val="57F44011"/>
    <w:rsid w:val="59360100"/>
    <w:rsid w:val="5A321EB4"/>
    <w:rsid w:val="5B1B2C38"/>
    <w:rsid w:val="5BC117FC"/>
    <w:rsid w:val="5BC63E6C"/>
    <w:rsid w:val="5DF70C63"/>
    <w:rsid w:val="5E0D5F94"/>
    <w:rsid w:val="5E220AEE"/>
    <w:rsid w:val="5FE75CFF"/>
    <w:rsid w:val="6106216E"/>
    <w:rsid w:val="615A2A2A"/>
    <w:rsid w:val="61807F2A"/>
    <w:rsid w:val="62BC1FA0"/>
    <w:rsid w:val="62CE3501"/>
    <w:rsid w:val="62D71390"/>
    <w:rsid w:val="6367222B"/>
    <w:rsid w:val="645C366A"/>
    <w:rsid w:val="661A2B55"/>
    <w:rsid w:val="672F09D9"/>
    <w:rsid w:val="679430E3"/>
    <w:rsid w:val="694D236C"/>
    <w:rsid w:val="6A8E034D"/>
    <w:rsid w:val="6BEC447C"/>
    <w:rsid w:val="6C052891"/>
    <w:rsid w:val="6C8D4476"/>
    <w:rsid w:val="6D066EDD"/>
    <w:rsid w:val="6D5F214A"/>
    <w:rsid w:val="6DB24FCF"/>
    <w:rsid w:val="6F283D5B"/>
    <w:rsid w:val="6FDE43FB"/>
    <w:rsid w:val="706B63BC"/>
    <w:rsid w:val="70A72A5A"/>
    <w:rsid w:val="70B77889"/>
    <w:rsid w:val="70CD26D1"/>
    <w:rsid w:val="717E167C"/>
    <w:rsid w:val="722C1E64"/>
    <w:rsid w:val="72CE0EA8"/>
    <w:rsid w:val="73EC7CB1"/>
    <w:rsid w:val="74D310BC"/>
    <w:rsid w:val="757047D3"/>
    <w:rsid w:val="76062A24"/>
    <w:rsid w:val="76FF0FE3"/>
    <w:rsid w:val="77F361F3"/>
    <w:rsid w:val="77F45CC9"/>
    <w:rsid w:val="78E702C6"/>
    <w:rsid w:val="7A425A90"/>
    <w:rsid w:val="7A722D70"/>
    <w:rsid w:val="7C6140C6"/>
    <w:rsid w:val="7CA04A7F"/>
    <w:rsid w:val="7CDB5696"/>
    <w:rsid w:val="7D604CE8"/>
    <w:rsid w:val="7D79592B"/>
    <w:rsid w:val="7ED3247B"/>
    <w:rsid w:val="7F862E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customStyle="1" w:styleId="2">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3.png"/><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39044;&#31639;&#12289;&#20915;&#31639;\2020\2019&#20915;&#31639;\&#20915;&#31639;&#20844;&#24320;\2019&#20915;&#31639;&#20844;&#24320;\&#39292;&#2227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39044;&#31639;&#12289;&#20915;&#31639;\2020\2019&#20915;&#31639;\&#20915;&#31639;&#20844;&#24320;\2019&#20915;&#31639;&#20844;&#24320;\&#39292;&#2227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D:\&#39044;&#31639;&#12289;&#20915;&#31639;\2020\2019&#20915;&#31639;\&#20915;&#31639;&#20844;&#24320;\2019&#20915;&#31639;&#20844;&#24320;\&#39292;&#2227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D:\&#39044;&#31639;&#12289;&#20915;&#31639;\2020\2019&#20915;&#31639;\&#20915;&#31639;&#20844;&#24320;\2019&#20915;&#31639;&#20844;&#24320;\&#39292;&#2227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Pt>
            <c:idx val="6"/>
            <c:bubble3D val="0"/>
            <c:spPr>
              <a:solidFill>
                <a:schemeClr val="accent1">
                  <a:lumMod val="60000"/>
                </a:schemeClr>
              </a:solidFill>
              <a:ln>
                <a:noFill/>
              </a:ln>
              <a:effectLst>
                <a:outerShdw blurRad="254000" sx="102000" sy="102000" algn="ctr" rotWithShape="0">
                  <a:prstClr val="black">
                    <a:alpha val="20000"/>
                  </a:prstClr>
                </a:outerShdw>
              </a:effectLst>
            </c:spPr>
          </c:dPt>
          <c:dLbls>
            <c:numFmt formatCode="#,##0.00_);[Red]\(#,##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'[饼图.xlsx]Sheet1 (2)'!$K$6:$K$12</c:f>
              <c:strCache>
                <c:ptCount val="7"/>
                <c:pt idx="0">
                  <c:v>社会保障和就业支出</c:v>
                </c:pt>
                <c:pt idx="1">
                  <c:v>卫生健康支出</c:v>
                </c:pt>
                <c:pt idx="2">
                  <c:v>节能环保支出</c:v>
                </c:pt>
                <c:pt idx="3">
                  <c:v>城乡社区支出</c:v>
                </c:pt>
                <c:pt idx="4">
                  <c:v>住房保障支出</c:v>
                </c:pt>
                <c:pt idx="5">
                  <c:v>其他支出</c:v>
                </c:pt>
                <c:pt idx="6">
                  <c:v>抗疫特别国债安排的支出</c:v>
                </c:pt>
              </c:strCache>
            </c:strRef>
          </c:cat>
          <c:val>
            <c:numRef>
              <c:f>'[饼图.xlsx]Sheet1 (2)'!$L$6:$L$12</c:f>
              <c:numCache>
                <c:formatCode>General</c:formatCode>
                <c:ptCount val="7"/>
                <c:pt idx="0">
                  <c:v>19.56</c:v>
                </c:pt>
                <c:pt idx="1">
                  <c:v>17.49</c:v>
                </c:pt>
                <c:pt idx="2">
                  <c:v>7518.6</c:v>
                </c:pt>
                <c:pt idx="3">
                  <c:v>10432.39</c:v>
                </c:pt>
                <c:pt idx="4">
                  <c:v>928.79</c:v>
                </c:pt>
                <c:pt idx="5">
                  <c:v>800</c:v>
                </c:pt>
                <c:pt idx="6">
                  <c:v>547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91256687981208"/>
          <c:y val="0.0614712798118912"/>
          <c:w val="0.894610465874984"/>
          <c:h val="0.729156869331542"/>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'[饼图.xlsx]Sheet1 (2)'!$A$16:$A$20</c:f>
              <c:strCache>
                <c:ptCount val="5"/>
                <c:pt idx="0">
                  <c:v>人员经费</c:v>
                </c:pt>
                <c:pt idx="1">
                  <c:v>公用经费</c:v>
                </c:pt>
                <c:pt idx="3">
                  <c:v>基本建设类项目</c:v>
                </c:pt>
                <c:pt idx="4">
                  <c:v>行政事业类项目</c:v>
                </c:pt>
              </c:strCache>
            </c:strRef>
          </c:cat>
          <c:val>
            <c:numRef>
              <c:f>'[饼图.xlsx]Sheet1 (2)'!$B$16:$B$20</c:f>
              <c:numCache>
                <c:formatCode>General</c:formatCode>
                <c:ptCount val="5"/>
                <c:pt idx="0">
                  <c:v>337.59</c:v>
                </c:pt>
                <c:pt idx="1">
                  <c:v>164.05</c:v>
                </c:pt>
                <c:pt idx="4">
                  <c:v>19762.19</c:v>
                </c:pt>
              </c:numCache>
            </c:numRef>
          </c:val>
        </c:ser>
        <c:dLbls>
          <c:showLegendKey val="0"/>
          <c:showVal val="1"/>
          <c:showCatName val="0"/>
          <c:showSerName val="0"/>
          <c:showPercent val="0"/>
          <c:showBubbleSize val="0"/>
        </c:dLbls>
        <c:gapWidth val="61"/>
        <c:overlap val="-27"/>
        <c:axId val="813577556"/>
        <c:axId val="176056576"/>
      </c:barChart>
      <c:catAx>
        <c:axId val="8135775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6056576"/>
        <c:crosses val="autoZero"/>
        <c:auto val="1"/>
        <c:lblAlgn val="ctr"/>
        <c:lblOffset val="100"/>
        <c:noMultiLvlLbl val="0"/>
      </c:catAx>
      <c:valAx>
        <c:axId val="176056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35775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[饼图.xlsx]Sheet2!$A$2</c:f>
              <c:strCache>
                <c:ptCount val="1"/>
                <c:pt idx="0">
                  <c:v>2020年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[饼图.xlsx]Sheet2!$B$1:$C$1</c:f>
              <c:strCache>
                <c:ptCount val="2"/>
                <c:pt idx="0">
                  <c:v>基本支出</c:v>
                </c:pt>
                <c:pt idx="1">
                  <c:v>项目支出</c:v>
                </c:pt>
              </c:strCache>
            </c:strRef>
          </c:cat>
          <c:val>
            <c:numRef>
              <c:f>[饼图.xlsx]Sheet2!$B$2:$C$2</c:f>
              <c:numCache>
                <c:formatCode>General</c:formatCode>
                <c:ptCount val="2"/>
                <c:pt idx="0">
                  <c:v>501.64</c:v>
                </c:pt>
                <c:pt idx="1">
                  <c:v>19762.19</c:v>
                </c:pt>
              </c:numCache>
            </c:numRef>
          </c:val>
        </c:ser>
        <c:ser>
          <c:idx val="1"/>
          <c:order val="1"/>
          <c:tx>
            <c:strRef>
              <c:f>[饼图.xlsx]Sheet2!$A$3</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[饼图.xlsx]Sheet2!$B$1:$C$1</c:f>
              <c:strCache>
                <c:ptCount val="2"/>
                <c:pt idx="0">
                  <c:v>基本支出</c:v>
                </c:pt>
                <c:pt idx="1">
                  <c:v>项目支出</c:v>
                </c:pt>
              </c:strCache>
            </c:strRef>
          </c:cat>
          <c:val>
            <c:numRef>
              <c:f>[饼图.xlsx]Sheet2!$B$3:$C$3</c:f>
              <c:numCache>
                <c:formatCode>General</c:formatCode>
                <c:ptCount val="2"/>
                <c:pt idx="0">
                  <c:v>480.94</c:v>
                </c:pt>
                <c:pt idx="1">
                  <c:v>31647.01</c:v>
                </c:pt>
              </c:numCache>
            </c:numRef>
          </c:val>
        </c:ser>
        <c:dLbls>
          <c:showLegendKey val="0"/>
          <c:showVal val="1"/>
          <c:showCatName val="0"/>
          <c:showSerName val="0"/>
          <c:showPercent val="0"/>
          <c:showBubbleSize val="0"/>
        </c:dLbls>
        <c:gapWidth val="219"/>
        <c:overlap val="-27"/>
        <c:axId val="410637610"/>
        <c:axId val="149225776"/>
      </c:barChart>
      <c:catAx>
        <c:axId val="41063761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9225776"/>
        <c:crosses val="autoZero"/>
        <c:auto val="1"/>
        <c:lblAlgn val="ctr"/>
        <c:lblOffset val="100"/>
        <c:noMultiLvlLbl val="0"/>
      </c:catAx>
      <c:valAx>
        <c:axId val="149225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063761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numFmt formatCode="#,##0.00_);[Red]\(#,##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'[饼图.xlsx]Sheet1 (2)'!$K$6:$K$9</c:f>
              <c:strCache>
                <c:ptCount val="4"/>
                <c:pt idx="0">
                  <c:v>工资福利支出</c:v>
                </c:pt>
                <c:pt idx="1">
                  <c:v>商品服务支出</c:v>
                </c:pt>
                <c:pt idx="2">
                  <c:v>对个人和家庭的补助</c:v>
                </c:pt>
                <c:pt idx="3">
                  <c:v>资本性支出</c:v>
                </c:pt>
              </c:strCache>
            </c:strRef>
          </c:cat>
          <c:val>
            <c:numRef>
              <c:f>'[饼图.xlsx]Sheet1 (2)'!$L$6:$L$9</c:f>
              <c:numCache>
                <c:formatCode>General</c:formatCode>
                <c:ptCount val="4"/>
                <c:pt idx="0">
                  <c:v>306.46</c:v>
                </c:pt>
                <c:pt idx="1">
                  <c:v>164.05</c:v>
                </c:pt>
                <c:pt idx="2">
                  <c:v>31.12</c:v>
                </c:pt>
                <c:pt idx="3">
                  <c:v>19489.41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746037735849057"/>
          <c:y val="0.400224022057556"/>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4942</Words>
  <Characters>5518</Characters>
  <Lines>82</Lines>
  <Paragraphs>23</Paragraphs>
  <TotalTime>0</TotalTime>
  <ScaleCrop>false</ScaleCrop>
  <LinksUpToDate>false</LinksUpToDate>
  <CharactersWithSpaces>5712</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2021-10-08T05:50:00Z</cp:lastPrinted>
  <dcterms:modified xsi:type="dcterms:W3CDTF">2023-06-28T07:11:31Z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39A4066D0E44494FBB6AB2EAE728D637</vt:lpwstr>
  </property>
</Properties>
</file>