
<file path=[Content_Types].xml><?xml version="1.0" encoding="utf-8"?>
<Types xmlns="http://schemas.openxmlformats.org/package/2006/content-types">
  <Default Extension="xml" ContentType="application/xml"/>
  <Default Extension="jpeg" ContentType="image/jpeg"/>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drawing>
          <wp:anchor distT="0" distB="0" distL="114300" distR="114300" simplePos="0" relativeHeight="251669504" behindDoc="1" locked="0" layoutInCell="1" allowOverlap="1">
            <wp:simplePos x="0" y="0"/>
            <wp:positionH relativeFrom="column">
              <wp:posOffset>-959485</wp:posOffset>
            </wp:positionH>
            <wp:positionV relativeFrom="paragraph">
              <wp:posOffset>-1398270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0"/>
                    <a:stretch>
                      <a:fillRect/>
                    </a:stretch>
                  </pic:blipFill>
                  <pic:spPr>
                    <a:xfrm>
                      <a:off x="0" y="0"/>
                      <a:ext cx="7592060" cy="10739755"/>
                    </a:xfrm>
                    <a:prstGeom prst="rect">
                      <a:avLst/>
                    </a:prstGeom>
                  </pic:spPr>
                </pic:pic>
              </a:graphicData>
            </a:graphic>
          </wp:anchor>
        </w:drawing>
      </w:r>
      <w:r>
        <w:rPr>
          <w:sz w:val="21"/>
        </w:rPr>
        <mc:AlternateContent>
          <mc:Choice Requires="wps">
            <w:drawing>
              <wp:anchor distT="0" distB="0" distL="114300" distR="114300" simplePos="0" relativeHeight="251667456" behindDoc="0" locked="0" layoutInCell="1" allowOverlap="1">
                <wp:simplePos x="0" y="0"/>
                <wp:positionH relativeFrom="column">
                  <wp:posOffset>1110615</wp:posOffset>
                </wp:positionH>
                <wp:positionV relativeFrom="paragraph">
                  <wp:posOffset>8049260</wp:posOffset>
                </wp:positionV>
                <wp:extent cx="2924175" cy="819150"/>
                <wp:effectExtent l="4445" t="4445" r="5080" b="14605"/>
                <wp:wrapNone/>
                <wp:docPr id="22" name="文本框 22"/>
                <wp:cNvGraphicFramePr/>
                <a:graphic xmlns:a="http://schemas.openxmlformats.org/drawingml/2006/main">
                  <a:graphicData uri="http://schemas.microsoft.com/office/word/2010/wordprocessingShape">
                    <wps:wsp>
                      <wps:cNvSpPr txBox="1"/>
                      <wps:spPr>
                        <a:xfrm>
                          <a:off x="2082800" y="9381490"/>
                          <a:ext cx="2924175" cy="81915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 w:hAnsi="楷体" w:eastAsia="楷体" w:cs="楷体"/>
                                <w:b/>
                                <w:bCs/>
                                <w:sz w:val="44"/>
                                <w:szCs w:val="44"/>
                                <w:lang w:val="en-US" w:eastAsia="zh-CN"/>
                              </w:rPr>
                            </w:pPr>
                            <w:r>
                              <w:rPr>
                                <w:rFonts w:hint="eastAsia" w:ascii="楷体" w:hAnsi="楷体" w:eastAsia="楷体" w:cs="楷体"/>
                                <w:b/>
                                <w:bCs/>
                                <w:sz w:val="44"/>
                                <w:szCs w:val="44"/>
                                <w:lang w:val="en-US" w:eastAsia="zh-CN"/>
                              </w:rPr>
                              <w:t>2021年10月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7.45pt;margin-top:633.8pt;height:64.5pt;width:230.25pt;z-index:251667456;mso-width-relative:page;mso-height-relative:page;" fillcolor="#FFFFFF [3201]" filled="t" stroked="t" coordsize="21600,21600" o:gfxdata="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ZiWsvtsAAAANAQAADwAAAAAAAAABACAAAAAi&#10;AAAAZHJzL2Rvd25yZXYueG1sUEsBAhQAFAAAAAgAh07iQFeUQIZAAgAAeAQAAA4AAAAAAAAAAQAg&#10;AAAAKgEAAGRycy9lMm9Eb2MueG1sUEsFBgAAAAAGAAYAWQEAANwFAAAAAA==&#10;">
                <v:fill on="t" focussize="0,0"/>
                <v:stroke weight="0.5pt" color="#FFFFFF [3212]" joinstyle="round"/>
                <v:imagedata o:title=""/>
                <o:lock v:ext="edit" aspectratio="f"/>
                <v:textbox>
                  <w:txbxContent>
                    <w:p>
                      <w:pPr>
                        <w:jc w:val="center"/>
                        <w:rPr>
                          <w:rFonts w:hint="eastAsia" w:ascii="楷体" w:hAnsi="楷体" w:eastAsia="楷体" w:cs="楷体"/>
                          <w:b/>
                          <w:bCs/>
                          <w:sz w:val="44"/>
                          <w:szCs w:val="44"/>
                          <w:lang w:val="en-US" w:eastAsia="zh-CN"/>
                        </w:rPr>
                      </w:pPr>
                      <w:r>
                        <w:rPr>
                          <w:rFonts w:hint="eastAsia" w:ascii="楷体" w:hAnsi="楷体" w:eastAsia="楷体" w:cs="楷体"/>
                          <w:b/>
                          <w:bCs/>
                          <w:sz w:val="44"/>
                          <w:szCs w:val="44"/>
                          <w:lang w:val="en-US" w:eastAsia="zh-CN"/>
                        </w:rPr>
                        <w:t>2021年10月</w:t>
                      </w:r>
                    </w:p>
                  </w:txbxContent>
                </v:textbox>
              </v:shape>
            </w:pict>
          </mc:Fallback>
        </mc:AlternateContent>
      </w:r>
      <w:r>
        <w:br w:type="page"/>
      </w:r>
    </w:p>
    <w:p>
      <w:pPr>
        <w:rPr>
          <w:rFonts w:ascii="黑体" w:hAnsi="黑体" w:eastAsia="黑体" w:cs="黑体"/>
          <w:sz w:val="72"/>
          <w:szCs w:val="96"/>
        </w:rPr>
      </w:pP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石家庄市鹿泉区住房和城乡建设局</w:t>
      </w: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r>
        <w:rPr>
          <w:rFonts w:hint="eastAsia" w:ascii="黑体" w:hAnsi="黑体" w:eastAsia="黑体" w:cs="黑体"/>
          <w:sz w:val="72"/>
          <w:szCs w:val="96"/>
          <w:lang w:val="en-US" w:eastAsia="zh-CN"/>
        </w:rPr>
        <w:t>石家庄市鹿泉区</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default" w:ascii="黑体" w:hAnsi="黑体" w:eastAsia="黑体" w:cs="黑体"/>
          <w:sz w:val="72"/>
          <w:szCs w:val="96"/>
          <w:lang w:val="en-US" w:eastAsia="zh-CN"/>
        </w:rPr>
      </w:pPr>
      <w:r>
        <w:rPr>
          <w:rFonts w:hint="eastAsia" w:ascii="黑体" w:hAnsi="黑体" w:eastAsia="黑体" w:cs="黑体"/>
          <w:sz w:val="72"/>
          <w:szCs w:val="96"/>
          <w:lang w:val="en-US" w:eastAsia="zh-CN"/>
        </w:rPr>
        <w:t>住房和城乡建设局</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both"/>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both"/>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2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JOCXofcAAAADQEAAA8A&#10;AAAAAAAAAQAgAAAAIgAAAGRycy9kb3ducmV2LnhtbFBLAQIUABQAAAAIAIdO4kCVxoSdhQIAACMF&#10;AAAOAAAAAAAAAAEAIAAAACsBAABkcnMvZTJvRG9jLnhtbFBLBQYAAAAABgAGAFkBAAAiBgAAAAA=&#10;">
                <v:fill type="pattern" on="t" color2="#FFFFFF [3212]" focussize="0,0" r:id="rId11"/>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3"/>
        <w:numPr>
          <w:ilvl w:val="0"/>
          <w:numId w:val="1"/>
        </w:numPr>
        <w:spacing w:before="0" w:after="0" w:line="580" w:lineRule="exact"/>
        <w:ind w:firstLine="640" w:firstLineChars="200"/>
        <w:jc w:val="left"/>
      </w:pPr>
      <w:r>
        <w:rPr>
          <w:rFonts w:hint="eastAsia" w:ascii="黑体" w:eastAsia="黑体" w:cs="黑体"/>
          <w:b w:val="0"/>
          <w:bCs w:val="0"/>
          <w:kern w:val="0"/>
          <w:sz w:val="32"/>
          <w:szCs w:val="32"/>
        </w:rPr>
        <w:t>部门职责</w:t>
      </w:r>
    </w:p>
    <w:p>
      <w:pPr>
        <w:ind w:firstLine="640" w:firstLineChars="200"/>
        <w:jc w:val="both"/>
        <w:outlineLvl w:val="1"/>
        <w:rPr>
          <w:rFonts w:hint="eastAsia" w:ascii="仿宋" w:hAnsi="仿宋" w:eastAsia="仿宋" w:cs="仿宋"/>
          <w:sz w:val="32"/>
          <w:szCs w:val="32"/>
        </w:rPr>
      </w:pPr>
      <w:r>
        <w:rPr>
          <w:rFonts w:hint="eastAsia" w:ascii="仿宋" w:hAnsi="仿宋" w:eastAsia="仿宋" w:cs="仿宋"/>
          <w:sz w:val="32"/>
          <w:szCs w:val="32"/>
        </w:rPr>
        <w:t>根据《石家庄市鹿泉区住房和城乡建设局职能配置、内设机构和人员编制规定》，石家庄市鹿泉区住房和城乡建设局的主要职责是：</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b w:val="0"/>
          <w:bCs/>
          <w:sz w:val="32"/>
          <w:szCs w:val="32"/>
          <w:lang w:val="en-US" w:eastAsia="zh-CN"/>
        </w:rPr>
        <w:t>1</w:t>
      </w:r>
      <w:r>
        <w:rPr>
          <w:rFonts w:hint="eastAsia" w:ascii="仿宋" w:hAnsi="仿宋" w:eastAsia="仿宋" w:cs="仿宋"/>
          <w:sz w:val="32"/>
          <w:szCs w:val="32"/>
        </w:rPr>
        <w:t>、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、贯彻落实党中央、国务院和省、市、区关于城市管理相关工作的方针政策和法律法规。拟订城市管理中长期发展规划和年度计划并组织实施。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、负责推进住房制度改革。贯彻落实住房政策，指导住房建设，推动住房制度改革；拟订住房建设发展规划并组织实施。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、负责全区房地产市场的监督管理。贯彻落实房地产市场调控政策并监督执行；落实上级房地产业行业发展规划、产业政策和房地产开发、房屋交易、房屋租赁、房地产估价与经纪管理的规章制度并监督实施。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、推进新型城镇化（国家新型城镇化综合试点）建设工作。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14</w:t>
      </w:r>
      <w:r>
        <w:rPr>
          <w:rFonts w:hint="eastAsia" w:ascii="仿宋" w:hAnsi="仿宋" w:eastAsia="仿宋" w:cs="仿宋"/>
          <w:sz w:val="32"/>
          <w:szCs w:val="32"/>
        </w:rPr>
        <w:t>、负责全区污水处理及污水处理行业管理工作。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15</w:t>
      </w:r>
      <w:r>
        <w:rPr>
          <w:rFonts w:hint="eastAsia" w:ascii="仿宋" w:hAnsi="仿宋" w:eastAsia="仿宋" w:cs="仿宋"/>
          <w:sz w:val="32"/>
          <w:szCs w:val="32"/>
        </w:rPr>
        <w:t>、负责全区燃气行业管理工作。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16</w:t>
      </w:r>
      <w:r>
        <w:rPr>
          <w:rFonts w:hint="eastAsia" w:ascii="仿宋" w:hAnsi="仿宋" w:eastAsia="仿宋" w:cs="仿宋"/>
          <w:sz w:val="32"/>
          <w:szCs w:val="32"/>
        </w:rPr>
        <w:t>、负责城市建设档案监督管理工作。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17</w:t>
      </w:r>
      <w:r>
        <w:rPr>
          <w:rFonts w:hint="eastAsia" w:ascii="仿宋" w:hAnsi="仿宋" w:eastAsia="仿宋" w:cs="仿宋"/>
          <w:sz w:val="32"/>
          <w:szCs w:val="32"/>
        </w:rPr>
        <w:t>、负责直管公有住房的资产、售房款和售后维修资金的管理工作。会同有关部门做好支油、支铁建设协调工作。会同有关部门，做好城市建设行业涉及本部门的相关专业规划的编制和实施工作。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18</w:t>
      </w:r>
      <w:r>
        <w:rPr>
          <w:rFonts w:hint="eastAsia" w:ascii="仿宋" w:hAnsi="仿宋" w:eastAsia="仿宋" w:cs="仿宋"/>
          <w:sz w:val="32"/>
          <w:szCs w:val="32"/>
        </w:rPr>
        <w:t>、负责住房城乡建设行业信息采集、整理、统计、分析、发布等工作。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19</w:t>
      </w:r>
      <w:r>
        <w:rPr>
          <w:rFonts w:hint="eastAsia" w:ascii="仿宋" w:hAnsi="仿宋" w:eastAsia="仿宋" w:cs="仿宋"/>
          <w:sz w:val="32"/>
          <w:szCs w:val="32"/>
        </w:rPr>
        <w:t>、实施住房和城乡建设范围内法律法规规章规定的行政处罚权有关的行政强制措施。</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20</w:t>
      </w:r>
      <w:r>
        <w:rPr>
          <w:rFonts w:hint="eastAsia" w:ascii="仿宋" w:hAnsi="仿宋" w:eastAsia="仿宋" w:cs="仿宋"/>
          <w:sz w:val="32"/>
          <w:szCs w:val="32"/>
        </w:rPr>
        <w:t>、完成区委、区政府交办的其他任务。</w:t>
      </w:r>
    </w:p>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w:t>
      </w:r>
      <w:r>
        <w:rPr>
          <w:rFonts w:hint="eastAsia" w:ascii="仿宋_GB2312" w:hAnsi="Calibri" w:eastAsia="仿宋_GB2312" w:cs="Arial Black"/>
          <w:kern w:val="0"/>
          <w:sz w:val="32"/>
          <w:szCs w:val="32"/>
          <w:lang w:eastAsia="zh-CN"/>
        </w:rPr>
        <w:t>本部门</w:t>
      </w:r>
      <w:r>
        <w:rPr>
          <w:rFonts w:hint="eastAsia" w:ascii="仿宋_GB2312" w:hAnsi="Calibri" w:eastAsia="仿宋_GB2312" w:cs="Arial Black"/>
          <w:kern w:val="0"/>
          <w:sz w:val="32"/>
          <w:szCs w:val="32"/>
        </w:rPr>
        <w:t>决算汇编范围的独立核算单位（以下简称“单位”）共</w:t>
      </w:r>
      <w:r>
        <w:rPr>
          <w:rFonts w:hint="eastAsia" w:ascii="仿宋_GB2312" w:hAnsi="Calibri" w:eastAsia="仿宋_GB2312" w:cs="Arial Black"/>
          <w:kern w:val="0"/>
          <w:sz w:val="32"/>
          <w:szCs w:val="32"/>
          <w:lang w:val="en-US" w:eastAsia="zh-CN"/>
        </w:rPr>
        <w:t>7</w:t>
      </w:r>
      <w:r>
        <w:rPr>
          <w:rFonts w:hint="eastAsia" w:ascii="仿宋_GB2312" w:hAnsi="Calibri" w:eastAsia="仿宋_GB2312" w:cs="Arial Black"/>
          <w:kern w:val="0"/>
          <w:sz w:val="32"/>
          <w:szCs w:val="32"/>
        </w:rPr>
        <w:t>个，具体情况如下：</w:t>
      </w:r>
    </w:p>
    <w:p/>
    <w:tbl>
      <w:tblPr>
        <w:tblStyle w:val="8"/>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748"/>
        <w:gridCol w:w="2182"/>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748"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182"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石家庄市鹿泉区住房和城乡建设局</w:t>
            </w:r>
            <w:r>
              <w:rPr>
                <w:rFonts w:hint="eastAsia" w:ascii="仿宋_GB2312" w:eastAsia="仿宋_GB2312" w:cs="ArialUnicodeMS" w:hAnsiTheme="minorHAnsi"/>
                <w:kern w:val="0"/>
                <w:sz w:val="18"/>
                <w:szCs w:val="18"/>
              </w:rPr>
              <w:t>(本级)</w:t>
            </w:r>
          </w:p>
        </w:tc>
        <w:tc>
          <w:tcPr>
            <w:tcW w:w="2182"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行政单位</w:t>
            </w:r>
          </w:p>
        </w:tc>
        <w:tc>
          <w:tcPr>
            <w:tcW w:w="2665"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21"/>
                <w:szCs w:val="21"/>
              </w:rPr>
              <w:t>石家庄市鹿泉区房屋征收中心</w:t>
            </w:r>
          </w:p>
        </w:tc>
        <w:tc>
          <w:tcPr>
            <w:tcW w:w="2182"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财政补助事业单位</w:t>
            </w:r>
          </w:p>
        </w:tc>
        <w:tc>
          <w:tcPr>
            <w:tcW w:w="2665"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21"/>
                <w:szCs w:val="21"/>
              </w:rPr>
              <w:t>石家庄市鹿泉区城市建设服务中心</w:t>
            </w:r>
          </w:p>
        </w:tc>
        <w:tc>
          <w:tcPr>
            <w:tcW w:w="2182" w:type="dxa"/>
            <w:vAlign w:val="top"/>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财政补助事业单位</w:t>
            </w:r>
          </w:p>
        </w:tc>
        <w:tc>
          <w:tcPr>
            <w:tcW w:w="2665" w:type="dxa"/>
            <w:vAlign w:val="top"/>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4</w:t>
            </w:r>
          </w:p>
        </w:tc>
        <w:tc>
          <w:tcPr>
            <w:tcW w:w="3748"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18"/>
                <w:szCs w:val="18"/>
              </w:rPr>
              <w:t>石家庄市鹿泉区建筑和房地产市场稽查大队</w:t>
            </w:r>
          </w:p>
        </w:tc>
        <w:tc>
          <w:tcPr>
            <w:tcW w:w="2182" w:type="dxa"/>
            <w:tcBorders>
              <w:bottom w:val="single" w:color="auto" w:sz="4" w:space="0"/>
            </w:tcBorders>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5</w:t>
            </w:r>
          </w:p>
        </w:tc>
        <w:tc>
          <w:tcPr>
            <w:tcW w:w="3748" w:type="dxa"/>
            <w:tcBorders>
              <w:bottom w:val="single" w:color="auto" w:sz="4" w:space="0"/>
            </w:tcBorders>
          </w:tcPr>
          <w:p>
            <w:pPr>
              <w:spacing w:after="0" w:line="560" w:lineRule="exact"/>
              <w:rPr>
                <w:rFonts w:hint="eastAsia" w:ascii="仿宋" w:hAnsi="仿宋" w:eastAsia="仿宋" w:cs="仿宋"/>
                <w:sz w:val="18"/>
                <w:szCs w:val="18"/>
              </w:rPr>
            </w:pPr>
            <w:r>
              <w:rPr>
                <w:rFonts w:hint="eastAsia" w:ascii="仿宋" w:hAnsi="仿宋" w:eastAsia="仿宋" w:cs="仿宋"/>
                <w:sz w:val="21"/>
                <w:szCs w:val="21"/>
              </w:rPr>
              <w:t>石家庄市鹿泉区建筑业管理处</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6</w:t>
            </w:r>
          </w:p>
        </w:tc>
        <w:tc>
          <w:tcPr>
            <w:tcW w:w="3748" w:type="dxa"/>
            <w:tcBorders>
              <w:bottom w:val="single" w:color="auto" w:sz="4" w:space="0"/>
            </w:tcBorders>
          </w:tcPr>
          <w:p>
            <w:pPr>
              <w:spacing w:after="0" w:line="560" w:lineRule="exact"/>
              <w:rPr>
                <w:rFonts w:hint="eastAsia" w:ascii="仿宋" w:hAnsi="仿宋" w:eastAsia="仿宋" w:cs="仿宋"/>
                <w:sz w:val="15"/>
                <w:szCs w:val="15"/>
              </w:rPr>
            </w:pPr>
            <w:r>
              <w:rPr>
                <w:rFonts w:hint="eastAsia" w:ascii="仿宋" w:hAnsi="仿宋" w:eastAsia="仿宋" w:cs="仿宋"/>
                <w:color w:val="3D3D3D"/>
                <w:kern w:val="0"/>
                <w:sz w:val="15"/>
                <w:szCs w:val="15"/>
                <w:lang w:eastAsia="zh-CN"/>
              </w:rPr>
              <w:t>石家庄市</w:t>
            </w:r>
            <w:r>
              <w:rPr>
                <w:rFonts w:hint="eastAsia" w:ascii="仿宋" w:hAnsi="仿宋" w:eastAsia="仿宋" w:cs="仿宋"/>
                <w:color w:val="3D3D3D"/>
                <w:kern w:val="0"/>
                <w:sz w:val="15"/>
                <w:szCs w:val="15"/>
              </w:rPr>
              <w:t>鹿泉区廉租住房和经济适用住房管理中心</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7</w:t>
            </w:r>
          </w:p>
        </w:tc>
        <w:tc>
          <w:tcPr>
            <w:tcW w:w="3748" w:type="dxa"/>
            <w:tcBorders>
              <w:bottom w:val="single" w:color="auto" w:sz="4" w:space="0"/>
            </w:tcBorders>
          </w:tcPr>
          <w:p>
            <w:pPr>
              <w:spacing w:after="0" w:line="560" w:lineRule="exact"/>
              <w:rPr>
                <w:rFonts w:hint="eastAsia" w:ascii="仿宋" w:hAnsi="仿宋" w:eastAsia="仿宋" w:cs="仿宋"/>
                <w:sz w:val="15"/>
                <w:szCs w:val="15"/>
              </w:rPr>
            </w:pPr>
            <w:r>
              <w:rPr>
                <w:rFonts w:hint="eastAsia" w:ascii="仿宋" w:hAnsi="仿宋" w:eastAsia="仿宋" w:cs="仿宋"/>
                <w:color w:val="3D3D3D"/>
                <w:kern w:val="0"/>
                <w:sz w:val="15"/>
                <w:szCs w:val="15"/>
                <w:lang w:eastAsia="zh-CN"/>
              </w:rPr>
              <w:t>石家庄市</w:t>
            </w:r>
            <w:r>
              <w:rPr>
                <w:rFonts w:hint="eastAsia" w:ascii="仿宋" w:hAnsi="仿宋" w:eastAsia="仿宋" w:cs="仿宋"/>
                <w:color w:val="3D3D3D"/>
                <w:kern w:val="0"/>
                <w:sz w:val="15"/>
                <w:szCs w:val="15"/>
              </w:rPr>
              <w:t>鹿泉区住房保障和房地产管理处</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hint="default" w:ascii="仿宋_GB2312" w:eastAsia="仿宋_GB2312" w:cs="ArialUnicodeMS" w:hAnsiTheme="minorHAnsi"/>
                <w:kern w:val="0"/>
                <w:sz w:val="28"/>
                <w:szCs w:val="28"/>
                <w:lang w:val="en-US"/>
              </w:rPr>
            </w:pPr>
          </w:p>
        </w:tc>
      </w:tr>
    </w:tbl>
    <w:p>
      <w:pPr>
        <w:pStyle w:val="2"/>
      </w:pPr>
    </w:p>
    <w:p>
      <w:pPr>
        <w:widowControl/>
        <w:spacing w:after="160" w:line="580" w:lineRule="exact"/>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131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2336;v-text-anchor:middle;mso-width-relative:page;mso-height-relative:page;" fillcolor="#7F7F7F [1612]" filled="t" stroked="t" coordsize="21600,21600" o:gfxdata="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Msg6ANwAAAAOAQAADwAA&#10;AAAAAAABACAAAAAiAAAAZHJzL2Rvd25yZXYueG1sUEsBAhQAFAAAAAgAh07iQFOWLHKEAgAAHwUA&#10;AA4AAAAAAAAAAQAgAAAAKwEAAGRycy9lMm9Eb2MueG1sUEsFBgAAAAAGAAYAWQEAACEGAAAAAA==&#10;">
                <v:fill type="pattern" on="t" color2="#FFFFFF [3212]" focussize="0,0" r:id="rId11"/>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2020年度收、支总计（含结转和结余）</w:t>
      </w:r>
      <w:r>
        <w:rPr>
          <w:rFonts w:hint="eastAsia" w:ascii="仿宋_GB2312" w:hAnsi="Times New Roman" w:eastAsia="仿宋_GB2312" w:cs="Wingdings"/>
          <w:sz w:val="32"/>
          <w:szCs w:val="32"/>
          <w:lang w:val="en-US" w:eastAsia="zh-CN"/>
        </w:rPr>
        <w:t>28563.55</w:t>
      </w:r>
      <w:r>
        <w:rPr>
          <w:rFonts w:hint="eastAsia" w:ascii="仿宋_GB2312" w:hAnsi="Times New Roman" w:eastAsia="仿宋_GB2312" w:cs="Wingdings"/>
          <w:sz w:val="32"/>
          <w:szCs w:val="32"/>
        </w:rPr>
        <w:t>万元。与2019年度决算相比，收支各减少</w:t>
      </w:r>
      <w:r>
        <w:rPr>
          <w:rFonts w:hint="eastAsia" w:ascii="仿宋_GB2312" w:hAnsi="Times New Roman" w:eastAsia="仿宋_GB2312" w:cs="Wingdings"/>
          <w:sz w:val="32"/>
          <w:szCs w:val="32"/>
          <w:lang w:val="en-US" w:eastAsia="zh-CN"/>
        </w:rPr>
        <w:t>16544.24</w:t>
      </w:r>
      <w:r>
        <w:rPr>
          <w:rFonts w:hint="eastAsia" w:ascii="仿宋_GB2312" w:hAnsi="Times New Roman" w:eastAsia="仿宋_GB2312" w:cs="Wingdings"/>
          <w:sz w:val="32"/>
          <w:szCs w:val="32"/>
        </w:rPr>
        <w:t>万元，下降</w:t>
      </w:r>
      <w:r>
        <w:rPr>
          <w:rFonts w:hint="eastAsia" w:ascii="仿宋_GB2312" w:hAnsi="Times New Roman" w:eastAsia="仿宋_GB2312" w:cs="Wingdings"/>
          <w:sz w:val="32"/>
          <w:szCs w:val="32"/>
          <w:lang w:val="en-US" w:eastAsia="zh-CN"/>
        </w:rPr>
        <w:t>36.68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（如图1）</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主要原因是</w:t>
      </w:r>
      <w:r>
        <w:rPr>
          <w:rFonts w:hint="eastAsia" w:ascii="仿宋" w:hAnsi="仿宋" w:eastAsia="仿宋" w:cs="仿宋"/>
          <w:sz w:val="32"/>
          <w:szCs w:val="32"/>
          <w:lang w:eastAsia="zh-CN"/>
        </w:rPr>
        <w:t>基础设施建设</w:t>
      </w:r>
      <w:r>
        <w:rPr>
          <w:rFonts w:hint="eastAsia" w:ascii="仿宋_GB2312" w:hAnsi="Times New Roman" w:eastAsia="仿宋_GB2312" w:cs="DengXian-Regular"/>
          <w:sz w:val="32"/>
          <w:szCs w:val="32"/>
        </w:rPr>
        <w:t>减少。</w:t>
      </w:r>
    </w:p>
    <w:p>
      <w:pPr>
        <w:pStyle w:val="2"/>
        <w:rPr>
          <w:rFonts w:hint="eastAsia" w:ascii="仿宋_GB2312" w:hAnsi="Times New Roman" w:eastAsia="仿宋_GB2312" w:cs="Wingdings"/>
          <w:sz w:val="32"/>
          <w:szCs w:val="32"/>
        </w:rPr>
      </w:pPr>
    </w:p>
    <w:p>
      <w:pPr>
        <w:bidi w:val="0"/>
      </w:pPr>
      <w:r>
        <w:drawing>
          <wp:inline distT="0" distB="0" distL="114300" distR="114300">
            <wp:extent cx="5048250" cy="2705100"/>
            <wp:effectExtent l="0" t="0" r="0" b="0"/>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12"/>
                    <a:stretch>
                      <a:fillRect/>
                    </a:stretch>
                  </pic:blipFill>
                  <pic:spPr>
                    <a:xfrm>
                      <a:off x="0" y="0"/>
                      <a:ext cx="5048250" cy="2705100"/>
                    </a:xfrm>
                    <a:prstGeom prst="rect">
                      <a:avLst/>
                    </a:prstGeom>
                    <a:noFill/>
                    <a:ln>
                      <a:noFill/>
                    </a:ln>
                  </pic:spPr>
                </pic:pic>
              </a:graphicData>
            </a:graphic>
          </wp:inline>
        </w:drawing>
      </w:r>
    </w:p>
    <w:p>
      <w:pPr>
        <w:tabs>
          <w:tab w:val="left" w:pos="5800"/>
        </w:tabs>
        <w:adjustRightInd w:val="0"/>
        <w:snapToGrid w:val="0"/>
        <w:spacing w:line="600" w:lineRule="exact"/>
        <w:jc w:val="center"/>
        <w:rPr>
          <w:rFonts w:hint="default" w:ascii="黑体" w:hAnsi="Calibri" w:eastAsia="仿宋_GB2312" w:cs="Times New Roman"/>
          <w:sz w:val="32"/>
          <w:szCs w:val="32"/>
          <w:lang w:val="en-US" w:eastAsia="zh-CN"/>
        </w:rPr>
      </w:pPr>
      <w:r>
        <w:rPr>
          <w:rFonts w:hint="eastAsia" w:ascii="仿宋_GB2312" w:hAnsi="Times New Roman" w:eastAsia="仿宋_GB2312" w:cs="Wingdings"/>
          <w:sz w:val="32"/>
          <w:szCs w:val="32"/>
          <w:lang w:val="en-US" w:eastAsia="zh-CN"/>
        </w:rPr>
        <w:t>图1：2019-2020年收支总计对比情况</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2020年度本年收入合计</w:t>
      </w:r>
      <w:r>
        <w:rPr>
          <w:rFonts w:hint="eastAsia" w:ascii="仿宋_GB2312" w:hAnsi="Times New Roman" w:eastAsia="仿宋_GB2312" w:cs="Wingdings"/>
          <w:sz w:val="32"/>
          <w:szCs w:val="32"/>
          <w:lang w:val="en-US" w:eastAsia="zh-CN"/>
        </w:rPr>
        <w:t>24357.35</w:t>
      </w:r>
      <w:r>
        <w:rPr>
          <w:rFonts w:hint="eastAsia" w:ascii="仿宋_GB2312" w:hAnsi="Times New Roman" w:eastAsia="仿宋_GB2312" w:cs="Wingdings"/>
          <w:sz w:val="32"/>
          <w:szCs w:val="32"/>
        </w:rPr>
        <w:t>万元，</w:t>
      </w:r>
      <w:r>
        <w:rPr>
          <w:rFonts w:hint="eastAsia" w:ascii="仿宋_GB2312" w:hAnsi="Times New Roman" w:eastAsia="仿宋_GB2312" w:cs="DengXian-Regular"/>
          <w:sz w:val="32"/>
          <w:szCs w:val="32"/>
        </w:rPr>
        <w:t>其中：财政拨款收入</w:t>
      </w:r>
      <w:r>
        <w:rPr>
          <w:rFonts w:hint="eastAsia" w:ascii="仿宋_GB2312" w:hAnsi="Times New Roman" w:eastAsia="仿宋_GB2312" w:cs="DengXian-Regular"/>
          <w:sz w:val="32"/>
          <w:szCs w:val="32"/>
          <w:lang w:val="en-US" w:eastAsia="zh-CN"/>
        </w:rPr>
        <w:t>24043.27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98.71</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314.08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1.29</w:t>
      </w:r>
      <w:r>
        <w:rPr>
          <w:rFonts w:hint="eastAsia" w:ascii="仿宋_GB2312" w:hAnsi="Times New Roman" w:eastAsia="仿宋_GB2312" w:cs="DengXian-Regular"/>
          <w:sz w:val="32"/>
          <w:szCs w:val="32"/>
        </w:rPr>
        <w:t>%。</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功能分类看：一般公共服务支出11.99万元，占总支出的0.05%；社会保障和就业支出364.94万元，占1.53%；卫生健康支出163.06万元，占0.69%；节能环保支出7518.6万元，占31.62%；城乡社区支出13265.66万元，占55.79%；住房保障支出1106.4万元，占比4.65%；其他支出800万元，占比3.36%；抗疫特别国债安排的支出547万元，占比2.3%。（见图2）。</w:t>
      </w:r>
    </w:p>
    <w:p>
      <w:pPr>
        <w:pStyle w:val="2"/>
        <w:rPr>
          <w:rFonts w:hint="eastAsia"/>
          <w:lang w:val="en-US" w:eastAsia="zh-CN"/>
        </w:rPr>
      </w:pPr>
    </w:p>
    <w:p>
      <w:pPr>
        <w:pStyle w:val="2"/>
        <w:jc w:val="center"/>
        <w:rPr>
          <w:rFonts w:hint="eastAsia"/>
          <w:lang w:val="en-US" w:eastAsia="zh-CN"/>
        </w:rPr>
      </w:pPr>
      <w:r>
        <w:rPr>
          <w:sz w:val="32"/>
        </w:rPr>
        <mc:AlternateContent>
          <mc:Choice Requires="wps">
            <w:drawing>
              <wp:anchor distT="0" distB="0" distL="114300" distR="114300" simplePos="0" relativeHeight="251668480" behindDoc="0" locked="0" layoutInCell="1" allowOverlap="1">
                <wp:simplePos x="0" y="0"/>
                <wp:positionH relativeFrom="column">
                  <wp:posOffset>981075</wp:posOffset>
                </wp:positionH>
                <wp:positionV relativeFrom="paragraph">
                  <wp:posOffset>3584575</wp:posOffset>
                </wp:positionV>
                <wp:extent cx="3914775" cy="485775"/>
                <wp:effectExtent l="4445" t="4445" r="5080" b="5080"/>
                <wp:wrapNone/>
                <wp:docPr id="9" name="文本框 9"/>
                <wp:cNvGraphicFramePr/>
                <a:graphic xmlns:a="http://schemas.openxmlformats.org/drawingml/2006/main">
                  <a:graphicData uri="http://schemas.microsoft.com/office/word/2010/wordprocessingShape">
                    <wps:wsp>
                      <wps:cNvSpPr txBox="1"/>
                      <wps:spPr>
                        <a:xfrm>
                          <a:off x="1953260" y="6998970"/>
                          <a:ext cx="3914775" cy="485775"/>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2：收入决算构成情况（按支出功能分类）</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7.25pt;margin-top:282.25pt;height:38.25pt;width:308.25pt;z-index:251668480;mso-width-relative:page;mso-height-relative:page;" fillcolor="#FFFFFF [3201]" filled="t" stroked="t" coordsize="21600,21600" o:gfxdata="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o2SRl1wAAAAsBAAAPAAAAAAAAAAEAIAAAACIAAABk&#10;cnMvZG93bnJldi54bWxQSwECFAAUAAAACACHTuJAksXYfkACAAB2BAAADgAAAAAAAAABACAAAAAm&#10;AQAAZHJzL2Uyb0RvYy54bWxQSwUGAAAAAAYABgBZAQAA2AUAAAAA&#10;">
                <v:fill on="t" focussize="0,0"/>
                <v:stroke weight="0.5pt" color="#FFFFFF [3212]" joinstyle="round"/>
                <v:imagedata o:title=""/>
                <o:lock v:ext="edit" aspectratio="f"/>
                <v:textbox>
                  <w:txbxContent>
                    <w:p>
                      <w:pPr>
                        <w:jc w:val="cente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2：收入决算构成情况（按支出功能分类）</w:t>
                      </w:r>
                    </w:p>
                  </w:txbxContent>
                </v:textbox>
              </v:shape>
            </w:pict>
          </mc:Fallback>
        </mc:AlternateContent>
      </w:r>
      <w:r>
        <w:drawing>
          <wp:inline distT="0" distB="0" distL="114300" distR="114300">
            <wp:extent cx="4980940" cy="4009390"/>
            <wp:effectExtent l="4445" t="4445" r="5715" b="571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eastAsia"/>
          <w:lang w:val="en-US" w:eastAsia="zh-CN"/>
        </w:rPr>
        <w:t xml:space="preserve"> </w:t>
      </w:r>
    </w:p>
    <w:p>
      <w:pPr>
        <w:snapToGrid w:val="0"/>
        <w:spacing w:line="600" w:lineRule="exact"/>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2020年度本年支出合计</w:t>
      </w:r>
      <w:r>
        <w:rPr>
          <w:rFonts w:hint="eastAsia" w:ascii="仿宋_GB2312" w:hAnsi="Times New Roman" w:eastAsia="仿宋_GB2312" w:cs="Wingdings"/>
          <w:sz w:val="32"/>
          <w:szCs w:val="32"/>
          <w:lang w:val="en-US" w:eastAsia="zh-CN"/>
        </w:rPr>
        <w:t>23777.65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r>
        <w:rPr>
          <w:rFonts w:hint="eastAsia" w:ascii="仿宋_GB2312" w:hAnsi="Times New Roman" w:eastAsia="仿宋_GB2312" w:cs="Wingdings"/>
          <w:sz w:val="32"/>
          <w:szCs w:val="32"/>
        </w:rPr>
        <w:t>基本支出</w:t>
      </w:r>
      <w:r>
        <w:rPr>
          <w:rFonts w:hint="eastAsia" w:ascii="仿宋_GB2312" w:hAnsi="Times New Roman" w:eastAsia="仿宋_GB2312" w:cs="Wingdings"/>
          <w:sz w:val="32"/>
          <w:szCs w:val="32"/>
          <w:lang w:val="en-US" w:eastAsia="zh-CN"/>
        </w:rPr>
        <w:t>2998.4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全部支出的12.61</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其中人员经费支出2365.7万元，占9.95%，公用经费支出632.7万元，占2.66%；</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20779.25</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87.39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全部为行政事业类项目（见</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w:t>
      </w:r>
    </w:p>
    <w:p>
      <w:pPr>
        <w:pStyle w:val="2"/>
        <w:rPr>
          <w:rFonts w:hint="eastAsia"/>
        </w:rPr>
      </w:pPr>
    </w:p>
    <w:p>
      <w:pPr>
        <w:pStyle w:val="2"/>
        <w:jc w:val="center"/>
      </w:pPr>
      <w:r>
        <w:rPr>
          <w:sz w:val="32"/>
        </w:rPr>
        <mc:AlternateContent>
          <mc:Choice Requires="wps">
            <w:drawing>
              <wp:anchor distT="0" distB="0" distL="114300" distR="114300" simplePos="0" relativeHeight="251669504" behindDoc="0" locked="0" layoutInCell="1" allowOverlap="1">
                <wp:simplePos x="0" y="0"/>
                <wp:positionH relativeFrom="column">
                  <wp:posOffset>1263015</wp:posOffset>
                </wp:positionH>
                <wp:positionV relativeFrom="paragraph">
                  <wp:posOffset>3569335</wp:posOffset>
                </wp:positionV>
                <wp:extent cx="3790950" cy="466090"/>
                <wp:effectExtent l="4445" t="4445" r="14605" b="5715"/>
                <wp:wrapNone/>
                <wp:docPr id="13" name="文本框 13"/>
                <wp:cNvGraphicFramePr/>
                <a:graphic xmlns:a="http://schemas.openxmlformats.org/drawingml/2006/main">
                  <a:graphicData uri="http://schemas.microsoft.com/office/word/2010/wordprocessingShape">
                    <wps:wsp>
                      <wps:cNvSpPr txBox="1"/>
                      <wps:spPr>
                        <a:xfrm>
                          <a:off x="2216150" y="5812155"/>
                          <a:ext cx="3790950" cy="46609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3：支出决算构成情况（按支出性质）</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9.45pt;margin-top:281.05pt;height:36.7pt;width:298.5pt;z-index:251669504;mso-width-relative:page;mso-height-relative:page;" fillcolor="#FFFFFF [3201]" filled="t" stroked="t" coordsize="21600,21600" o:gfxdata="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I5bGEzYAAAACwEAAA8AAAAAAAAAAQAgAAAAIgAA&#10;AGRycy9kb3ducmV2LnhtbFBLAQIUABQAAAAIAIdO4kCp111CQQIAAHgEAAAOAAAAAAAAAAEAIAAA&#10;ACcBAABkcnMvZTJvRG9jLnhtbFBLBQYAAAAABgAGAFkBAADaBQAAAAA=&#10;">
                <v:fill on="t" focussize="0,0"/>
                <v:stroke weight="0.5pt" color="#FFFFFF [3212]" joinstyle="round"/>
                <v:imagedata o:title=""/>
                <o:lock v:ext="edit" aspectratio="f"/>
                <v:textbox>
                  <w:txbxContent>
                    <w:p>
                      <w:pPr>
                        <w:jc w:val="cente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3：支出决算构成情况（按支出性质）</w:t>
                      </w:r>
                    </w:p>
                    <w:p/>
                  </w:txbxContent>
                </v:textbox>
              </v:shape>
            </w:pict>
          </mc:Fallback>
        </mc:AlternateContent>
      </w:r>
      <w:r>
        <w:rPr>
          <w:rFonts w:hint="eastAsia"/>
          <w:lang w:val="en-US" w:eastAsia="zh-CN"/>
        </w:rPr>
        <w:t xml:space="preserve">    </w:t>
      </w:r>
      <w:r>
        <w:drawing>
          <wp:inline distT="0" distB="0" distL="114300" distR="114300">
            <wp:extent cx="5151755" cy="3961130"/>
            <wp:effectExtent l="4445" t="4445" r="6350" b="15875"/>
            <wp:docPr id="1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pStyle w:val="2"/>
        <w:jc w:val="both"/>
        <w:rPr>
          <w:rFonts w:ascii="仿宋_GB2312" w:hAnsi="Times New Roman" w:eastAsia="仿宋_GB2312" w:cs="Wingdings"/>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hint="eastAsia"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580" w:lineRule="exact"/>
        <w:ind w:firstLine="640" w:firstLineChars="200"/>
        <w:rPr>
          <w:rFonts w:hint="eastAsia" w:ascii="楷体_GB2312" w:hAnsi="Times New Roman" w:eastAsia="楷体_GB2312" w:cs="Mongolian Baiti"/>
          <w:b/>
          <w:bCs/>
          <w:sz w:val="32"/>
          <w:szCs w:val="32"/>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2020年度形成的财政拨款收</w:t>
      </w:r>
      <w:r>
        <w:rPr>
          <w:rFonts w:hint="eastAsia" w:ascii="仿宋_GB2312" w:hAnsi="Times New Roman" w:eastAsia="仿宋_GB2312" w:cs="Wingdings"/>
          <w:sz w:val="32"/>
          <w:szCs w:val="32"/>
          <w:lang w:eastAsia="zh-CN"/>
        </w:rPr>
        <w:t>入为</w:t>
      </w:r>
      <w:r>
        <w:rPr>
          <w:rFonts w:hint="eastAsia" w:ascii="仿宋_GB2312" w:hAnsi="Times New Roman" w:eastAsia="仿宋_GB2312" w:cs="Wingdings"/>
          <w:sz w:val="32"/>
          <w:szCs w:val="32"/>
          <w:lang w:val="en-US" w:eastAsia="zh-CN"/>
        </w:rPr>
        <w:t>24043.27万元，其中：</w:t>
      </w:r>
      <w:r>
        <w:rPr>
          <w:rFonts w:hint="eastAsia" w:ascii="仿宋_GB2312" w:hAnsi="Times New Roman" w:eastAsia="仿宋_GB2312" w:cs="DengXian-Regular"/>
          <w:sz w:val="32"/>
          <w:szCs w:val="32"/>
        </w:rPr>
        <w:t>一般公共预算财政拨款</w:t>
      </w:r>
      <w:r>
        <w:rPr>
          <w:rFonts w:hint="eastAsia" w:ascii="仿宋_GB2312" w:hAnsi="Times New Roman" w:eastAsia="仿宋_GB2312" w:cs="DengXian-Regular"/>
          <w:sz w:val="32"/>
          <w:szCs w:val="32"/>
          <w:lang w:val="en-US" w:eastAsia="zh-CN"/>
        </w:rPr>
        <w:t>10652.74万元，</w:t>
      </w:r>
      <w:r>
        <w:rPr>
          <w:rFonts w:hint="eastAsia" w:ascii="仿宋_GB2312" w:hAnsi="Times New Roman" w:eastAsia="仿宋_GB2312" w:cs="DengXian-Regular"/>
          <w:sz w:val="32"/>
          <w:szCs w:val="32"/>
        </w:rPr>
        <w:t>政府性基金预算财政拨款</w:t>
      </w:r>
      <w:r>
        <w:rPr>
          <w:rFonts w:hint="eastAsia" w:ascii="仿宋_GB2312" w:hAnsi="Times New Roman" w:eastAsia="仿宋_GB2312" w:cs="DengXian-Regular"/>
          <w:sz w:val="32"/>
          <w:szCs w:val="32"/>
          <w:lang w:val="en-US" w:eastAsia="zh-CN"/>
        </w:rPr>
        <w:t>13390.53万元，</w:t>
      </w:r>
      <w:r>
        <w:rPr>
          <w:rFonts w:hint="eastAsia" w:ascii="仿宋_GB2312" w:hAnsi="Times New Roman" w:eastAsia="仿宋_GB2312" w:cs="DengXian-Regular"/>
          <w:sz w:val="32"/>
          <w:szCs w:val="32"/>
        </w:rPr>
        <w:t>本年收入比201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年度减少</w:t>
      </w:r>
      <w:r>
        <w:rPr>
          <w:rFonts w:hint="eastAsia" w:ascii="仿宋_GB2312" w:hAnsi="Times New Roman" w:eastAsia="仿宋_GB2312" w:cs="DengXian-Regular"/>
          <w:sz w:val="32"/>
          <w:szCs w:val="32"/>
          <w:lang w:val="en-US" w:eastAsia="zh-CN"/>
        </w:rPr>
        <w:t>8797.75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26.79</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23777.65</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11231.18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32.08</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lang w:val="en-US" w:eastAsia="zh-CN"/>
        </w:rPr>
        <w:t>收支减少</w:t>
      </w:r>
      <w:r>
        <w:rPr>
          <w:rFonts w:hint="eastAsia" w:ascii="仿宋_GB2312" w:hAnsi="Times New Roman" w:eastAsia="仿宋_GB2312" w:cs="Wingdings"/>
          <w:sz w:val="32"/>
          <w:szCs w:val="32"/>
        </w:rPr>
        <w:t>主要是</w:t>
      </w:r>
      <w:bookmarkStart w:id="0" w:name="_GoBack"/>
      <w:bookmarkEnd w:id="0"/>
      <w:r>
        <w:rPr>
          <w:rFonts w:hint="eastAsia" w:ascii="仿宋_GB2312" w:hAnsi="Times New Roman" w:eastAsia="仿宋_GB2312" w:cs="Wingdings"/>
          <w:sz w:val="32"/>
          <w:szCs w:val="32"/>
          <w:lang w:val="en-US" w:eastAsia="zh-CN"/>
        </w:rPr>
        <w:t>本年项目资金投入较上年减少。</w:t>
      </w:r>
    </w:p>
    <w:p>
      <w:pPr>
        <w:snapToGrid w:val="0"/>
        <w:spacing w:line="600" w:lineRule="exact"/>
        <w:rPr>
          <w:rFonts w:hint="eastAsia" w:ascii="楷体_GB2312" w:hAnsi="Times New Roman" w:eastAsia="楷体_GB2312" w:cs="Mongolian Baiti"/>
          <w:b/>
          <w:bCs/>
          <w:sz w:val="32"/>
          <w:szCs w:val="32"/>
        </w:rPr>
      </w:pPr>
    </w:p>
    <w:p>
      <w:pPr>
        <w:pStyle w:val="2"/>
        <w:rPr>
          <w:rFonts w:hint="eastAsia" w:ascii="楷体_GB2312" w:hAnsi="Times New Roman" w:eastAsia="楷体_GB2312" w:cs="Mongolian Baiti"/>
          <w:b/>
          <w:bCs/>
          <w:sz w:val="32"/>
          <w:szCs w:val="32"/>
        </w:rPr>
      </w:pPr>
    </w:p>
    <w:p>
      <w:pPr>
        <w:pStyle w:val="2"/>
        <w:rPr>
          <w:rFonts w:hint="eastAsia" w:ascii="楷体_GB2312" w:hAnsi="Times New Roman" w:eastAsia="楷体_GB2312" w:cs="Mongolian Baiti"/>
          <w:b/>
          <w:bCs/>
          <w:sz w:val="32"/>
          <w:szCs w:val="32"/>
        </w:rPr>
      </w:pPr>
    </w:p>
    <w:p>
      <w:pPr>
        <w:pStyle w:val="2"/>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rPr>
          <w:rFonts w:hint="eastAsia" w:ascii="楷体_GB2312" w:hAnsi="Times New Roman" w:eastAsia="楷体_GB2312" w:cs="Mongolian Baiti"/>
          <w:b/>
          <w:bCs/>
          <w:sz w:val="32"/>
          <w:szCs w:val="32"/>
        </w:rPr>
      </w:pPr>
    </w:p>
    <w:p>
      <w:pPr>
        <w:snapToGrid w:val="0"/>
        <w:spacing w:line="600" w:lineRule="exact"/>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420" w:firstLineChars="200"/>
      </w:pPr>
      <w:r>
        <w:drawing>
          <wp:anchor distT="0" distB="0" distL="114300" distR="114300" simplePos="0" relativeHeight="251670528" behindDoc="1" locked="0" layoutInCell="1" allowOverlap="1">
            <wp:simplePos x="0" y="0"/>
            <wp:positionH relativeFrom="column">
              <wp:posOffset>271145</wp:posOffset>
            </wp:positionH>
            <wp:positionV relativeFrom="paragraph">
              <wp:posOffset>-2834005</wp:posOffset>
            </wp:positionV>
            <wp:extent cx="4572000" cy="3133725"/>
            <wp:effectExtent l="4445" t="4445" r="14605" b="5080"/>
            <wp:wrapTight wrapText="bothSides">
              <wp:wrapPolygon>
                <wp:start x="-21" y="-31"/>
                <wp:lineTo x="-21" y="21504"/>
                <wp:lineTo x="21579" y="21504"/>
                <wp:lineTo x="21579" y="-31"/>
                <wp:lineTo x="-21" y="-31"/>
              </wp:wrapPolygon>
            </wp:wrapTight>
            <wp:docPr id="2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snapToGrid w:val="0"/>
        <w:spacing w:line="600" w:lineRule="exact"/>
        <w:ind w:firstLine="640" w:firstLineChars="200"/>
        <w:rPr>
          <w:sz w:val="32"/>
        </w:rPr>
      </w:pPr>
      <w:r>
        <w:rPr>
          <w:sz w:val="32"/>
        </w:rPr>
        <mc:AlternateContent>
          <mc:Choice Requires="wps">
            <w:drawing>
              <wp:anchor distT="0" distB="0" distL="114300" distR="114300" simplePos="0" relativeHeight="251665408" behindDoc="1" locked="0" layoutInCell="1" allowOverlap="1">
                <wp:simplePos x="0" y="0"/>
                <wp:positionH relativeFrom="column">
                  <wp:posOffset>468630</wp:posOffset>
                </wp:positionH>
                <wp:positionV relativeFrom="paragraph">
                  <wp:posOffset>178435</wp:posOffset>
                </wp:positionV>
                <wp:extent cx="4209415" cy="390525"/>
                <wp:effectExtent l="0" t="0" r="12065" b="5715"/>
                <wp:wrapNone/>
                <wp:docPr id="36" name="文本框 36"/>
                <wp:cNvGraphicFramePr/>
                <a:graphic xmlns:a="http://schemas.openxmlformats.org/drawingml/2006/main">
                  <a:graphicData uri="http://schemas.microsoft.com/office/word/2010/wordprocessingShape">
                    <wps:wsp>
                      <wps:cNvSpPr txBox="1"/>
                      <wps:spPr>
                        <a:xfrm>
                          <a:off x="0" y="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6.9pt;margin-top:14.05pt;height:30.75pt;width:331.45pt;z-index:-251651072;mso-width-relative:page;mso-height-relative:page;" fillcolor="#FFFFFF" filled="t" stroked="f" coordsize="21600,21600" o:gfxdata="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C3psTP1AAAAAgBAAAPAAAAAAAAAAEAIAAAACIAAABkcnMvZG93bnJl&#10;di54bWxQSwECFAAUAAAACACHTuJAdr6wUToCAABRBAAADgAAAAAAAAABACAAAAAjAQAAZHJzL2Uy&#10;b0RvYy54bWxQSwUGAAAAAAYABgBZAQAAzwU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v:textbox>
              </v:shape>
            </w:pict>
          </mc:Fallback>
        </mc:AlternateContent>
      </w:r>
    </w:p>
    <w:p>
      <w:pPr>
        <w:pStyle w:val="2"/>
        <w:rPr>
          <w:rFonts w:hint="eastAsia"/>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lang w:val="en-US" w:eastAsia="zh-CN"/>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2020年度一般公共预算财政拨款收入</w:t>
      </w:r>
      <w:r>
        <w:rPr>
          <w:rFonts w:hint="eastAsia" w:ascii="仿宋_GB2312" w:hAnsi="Times New Roman" w:eastAsia="仿宋_GB2312" w:cs="Wingdings"/>
          <w:sz w:val="32"/>
          <w:szCs w:val="32"/>
          <w:lang w:val="en-US" w:eastAsia="zh-CN"/>
        </w:rPr>
        <w:t>10652.74</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146.43</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3377.96</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14189.27</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51.27</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6914.49</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。收入</w:t>
      </w:r>
      <w:r>
        <w:rPr>
          <w:rFonts w:hint="eastAsia" w:ascii="仿宋_GB2312" w:hAnsi="Times New Roman" w:eastAsia="仿宋_GB2312" w:cs="DengXian-Regular"/>
          <w:sz w:val="32"/>
          <w:szCs w:val="32"/>
        </w:rPr>
        <w:t>决算数大于预算数主要原因是</w:t>
      </w:r>
      <w:r>
        <w:rPr>
          <w:rFonts w:hint="eastAsia" w:ascii="仿宋_GB2312" w:eastAsia="仿宋_GB2312" w:cs="DengXian-Regular"/>
          <w:sz w:val="32"/>
          <w:szCs w:val="32"/>
          <w:lang w:eastAsia="zh-CN"/>
        </w:rPr>
        <w:t>部门调整预算指标</w:t>
      </w:r>
      <w:r>
        <w:rPr>
          <w:rFonts w:hint="eastAsia" w:ascii="仿宋_GB2312" w:hAnsi="Times New Roman" w:eastAsia="仿宋_GB2312" w:cs="Wingdings"/>
          <w:sz w:val="32"/>
          <w:szCs w:val="32"/>
          <w:lang w:val="en-US" w:eastAsia="zh-CN"/>
        </w:rPr>
        <w:t>。2020年项目收入20386.43万元，支出20498.19万元，分别比年初预算增加1487.97万元、1599.67万元</w:t>
      </w:r>
      <w:r>
        <w:rPr>
          <w:rFonts w:hint="eastAsia" w:ascii="仿宋_GB2312" w:hAnsi="Times New Roman" w:eastAsia="仿宋_GB2312" w:cs="Wingdings"/>
          <w:sz w:val="32"/>
          <w:szCs w:val="32"/>
          <w:highlight w:val="none"/>
          <w:lang w:val="en-US" w:eastAsia="zh-CN"/>
        </w:rPr>
        <w:t>。</w:t>
      </w:r>
    </w:p>
    <w:p>
      <w:pPr>
        <w:numPr>
          <w:ilvl w:val="0"/>
          <w:numId w:val="2"/>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年度财政拨款支出</w:t>
      </w:r>
      <w:r>
        <w:rPr>
          <w:rFonts w:hint="eastAsia" w:ascii="仿宋_GB2312" w:hAnsi="Times New Roman" w:eastAsia="仿宋_GB2312" w:cs="DengXian-Regular"/>
          <w:sz w:val="32"/>
          <w:szCs w:val="32"/>
          <w:lang w:val="en-US" w:eastAsia="zh-CN"/>
        </w:rPr>
        <w:t>23465.97</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一般公共服务支出</w:t>
      </w:r>
      <w:r>
        <w:rPr>
          <w:rFonts w:hint="eastAsia" w:ascii="仿宋_GB2312" w:hAnsi="Times New Roman" w:eastAsia="仿宋_GB2312" w:cs="DengXian-Regular"/>
          <w:sz w:val="32"/>
          <w:szCs w:val="32"/>
          <w:lang w:val="en-US" w:eastAsia="zh-CN"/>
        </w:rPr>
        <w:t>11.99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0.05</w:t>
      </w:r>
      <w:r>
        <w:rPr>
          <w:rFonts w:hint="eastAsia" w:ascii="仿宋_GB2312" w:hAnsi="Times New Roman" w:eastAsia="仿宋_GB2312" w:cs="DengXian-Regular"/>
          <w:sz w:val="32"/>
          <w:szCs w:val="32"/>
        </w:rPr>
        <w:t>%，；社会保障和就业支出</w:t>
      </w:r>
      <w:r>
        <w:rPr>
          <w:rFonts w:hint="eastAsia" w:ascii="仿宋_GB2312" w:hAnsi="Times New Roman" w:eastAsia="仿宋_GB2312" w:cs="DengXian-Regular"/>
          <w:sz w:val="32"/>
          <w:szCs w:val="32"/>
          <w:lang w:val="en-US" w:eastAsia="zh-CN"/>
        </w:rPr>
        <w:t>364.94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1.56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卫生健康支出</w:t>
      </w:r>
      <w:r>
        <w:rPr>
          <w:rFonts w:hint="eastAsia" w:ascii="仿宋_GB2312" w:hAnsi="Times New Roman" w:eastAsia="仿宋_GB2312" w:cs="DengXian-Regular"/>
          <w:sz w:val="32"/>
          <w:szCs w:val="32"/>
          <w:lang w:val="en-US" w:eastAsia="zh-CN"/>
        </w:rPr>
        <w:t>163.06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0.69</w:t>
      </w:r>
      <w:r>
        <w:rPr>
          <w:rFonts w:hint="eastAsia" w:ascii="仿宋_GB2312" w:hAnsi="Times New Roman" w:eastAsia="仿宋_GB2312" w:cs="DengXian-Regular"/>
          <w:sz w:val="32"/>
          <w:szCs w:val="32"/>
        </w:rPr>
        <w:t>%；节能环保支出</w:t>
      </w:r>
      <w:r>
        <w:rPr>
          <w:rFonts w:hint="eastAsia" w:ascii="仿宋_GB2312" w:hAnsi="Times New Roman" w:eastAsia="仿宋_GB2312" w:cs="DengXian-Regular"/>
          <w:sz w:val="32"/>
          <w:szCs w:val="32"/>
          <w:lang w:val="en-US" w:eastAsia="zh-CN"/>
        </w:rPr>
        <w:t>7518.6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32.04</w:t>
      </w:r>
      <w:r>
        <w:rPr>
          <w:rFonts w:hint="eastAsia" w:ascii="仿宋_GB2312" w:hAnsi="Times New Roman" w:eastAsia="仿宋_GB2312" w:cs="DengXian-Regular"/>
          <w:sz w:val="32"/>
          <w:szCs w:val="32"/>
        </w:rPr>
        <w:t>%；城乡社区支出</w:t>
      </w:r>
      <w:r>
        <w:rPr>
          <w:rFonts w:hint="eastAsia" w:ascii="仿宋_GB2312" w:hAnsi="Times New Roman" w:eastAsia="仿宋_GB2312" w:cs="DengXian-Regular"/>
          <w:sz w:val="32"/>
          <w:szCs w:val="32"/>
          <w:lang w:val="en-US" w:eastAsia="zh-CN"/>
        </w:rPr>
        <w:t>12953.97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55.21</w:t>
      </w:r>
      <w:r>
        <w:rPr>
          <w:rFonts w:hint="eastAsia" w:ascii="仿宋_GB2312" w:hAnsi="Times New Roman" w:eastAsia="仿宋_GB2312" w:cs="DengXian-Regular"/>
          <w:sz w:val="32"/>
          <w:szCs w:val="32"/>
        </w:rPr>
        <w:t>%；住房保障支出</w:t>
      </w:r>
      <w:r>
        <w:rPr>
          <w:rFonts w:hint="eastAsia" w:ascii="仿宋_GB2312" w:hAnsi="Times New Roman" w:eastAsia="仿宋_GB2312" w:cs="DengXian-Regular"/>
          <w:sz w:val="32"/>
          <w:szCs w:val="32"/>
          <w:lang w:val="en-US" w:eastAsia="zh-CN"/>
        </w:rPr>
        <w:t>1106.4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4.71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；其他支出</w:t>
      </w:r>
      <w:r>
        <w:rPr>
          <w:rFonts w:hint="eastAsia" w:ascii="仿宋_GB2312" w:hAnsi="Times New Roman" w:eastAsia="仿宋_GB2312" w:cs="DengXian-Regular"/>
          <w:sz w:val="32"/>
          <w:szCs w:val="32"/>
          <w:lang w:val="en-US" w:eastAsia="zh-CN"/>
        </w:rPr>
        <w:t>800万元，占比3.41%；抗疫特别国债安排的支出547万元，占比2.33%。</w:t>
      </w:r>
    </w:p>
    <w:p>
      <w:pPr>
        <w:bidi w:val="0"/>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按经济分类看：工资福利支出2330.81万元、商品和服务支出</w:t>
      </w:r>
      <w:r>
        <w:rPr>
          <w:rFonts w:hint="eastAsia" w:ascii="仿宋_GB2312" w:hAnsi="Times New Roman" w:eastAsia="仿宋_GB2312" w:cs="Wingdings"/>
          <w:sz w:val="32"/>
          <w:szCs w:val="32"/>
          <w:lang w:val="en-US" w:eastAsia="zh-CN"/>
        </w:rPr>
        <w:tab/>
      </w:r>
      <w:r>
        <w:rPr>
          <w:rFonts w:hint="eastAsia" w:ascii="仿宋_GB2312" w:hAnsi="Times New Roman" w:eastAsia="仿宋_GB2312" w:cs="Wingdings"/>
          <w:sz w:val="32"/>
          <w:szCs w:val="32"/>
          <w:lang w:val="en-US" w:eastAsia="zh-CN"/>
        </w:rPr>
        <w:t>853.41万元、对个人和家庭的补助34.89万元、资本性支出（基本建设）188万元、资本性支出20058.85万元（见图5）。</w:t>
      </w:r>
    </w:p>
    <w:p>
      <w:pPr>
        <w:pStyle w:val="2"/>
        <w:rPr>
          <w:rFonts w:hint="eastAsia" w:ascii="楷体_GB2312" w:hAnsi="Times New Roman" w:eastAsia="楷体_GB2312" w:cs="Mongolian Baiti"/>
          <w:b/>
          <w:bCs/>
          <w:sz w:val="32"/>
          <w:szCs w:val="32"/>
        </w:rPr>
      </w:pPr>
      <w:r>
        <w:rPr>
          <w:sz w:val="32"/>
        </w:rPr>
        <mc:AlternateContent>
          <mc:Choice Requires="wps">
            <w:drawing>
              <wp:anchor distT="0" distB="0" distL="114300" distR="114300" simplePos="0" relativeHeight="251666432" behindDoc="0" locked="0" layoutInCell="1" allowOverlap="1">
                <wp:simplePos x="0" y="0"/>
                <wp:positionH relativeFrom="column">
                  <wp:posOffset>723900</wp:posOffset>
                </wp:positionH>
                <wp:positionV relativeFrom="paragraph">
                  <wp:posOffset>3841115</wp:posOffset>
                </wp:positionV>
                <wp:extent cx="3620135" cy="381000"/>
                <wp:effectExtent l="4445" t="4445" r="13970" b="14605"/>
                <wp:wrapNone/>
                <wp:docPr id="19" name="文本框 19"/>
                <wp:cNvGraphicFramePr/>
                <a:graphic xmlns:a="http://schemas.openxmlformats.org/drawingml/2006/main">
                  <a:graphicData uri="http://schemas.microsoft.com/office/word/2010/wordprocessingShape">
                    <wps:wsp>
                      <wps:cNvSpPr txBox="1"/>
                      <wps:spPr>
                        <a:xfrm>
                          <a:off x="1724660" y="5192395"/>
                          <a:ext cx="3620135" cy="38100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5:2020年支出构成（按经济分类）情况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7pt;margin-top:302.45pt;height:30pt;width:285.05pt;z-index:251666432;mso-width-relative:page;mso-height-relative:page;" fillcolor="#FFFFFF [3201]" filled="t" stroked="t" coordsize="21600,21600" o:gfxdata="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R7gRi9gAAAALAQAADwAAAAAAAAABACAA&#10;AAAiAAAAZHJzL2Rvd25yZXYueG1sUEsBAhQAFAAAAAgAh07iQFnpP6hGAgAAeAQAAA4AAAAAAAAA&#10;AQAgAAAAJwEAAGRycy9lMm9Eb2MueG1sUEsFBgAAAAAGAAYAWQEAAN8FAAAAAA==&#10;">
                <v:fill on="t" focussize="0,0"/>
                <v:stroke weight="0.5pt" color="#FFFFFF [3212]" joinstyle="round"/>
                <v:imagedata o:title=""/>
                <o:lock v:ext="edit" aspectratio="f"/>
                <v:textbox>
                  <w:txbxContent>
                    <w:p>
                      <w:pP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5:2020年支出构成（按经济分类）情况</w:t>
                      </w:r>
                    </w:p>
                  </w:txbxContent>
                </v:textbox>
              </v:shape>
            </w:pict>
          </mc:Fallback>
        </mc:AlternateContent>
      </w:r>
      <w:r>
        <w:drawing>
          <wp:inline distT="0" distB="0" distL="114300" distR="114300">
            <wp:extent cx="4752975" cy="4179570"/>
            <wp:effectExtent l="4445" t="4445" r="5080" b="6985"/>
            <wp:docPr id="1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hint="eastAsia" w:ascii="楷体_GB2312" w:hAnsi="Times New Roman" w:eastAsia="楷体_GB2312" w:cs="Mongolian Baiti"/>
          <w:b/>
          <w:bCs/>
          <w:sz w:val="32"/>
          <w:szCs w:val="32"/>
        </w:rPr>
      </w:pPr>
    </w:p>
    <w:p>
      <w:pPr>
        <w:pStyle w:val="2"/>
        <w:rPr>
          <w:rFonts w:hint="eastAsia"/>
        </w:rPr>
      </w:pP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2967.78</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2365.7</w:t>
      </w:r>
      <w:r>
        <w:rPr>
          <w:rFonts w:hint="eastAsia" w:ascii="仿宋_GB2312" w:hAnsi="Times New Roman" w:eastAsia="仿宋_GB2312" w:cs="Wingdings"/>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Wingdings"/>
          <w:sz w:val="32"/>
          <w:szCs w:val="32"/>
          <w:lang w:val="en-US" w:eastAsia="zh-CN"/>
        </w:rPr>
        <w:t>602.08</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pageBreakBefore w:val="0"/>
        <w:widowControl w:val="0"/>
        <w:kinsoku/>
        <w:wordWrap/>
        <w:overflowPunct/>
        <w:topLinePunct w:val="0"/>
        <w:bidi w:val="0"/>
        <w:snapToGrid w:val="0"/>
        <w:spacing w:line="620" w:lineRule="exact"/>
        <w:ind w:left="0" w:leftChars="0" w:right="0" w:rightChars="0" w:firstLine="640" w:firstLineChars="200"/>
        <w:textAlignment w:val="auto"/>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近年来，本部门</w:t>
      </w:r>
      <w:r>
        <w:rPr>
          <w:rFonts w:hint="eastAsia" w:eastAsia="仿宋_GB2312"/>
          <w:sz w:val="32"/>
          <w:szCs w:val="32"/>
        </w:rPr>
        <w:t>严控“三公”经费支出，硬化预算约束，有效的控制了“三公”等相关经费的支出</w:t>
      </w:r>
      <w:r>
        <w:rPr>
          <w:rFonts w:eastAsia="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2020年度“三公”经费财政拨款支出预算为</w:t>
      </w:r>
      <w:r>
        <w:rPr>
          <w:rFonts w:hint="eastAsia" w:ascii="仿宋_GB2312" w:hAnsi="Times New Roman" w:eastAsia="仿宋_GB2312" w:cs="Wingdings"/>
          <w:sz w:val="32"/>
          <w:szCs w:val="32"/>
          <w:lang w:val="en-US" w:eastAsia="zh-CN"/>
        </w:rPr>
        <w:t>30.89</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29.67</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96.05</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1.22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下降3.95</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val="en-US" w:eastAsia="zh-CN"/>
        </w:rPr>
        <w:t>厉行节约，</w:t>
      </w:r>
      <w:r>
        <w:rPr>
          <w:rFonts w:hint="eastAsia" w:ascii="仿宋_GB2312" w:eastAsia="仿宋_GB2312" w:cs="DengXian-Regular"/>
          <w:sz w:val="32"/>
          <w:szCs w:val="32"/>
        </w:rPr>
        <w:t>从严控制“三公”经费开支，</w:t>
      </w:r>
      <w:r>
        <w:rPr>
          <w:rFonts w:hint="eastAsia" w:ascii="仿宋_GB2312" w:hAnsi="Times New Roman" w:eastAsia="仿宋_GB2312" w:cs="Wingdings"/>
          <w:sz w:val="32"/>
          <w:szCs w:val="32"/>
          <w:lang w:val="en-US" w:eastAsia="zh-CN"/>
        </w:rPr>
        <w:t>与上年决算相比，本年“三公”经费支出增加6.73</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增长</w:t>
      </w:r>
      <w:r>
        <w:rPr>
          <w:rFonts w:hint="eastAsia" w:ascii="仿宋_GB2312" w:hAnsi="Times New Roman" w:eastAsia="仿宋_GB2312" w:cs="Wingdings"/>
          <w:sz w:val="32"/>
          <w:szCs w:val="32"/>
          <w:lang w:val="en-US" w:eastAsia="zh-CN"/>
        </w:rPr>
        <w:t>29.3</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因公车购置费增加6.73万元</w:t>
      </w:r>
      <w:r>
        <w:rPr>
          <w:rFonts w:hint="eastAsia" w:ascii="仿宋_GB2312" w:hAnsi="Times New Roman" w:eastAsia="仿宋_GB2312" w:cs="Wingdings"/>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ind w:firstLine="640"/>
        <w:rPr>
          <w:rFonts w:hint="eastAsia" w:ascii="仿宋" w:hAnsi="仿宋" w:eastAsia="仿宋" w:cs="仿宋"/>
          <w:sz w:val="32"/>
          <w:szCs w:val="32"/>
        </w:rPr>
      </w:pPr>
      <w:r>
        <w:rPr>
          <w:rFonts w:hint="eastAsia" w:ascii="楷体_GB2312" w:hAnsi="Times New Roman" w:eastAsia="楷体_GB2312" w:cs="Mongolian Baiti"/>
          <w:b/>
          <w:bCs/>
          <w:sz w:val="32"/>
          <w:szCs w:val="32"/>
        </w:rPr>
        <w:t>1.因公出国（境）费</w:t>
      </w:r>
      <w:r>
        <w:rPr>
          <w:rFonts w:hint="eastAsia" w:ascii="楷体_GB2312" w:hAnsi="Times New Roman" w:eastAsia="楷体_GB2312" w:cs="Mongolian Baiti"/>
          <w:b/>
          <w:bCs/>
          <w:sz w:val="32"/>
          <w:szCs w:val="32"/>
          <w:lang w:eastAsia="zh-CN"/>
        </w:rPr>
        <w:t>。</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2020年度公务用车购置及运行维护费</w:t>
      </w:r>
      <w:r>
        <w:rPr>
          <w:rFonts w:hint="eastAsia" w:ascii="仿宋_GB2312" w:hAnsi="Times New Roman" w:eastAsia="仿宋_GB2312" w:cs="Wingdings"/>
          <w:sz w:val="32"/>
          <w:szCs w:val="32"/>
          <w:lang w:val="en-US" w:eastAsia="zh-CN"/>
        </w:rPr>
        <w:t>支出29.67万元，</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1.22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3.95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其中公车购置费11.99万元，与预算持平。</w:t>
      </w:r>
      <w:r>
        <w:rPr>
          <w:rFonts w:hint="eastAsia" w:ascii="仿宋_GB2312" w:hAnsi="Times New Roman" w:eastAsia="仿宋_GB2312" w:cs="Mongolian Baiti"/>
          <w:b/>
          <w:bCs/>
          <w:sz w:val="32"/>
          <w:szCs w:val="32"/>
        </w:rPr>
        <w:t>其中：</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2020年度公务用车购置</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辆。</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b/>
          <w:sz w:val="32"/>
          <w:szCs w:val="32"/>
          <w:lang w:eastAsia="zh-CN"/>
        </w:rPr>
        <w:t>：</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2020年度公务用车保有量</w:t>
      </w:r>
      <w:r>
        <w:rPr>
          <w:rFonts w:hint="eastAsia" w:ascii="仿宋_GB2312" w:hAnsi="Times New Roman" w:eastAsia="仿宋_GB2312" w:cs="Wingdings"/>
          <w:sz w:val="32"/>
          <w:szCs w:val="32"/>
          <w:lang w:val="en-US" w:eastAsia="zh-CN"/>
        </w:rPr>
        <w:t>7</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公务用车运维费支出17.68万元。</w:t>
      </w:r>
      <w:r>
        <w:rPr>
          <w:rFonts w:hint="eastAsia" w:ascii="仿宋_GB2312" w:hAnsi="Times New Roman" w:eastAsia="仿宋_GB2312" w:cs="Wingdings"/>
          <w:sz w:val="32"/>
          <w:szCs w:val="32"/>
        </w:rPr>
        <w:t>公车运行维护费支出较预算减少</w:t>
      </w:r>
      <w:r>
        <w:rPr>
          <w:rFonts w:hint="eastAsia" w:ascii="仿宋_GB2312" w:hAnsi="Times New Roman" w:eastAsia="仿宋_GB2312" w:cs="Wingdings"/>
          <w:sz w:val="32"/>
          <w:szCs w:val="32"/>
          <w:lang w:val="en-US" w:eastAsia="zh-CN"/>
        </w:rPr>
        <w:t>1.22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下降3.95</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val="en-US" w:eastAsia="zh-CN"/>
        </w:rPr>
        <w:t>决算增加了6.73</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29.3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在公务活动有所增加的情况下，支出较上年略有增长，基本保持平稳</w:t>
      </w:r>
      <w:r>
        <w:rPr>
          <w:rFonts w:hint="eastAsia" w:ascii="仿宋_GB2312" w:hAnsi="Times New Roman" w:eastAsia="仿宋_GB2312" w:cs="Wingdings"/>
          <w:sz w:val="32"/>
          <w:szCs w:val="32"/>
        </w:rPr>
        <w:t>。</w:t>
      </w:r>
    </w:p>
    <w:p>
      <w:pPr>
        <w:ind w:firstLine="64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楷体_GB2312" w:hAnsi="Times New Roman" w:eastAsia="楷体_GB2312" w:cs="Mongolian Baiti"/>
          <w:b/>
          <w:bCs/>
          <w:sz w:val="32"/>
          <w:szCs w:val="32"/>
          <w:lang w:eastAsia="zh-CN"/>
        </w:rPr>
        <w:t>。</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组织对2020年度</w:t>
      </w:r>
      <w:r>
        <w:rPr>
          <w:rFonts w:hint="eastAsia" w:ascii="仿宋_GB2312" w:hAnsi="Times New Roman" w:eastAsia="仿宋_GB2312" w:cs="Wingdings"/>
          <w:sz w:val="32"/>
          <w:szCs w:val="32"/>
          <w:lang w:val="en-US" w:eastAsia="zh-CN"/>
        </w:rPr>
        <w:t>55</w:t>
      </w:r>
      <w:r>
        <w:rPr>
          <w:rFonts w:hint="eastAsia" w:ascii="仿宋_GB2312" w:hAnsi="Times New Roman" w:eastAsia="仿宋_GB2312" w:cs="Wingdings"/>
          <w:sz w:val="32"/>
          <w:szCs w:val="32"/>
        </w:rPr>
        <w:t>个一级项目全面开展绩效自评</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共涉及资金</w:t>
      </w:r>
      <w:r>
        <w:rPr>
          <w:rFonts w:hint="eastAsia" w:ascii="仿宋_GB2312" w:hAnsi="Times New Roman" w:eastAsia="仿宋_GB2312" w:cs="Wingdings"/>
          <w:sz w:val="32"/>
          <w:szCs w:val="32"/>
          <w:lang w:val="en-US" w:eastAsia="zh-CN"/>
        </w:rPr>
        <w:t>18922.49</w:t>
      </w:r>
      <w:r>
        <w:rPr>
          <w:rFonts w:hint="eastAsia" w:ascii="仿宋_GB2312" w:hAnsi="Times New Roman" w:eastAsia="仿宋_GB2312" w:cs="Wingdings"/>
          <w:sz w:val="32"/>
          <w:szCs w:val="32"/>
        </w:rPr>
        <w:t>万元。</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eastAsia="仿宋_GB2312" w:cs="DengXian-Regular"/>
          <w:sz w:val="32"/>
          <w:szCs w:val="32"/>
          <w:shd w:val="clear" w:color="auto" w:fill="auto"/>
          <w:lang w:eastAsia="zh-CN"/>
        </w:rPr>
      </w:pPr>
      <w:r>
        <w:rPr>
          <w:rFonts w:hint="eastAsia" w:ascii="仿宋_GB2312" w:hAnsi="宋体" w:eastAsia="仿宋_GB2312"/>
          <w:sz w:val="32"/>
          <w:szCs w:val="32"/>
        </w:rPr>
        <w:t>2020年</w:t>
      </w:r>
      <w:r>
        <w:rPr>
          <w:rFonts w:hint="eastAsia" w:ascii="仿宋_GB2312" w:hAnsi="宋体" w:eastAsia="仿宋_GB2312"/>
          <w:sz w:val="32"/>
          <w:szCs w:val="32"/>
          <w:lang w:eastAsia="zh-CN"/>
        </w:rPr>
        <w:t>本部门</w:t>
      </w:r>
      <w:r>
        <w:rPr>
          <w:rFonts w:hint="eastAsia" w:ascii="仿宋_GB2312" w:hAnsi="宋体" w:eastAsia="仿宋_GB2312"/>
          <w:sz w:val="32"/>
          <w:szCs w:val="32"/>
        </w:rPr>
        <w:t>绩效自评项目共1</w:t>
      </w:r>
      <w:r>
        <w:rPr>
          <w:rFonts w:hint="eastAsia" w:ascii="仿宋_GB2312" w:hAnsi="宋体" w:eastAsia="仿宋_GB2312"/>
          <w:sz w:val="32"/>
          <w:szCs w:val="32"/>
          <w:lang w:val="en-US" w:eastAsia="zh-CN"/>
        </w:rPr>
        <w:t>0</w:t>
      </w:r>
      <w:r>
        <w:rPr>
          <w:rFonts w:hint="eastAsia" w:ascii="仿宋_GB2312" w:hAnsi="宋体" w:eastAsia="仿宋_GB2312"/>
          <w:sz w:val="32"/>
          <w:szCs w:val="32"/>
        </w:rPr>
        <w:t>个，其中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8</w:t>
      </w:r>
      <w:r>
        <w:rPr>
          <w:rFonts w:hint="eastAsia" w:ascii="仿宋_GB2312" w:hAnsi="仿宋" w:eastAsia="仿宋_GB2312"/>
          <w:sz w:val="32"/>
          <w:szCs w:val="32"/>
        </w:rPr>
        <w:t>个，评优率为92.3%；评价等级为“良”的项目</w:t>
      </w:r>
      <w:r>
        <w:rPr>
          <w:rFonts w:hint="eastAsia" w:ascii="仿宋_GB2312" w:hAnsi="仿宋" w:eastAsia="仿宋_GB2312"/>
          <w:sz w:val="32"/>
          <w:szCs w:val="32"/>
          <w:lang w:val="en-US" w:eastAsia="zh-CN"/>
        </w:rPr>
        <w:t>2</w:t>
      </w:r>
      <w:r>
        <w:rPr>
          <w:rFonts w:hint="eastAsia" w:ascii="仿宋_GB2312" w:hAnsi="仿宋" w:eastAsia="仿宋_GB2312"/>
          <w:sz w:val="32"/>
          <w:szCs w:val="32"/>
        </w:rPr>
        <w:t>个，评良率为7.7%</w:t>
      </w:r>
      <w:r>
        <w:rPr>
          <w:rFonts w:hint="eastAsia" w:ascii="仿宋_GB2312" w:hAnsi="仿宋" w:eastAsia="仿宋_GB2312"/>
          <w:sz w:val="32"/>
          <w:szCs w:val="32"/>
          <w:lang w:eastAsia="zh-CN"/>
        </w:rPr>
        <w:t>，</w:t>
      </w:r>
      <w:r>
        <w:rPr>
          <w:rFonts w:hint="eastAsia" w:ascii="仿宋" w:hAnsi="仿宋" w:eastAsia="仿宋" w:cs="仿宋"/>
          <w:sz w:val="32"/>
          <w:szCs w:val="32"/>
        </w:rPr>
        <w:t>详见</w:t>
      </w:r>
      <w:r>
        <w:rPr>
          <w:rFonts w:hint="eastAsia" w:ascii="仿宋" w:hAnsi="仿宋" w:eastAsia="仿宋" w:cs="仿宋"/>
          <w:sz w:val="32"/>
          <w:szCs w:val="32"/>
          <w:lang w:val="en-US" w:eastAsia="zh-CN"/>
        </w:rPr>
        <w:t>下</w:t>
      </w:r>
      <w:r>
        <w:rPr>
          <w:rFonts w:hint="eastAsia" w:ascii="仿宋" w:hAnsi="仿宋" w:eastAsia="仿宋" w:cs="仿宋"/>
          <w:sz w:val="32"/>
          <w:szCs w:val="32"/>
        </w:rPr>
        <w:t>表</w:t>
      </w:r>
      <w:r>
        <w:rPr>
          <w:rFonts w:hint="eastAsia" w:ascii="仿宋_GB2312" w:eastAsia="仿宋_GB2312" w:cs="DengXian-Regular"/>
          <w:sz w:val="32"/>
          <w:szCs w:val="32"/>
          <w:shd w:val="clear" w:color="auto" w:fill="auto"/>
          <w:lang w:eastAsia="zh-CN"/>
        </w:rPr>
        <w:t>。</w:t>
      </w:r>
    </w:p>
    <w:tbl>
      <w:tblPr>
        <w:tblStyle w:val="7"/>
        <w:tblW w:w="83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55"/>
        <w:gridCol w:w="4410"/>
        <w:gridCol w:w="1335"/>
        <w:gridCol w:w="17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40" w:hRule="atLeast"/>
        </w:trPr>
        <w:tc>
          <w:tcPr>
            <w:tcW w:w="8385" w:type="dxa"/>
            <w:gridSpan w:val="4"/>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44"/>
                <w:szCs w:val="44"/>
                <w:u w:val="none"/>
              </w:rPr>
            </w:pPr>
            <w:r>
              <w:rPr>
                <w:rFonts w:hint="eastAsia" w:ascii="仿宋" w:hAnsi="仿宋" w:eastAsia="仿宋" w:cs="仿宋"/>
                <w:i w:val="0"/>
                <w:color w:val="000000"/>
                <w:kern w:val="0"/>
                <w:sz w:val="44"/>
                <w:szCs w:val="44"/>
                <w:u w:val="none"/>
                <w:lang w:val="en-US" w:eastAsia="zh-CN" w:bidi="ar"/>
              </w:rPr>
              <w:t>本部门绩效自评结果统计表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10" w:hRule="atLeast"/>
        </w:trPr>
        <w:tc>
          <w:tcPr>
            <w:tcW w:w="855" w:type="dxa"/>
            <w:shd w:val="clear" w:color="auto" w:fill="auto"/>
            <w:vAlign w:val="center"/>
          </w:tcPr>
          <w:p>
            <w:pPr>
              <w:jc w:val="center"/>
              <w:rPr>
                <w:rFonts w:hint="eastAsia" w:ascii="仿宋" w:hAnsi="仿宋" w:eastAsia="仿宋" w:cs="仿宋"/>
                <w:i w:val="0"/>
                <w:color w:val="000000"/>
                <w:sz w:val="44"/>
                <w:szCs w:val="44"/>
                <w:u w:val="none"/>
              </w:rPr>
            </w:pPr>
          </w:p>
        </w:tc>
        <w:tc>
          <w:tcPr>
            <w:tcW w:w="4410" w:type="dxa"/>
            <w:shd w:val="clear" w:color="auto" w:fill="auto"/>
            <w:vAlign w:val="center"/>
          </w:tcPr>
          <w:p>
            <w:pPr>
              <w:jc w:val="center"/>
              <w:rPr>
                <w:rFonts w:hint="eastAsia" w:ascii="仿宋" w:hAnsi="仿宋" w:eastAsia="仿宋" w:cs="仿宋"/>
                <w:i w:val="0"/>
                <w:color w:val="000000"/>
                <w:sz w:val="44"/>
                <w:szCs w:val="44"/>
                <w:u w:val="none"/>
              </w:rPr>
            </w:pPr>
          </w:p>
        </w:tc>
        <w:tc>
          <w:tcPr>
            <w:tcW w:w="1335" w:type="dxa"/>
            <w:shd w:val="clear" w:color="auto" w:fill="auto"/>
            <w:vAlign w:val="center"/>
          </w:tcPr>
          <w:p>
            <w:pPr>
              <w:jc w:val="center"/>
              <w:rPr>
                <w:rFonts w:hint="eastAsia" w:ascii="仿宋" w:hAnsi="仿宋" w:eastAsia="仿宋" w:cs="仿宋"/>
                <w:i w:val="0"/>
                <w:color w:val="000000"/>
                <w:sz w:val="44"/>
                <w:szCs w:val="44"/>
                <w:u w:val="none"/>
              </w:rPr>
            </w:pPr>
          </w:p>
        </w:tc>
        <w:tc>
          <w:tcPr>
            <w:tcW w:w="1785" w:type="dxa"/>
            <w:shd w:val="clear" w:color="auto" w:fill="auto"/>
            <w:vAlign w:val="center"/>
          </w:tcPr>
          <w:p>
            <w:pPr>
              <w:jc w:val="center"/>
              <w:rPr>
                <w:rFonts w:hint="eastAsia" w:ascii="仿宋" w:hAnsi="仿宋" w:eastAsia="仿宋" w:cs="仿宋"/>
                <w:i w:val="0"/>
                <w:color w:val="000000"/>
                <w:sz w:val="44"/>
                <w:szCs w:val="4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10" w:hRule="atLeast"/>
        </w:trPr>
        <w:tc>
          <w:tcPr>
            <w:tcW w:w="5265" w:type="dxa"/>
            <w:gridSpan w:val="2"/>
            <w:tcBorders>
              <w:bottom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主管部门：石家庄市鹿泉区住建局</w:t>
            </w:r>
          </w:p>
        </w:tc>
        <w:tc>
          <w:tcPr>
            <w:tcW w:w="3120" w:type="dxa"/>
            <w:gridSpan w:val="2"/>
            <w:tcBorders>
              <w:bottom w:val="single" w:color="000000" w:sz="4" w:space="0"/>
            </w:tcBorders>
            <w:shd w:val="clear" w:color="auto" w:fill="auto"/>
            <w:vAlign w:val="center"/>
          </w:tcPr>
          <w:p>
            <w:pPr>
              <w:jc w:val="right"/>
              <w:rPr>
                <w:rFonts w:hint="eastAsia" w:ascii="仿宋" w:hAnsi="仿宋" w:eastAsia="仿宋" w:cs="仿宋"/>
                <w:i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序号</w:t>
            </w:r>
          </w:p>
        </w:tc>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项目名称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自评得分</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w:t>
            </w:r>
          </w:p>
        </w:tc>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2017年双代用户2019-2020采暖季运行补贴（第三年）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w:t>
            </w:r>
          </w:p>
        </w:tc>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2018年双代补贴费用（第二年）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3</w:t>
            </w:r>
          </w:p>
        </w:tc>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2019年双代费用</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4</w:t>
            </w:r>
          </w:p>
        </w:tc>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村级监管员</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5</w:t>
            </w:r>
          </w:p>
        </w:tc>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鹿泉区老旧小区改造</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6</w:t>
            </w:r>
          </w:p>
        </w:tc>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德胜路建设工程</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7</w:t>
            </w:r>
          </w:p>
        </w:tc>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三供一业物业服务补贴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8</w:t>
            </w:r>
          </w:p>
        </w:tc>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租地费</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9</w:t>
            </w:r>
          </w:p>
        </w:tc>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曹庄路建设工程</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30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95" w:hRule="atLeast"/>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w:t>
            </w:r>
          </w:p>
        </w:tc>
        <w:tc>
          <w:tcPr>
            <w:tcW w:w="4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红色物业</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50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良</w:t>
            </w:r>
          </w:p>
        </w:tc>
      </w:tr>
    </w:tbl>
    <w:p>
      <w:pPr>
        <w:pStyle w:val="2"/>
        <w:rPr>
          <w:rFonts w:hint="eastAsia"/>
        </w:rPr>
      </w:pP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164.05</w:t>
      </w:r>
      <w:r>
        <w:rPr>
          <w:rFonts w:hint="eastAsia" w:ascii="仿宋_GB2312" w:hAnsi="仿宋_GB2312" w:eastAsia="仿宋_GB2312" w:cs="仿宋_GB2312"/>
          <w:sz w:val="32"/>
          <w:szCs w:val="32"/>
        </w:rPr>
        <w:t>万元，比2019年度</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16.32</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增加11.05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主要是购买公车一辆。</w:t>
      </w:r>
    </w:p>
    <w:p>
      <w:pPr>
        <w:keepNext/>
        <w:keepLines/>
        <w:snapToGrid w:val="0"/>
        <w:spacing w:line="60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hint="eastAsia" w:ascii="仿宋_GB2312" w:hAnsi="仿宋_GB2312" w:eastAsia="仿宋_GB2312" w:cs="仿宋_GB2312"/>
          <w:color w:val="000000"/>
          <w:kern w:val="0"/>
          <w:sz w:val="32"/>
          <w:szCs w:val="32"/>
          <w:lang w:bidi="ar"/>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2020年度政府采购支出总额</w:t>
      </w:r>
      <w:r>
        <w:rPr>
          <w:rFonts w:hint="eastAsia" w:ascii="仿宋_GB2312" w:hAnsi="仿宋_GB2312" w:eastAsia="仿宋_GB2312" w:cs="仿宋_GB2312"/>
          <w:sz w:val="32"/>
          <w:szCs w:val="32"/>
          <w:lang w:val="en-US" w:eastAsia="zh-CN"/>
        </w:rPr>
        <w:t>4380.68</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47.61</w:t>
      </w:r>
      <w:r>
        <w:rPr>
          <w:rFonts w:hint="eastAsia" w:ascii="仿宋_GB2312" w:hAnsi="仿宋_GB2312" w:eastAsia="仿宋_GB2312" w:cs="仿宋_GB2312"/>
          <w:color w:val="000000"/>
          <w:kern w:val="0"/>
          <w:sz w:val="32"/>
          <w:szCs w:val="32"/>
          <w:lang w:bidi="ar"/>
        </w:rPr>
        <w:t xml:space="preserve"> 万元、政府采购</w:t>
      </w:r>
      <w:r>
        <w:rPr>
          <w:rFonts w:hint="eastAsia" w:ascii="仿宋_GB2312" w:hAnsi="仿宋_GB2312" w:eastAsia="仿宋_GB2312" w:cs="仿宋_GB2312"/>
          <w:color w:val="000000"/>
          <w:kern w:val="0"/>
          <w:sz w:val="32"/>
          <w:szCs w:val="32"/>
          <w:lang w:eastAsia="zh-CN" w:bidi="ar"/>
        </w:rPr>
        <w:t>工程</w:t>
      </w:r>
      <w:r>
        <w:rPr>
          <w:rFonts w:hint="eastAsia" w:ascii="仿宋_GB2312" w:hAnsi="仿宋_GB2312" w:eastAsia="仿宋_GB2312" w:cs="仿宋_GB2312"/>
          <w:color w:val="000000"/>
          <w:kern w:val="0"/>
          <w:sz w:val="32"/>
          <w:szCs w:val="32"/>
          <w:lang w:bidi="ar"/>
        </w:rPr>
        <w:t>支出</w:t>
      </w:r>
      <w:r>
        <w:rPr>
          <w:rFonts w:hint="eastAsia" w:ascii="仿宋_GB2312" w:hAnsi="仿宋_GB2312" w:eastAsia="仿宋_GB2312" w:cs="仿宋_GB2312"/>
          <w:color w:val="000000"/>
          <w:kern w:val="0"/>
          <w:sz w:val="32"/>
          <w:szCs w:val="32"/>
          <w:lang w:val="en-US" w:eastAsia="zh-CN" w:bidi="ar"/>
        </w:rPr>
        <w:t>4275.84万元，</w:t>
      </w:r>
      <w:r>
        <w:rPr>
          <w:rFonts w:hint="eastAsia" w:ascii="仿宋_GB2312" w:hAnsi="仿宋_GB2312" w:eastAsia="仿宋_GB2312" w:cs="仿宋_GB2312"/>
          <w:color w:val="000000"/>
          <w:kern w:val="0"/>
          <w:sz w:val="32"/>
          <w:szCs w:val="32"/>
          <w:lang w:bidi="ar"/>
        </w:rPr>
        <w:t>政府采购服务支出</w:t>
      </w:r>
      <w:r>
        <w:rPr>
          <w:rFonts w:hint="eastAsia" w:ascii="仿宋_GB2312" w:hAnsi="仿宋_GB2312" w:eastAsia="仿宋_GB2312" w:cs="仿宋_GB2312"/>
          <w:color w:val="000000"/>
          <w:kern w:val="0"/>
          <w:sz w:val="32"/>
          <w:szCs w:val="32"/>
          <w:lang w:val="en-US" w:eastAsia="zh-CN" w:bidi="ar"/>
        </w:rPr>
        <w:t>57.23</w:t>
      </w:r>
      <w:r>
        <w:rPr>
          <w:rFonts w:hint="eastAsia"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67.47</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1.54</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67.47</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1.54</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截至2020年12月31日，</w:t>
      </w: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比</w:t>
      </w:r>
      <w:r>
        <w:rPr>
          <w:rFonts w:hint="eastAsia" w:ascii="仿宋_GB2312" w:hAnsi="仿宋_GB2312" w:eastAsia="仿宋_GB2312" w:cs="仿宋_GB2312"/>
          <w:sz w:val="32"/>
          <w:szCs w:val="32"/>
          <w:lang w:val="en-US" w:eastAsia="zh-CN"/>
        </w:rPr>
        <w:t>上年增加两辆</w:t>
      </w:r>
      <w:r>
        <w:rPr>
          <w:rFonts w:hint="eastAsia" w:ascii="仿宋_GB2312" w:hAnsi="仿宋_GB2312" w:eastAsia="仿宋_GB2312" w:cs="仿宋_GB2312"/>
          <w:sz w:val="32"/>
          <w:szCs w:val="32"/>
        </w:rPr>
        <w:t>。其中主要机要通信用车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，执法执勤用车</w:t>
      </w:r>
      <w:r>
        <w:rPr>
          <w:rFonts w:hint="eastAsia" w:ascii="仿宋_GB2312" w:hAnsi="仿宋_GB2312" w:eastAsia="仿宋_GB2312" w:cs="仿宋_GB2312"/>
          <w:sz w:val="32"/>
          <w:szCs w:val="32"/>
          <w:lang w:val="en-US" w:eastAsia="zh-CN"/>
        </w:rPr>
        <w:t>2辆，其他用车5辆。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本部门没有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highlight w:val="none"/>
        </w:rPr>
      </w:pPr>
      <w:r>
        <w:rPr>
          <w:rFonts w:hint="eastAsia" w:ascii="黑体" w:hAnsi="黑体" w:eastAsia="黑体" w:cs="黑体"/>
          <w:sz w:val="32"/>
          <w:szCs w:val="32"/>
          <w:highlight w:val="none"/>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1. </w:t>
      </w:r>
      <w:r>
        <w:rPr>
          <w:rFonts w:hint="eastAsia" w:ascii="仿宋_GB2312" w:hAnsi="仿宋_GB2312" w:eastAsia="仿宋_GB2312" w:cs="仿宋_GB2312"/>
          <w:sz w:val="32"/>
          <w:szCs w:val="32"/>
          <w:highlight w:val="none"/>
          <w:lang w:eastAsia="zh-CN"/>
        </w:rPr>
        <w:t>本部门</w:t>
      </w:r>
      <w:r>
        <w:rPr>
          <w:rFonts w:hint="eastAsia" w:ascii="仿宋_GB2312" w:hAnsi="仿宋_GB2312" w:eastAsia="仿宋_GB2312" w:cs="仿宋_GB2312"/>
          <w:sz w:val="32"/>
          <w:szCs w:val="32"/>
          <w:highlight w:val="none"/>
        </w:rPr>
        <w:t>2020年度未发生国有资金经营预算收支及结转结余情况，故国有资金经营预算</w:t>
      </w:r>
      <w:r>
        <w:rPr>
          <w:rFonts w:hint="eastAsia" w:ascii="仿宋_GB2312" w:hAnsi="仿宋_GB2312" w:eastAsia="仿宋_GB2312" w:cs="仿宋_GB2312"/>
          <w:sz w:val="32"/>
          <w:szCs w:val="32"/>
          <w:highlight w:val="none"/>
          <w:lang w:val="en-US" w:eastAsia="zh-CN"/>
        </w:rPr>
        <w:t>支出表（09表）</w:t>
      </w:r>
      <w:r>
        <w:rPr>
          <w:rFonts w:hint="eastAsia" w:ascii="仿宋_GB2312" w:hAnsi="仿宋_GB2312" w:eastAsia="仿宋_GB2312" w:cs="仿宋_GB2312"/>
          <w:sz w:val="32"/>
          <w:szCs w:val="32"/>
          <w:highlight w:val="none"/>
        </w:rPr>
        <w:t>以空表列示。</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adjustRightInd w:val="0"/>
        <w:snapToGrid w:val="0"/>
        <w:spacing w:line="600" w:lineRule="exact"/>
        <w:ind w:firstLine="640" w:firstLineChars="200"/>
        <w:rPr>
          <w:rFonts w:hint="eastAsia"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rPr>
          <w:sz w:val="72"/>
        </w:rPr>
        <mc:AlternateContent>
          <mc:Choice Requires="wps">
            <w:drawing>
              <wp:anchor distT="0" distB="0" distL="114300" distR="114300" simplePos="0" relativeHeight="251660288" behindDoc="0" locked="0" layoutInCell="1" allowOverlap="1">
                <wp:simplePos x="0" y="0"/>
                <wp:positionH relativeFrom="column">
                  <wp:posOffset>-1022350</wp:posOffset>
                </wp:positionH>
                <wp:positionV relativeFrom="paragraph">
                  <wp:posOffset>201930</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5pt;margin-top:15.9pt;height:263.1pt;width:613.65pt;z-index:251660288;v-text-anchor:middle;mso-width-relative:page;mso-height-relative:page;" fillcolor="#7F7F7F [1612]" filled="t" stroked="t" coordsize="21600,21600" o:gfxdata="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KzRqHNkAAAAMAQAADwAAAAAAAAABACAAAAAiAAAAZHJzL2Rvd25yZXYu&#10;eG1sUEsBAhQAFAAAAAgAh07iQPgymRhsAgAA/gQAAA4AAAAAAAAAAQAgAAAAKAEAAGRycy9lMm9E&#10;b2MueG1sUEsFBgAAAAAGAAYAWQEAAAYGAAAAAA==&#10;">
                <v:fill type="pattern" on="t" color2="#FFFFFF [3212]" focussize="0,0" r:id="rId11"/>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cs="Times New Roman"/>
          <w:sz w:val="32"/>
          <w:szCs w:val="32"/>
        </w:rPr>
      </w:pPr>
      <w:r>
        <w:rPr>
          <w:rFonts w:ascii="Times New Roman" w:hAnsi="Times New Roman" w:eastAsia="黑体" w:cs="Times New Roman"/>
          <w:sz w:val="32"/>
          <w:szCs w:val="32"/>
        </w:rPr>
        <w:br w:type="page"/>
      </w:r>
    </w:p>
    <w:p>
      <w:pPr>
        <w:widowControl/>
        <w:spacing w:after="160" w:line="580" w:lineRule="exact"/>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p>
    <w:p>
      <w:pPr>
        <w:rPr>
          <w:sz w:val="72"/>
        </w:rPr>
      </w:pPr>
      <w:r>
        <w:rPr>
          <w:sz w:val="72"/>
        </w:rPr>
        <mc:AlternateContent>
          <mc:Choice Requires="wps">
            <w:drawing>
              <wp:anchor distT="0" distB="0" distL="114300" distR="114300" simplePos="0" relativeHeight="251664384"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4384;v-text-anchor:middle;mso-width-relative:page;mso-height-relative:page;" fillcolor="#7F7F7F" filled="t" stroked="t" coordsize="21600,21600" o:gfxdata="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KcevmzcAAAA&#10;DQEAAA8AAAAAAAAAAQAgAAAAIgAAAGRycy9kb3ducmV2LnhtbFBLAQIUABQAAAAIAIdO4kDLXY5P&#10;iwIAAFsFAAAOAAAAAAAAAAEAIAAAACsBAABkcnMvZTJvRG9jLnhtbFBLBQYAAAAABgAGAFkBAAAo&#10;BgAAAAA=&#10;">
                <v:fill type="pattern" on="t" color2="#FFFFFF" focussize="0,0" r:id="rId11"/>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bidi w:val="0"/>
        <w:rPr>
          <w:rFonts w:asciiTheme="minorHAnsi" w:hAnsiTheme="minorHAnsi" w:eastAsiaTheme="minorEastAsia" w:cstheme="minorBidi"/>
          <w:kern w:val="2"/>
          <w:sz w:val="21"/>
          <w:szCs w:val="24"/>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rPr>
          <w:lang w:val="en-US" w:eastAsia="zh-CN"/>
        </w:rPr>
      </w:pPr>
      <w:r>
        <w:rPr>
          <w:lang w:val="en-US" w:eastAsia="zh-CN"/>
        </w:rPr>
        <w:br w:type="page"/>
      </w:r>
    </w:p>
    <w:tbl>
      <w:tblPr>
        <w:tblStyle w:val="7"/>
        <w:tblW w:w="9060" w:type="dxa"/>
        <w:tblInd w:w="0" w:type="dxa"/>
        <w:shd w:val="clear" w:color="auto" w:fill="auto"/>
        <w:tblLayout w:type="fixed"/>
        <w:tblCellMar>
          <w:top w:w="0" w:type="dxa"/>
          <w:left w:w="108" w:type="dxa"/>
          <w:bottom w:w="0" w:type="dxa"/>
          <w:right w:w="108" w:type="dxa"/>
        </w:tblCellMar>
      </w:tblPr>
      <w:tblGrid>
        <w:gridCol w:w="3069"/>
        <w:gridCol w:w="573"/>
        <w:gridCol w:w="1018"/>
        <w:gridCol w:w="2890"/>
        <w:gridCol w:w="573"/>
        <w:gridCol w:w="937"/>
      </w:tblGrid>
      <w:tr>
        <w:tblPrEx>
          <w:shd w:val="clear" w:color="auto" w:fill="auto"/>
          <w:tblLayout w:type="fixed"/>
          <w:tblCellMar>
            <w:top w:w="0" w:type="dxa"/>
            <w:left w:w="108" w:type="dxa"/>
            <w:bottom w:w="0" w:type="dxa"/>
            <w:right w:w="108" w:type="dxa"/>
          </w:tblCellMar>
        </w:tblPrEx>
        <w:trPr>
          <w:trHeight w:val="360" w:hRule="atLeast"/>
        </w:trPr>
        <w:tc>
          <w:tcPr>
            <w:tcW w:w="9060" w:type="dxa"/>
            <w:gridSpan w:val="6"/>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收入支出决算批复表</w:t>
            </w:r>
          </w:p>
        </w:tc>
      </w:tr>
      <w:tr>
        <w:tblPrEx>
          <w:tblLayout w:type="fixed"/>
          <w:tblCellMar>
            <w:top w:w="0" w:type="dxa"/>
            <w:left w:w="108" w:type="dxa"/>
            <w:bottom w:w="0" w:type="dxa"/>
            <w:right w:w="108" w:type="dxa"/>
          </w:tblCellMar>
        </w:tblPrEx>
        <w:trPr>
          <w:trHeight w:val="255" w:hRule="atLeast"/>
        </w:trPr>
        <w:tc>
          <w:tcPr>
            <w:tcW w:w="306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73" w:type="dxa"/>
            <w:tcBorders>
              <w:top w:val="nil"/>
              <w:left w:val="nil"/>
              <w:bottom w:val="nil"/>
              <w:right w:val="nil"/>
            </w:tcBorders>
            <w:shd w:val="clear" w:color="auto" w:fill="auto"/>
            <w:vAlign w:val="bottom"/>
          </w:tcPr>
          <w:p/>
        </w:tc>
        <w:tc>
          <w:tcPr>
            <w:tcW w:w="1018" w:type="dxa"/>
            <w:tcBorders>
              <w:top w:val="nil"/>
              <w:left w:val="nil"/>
              <w:bottom w:val="nil"/>
              <w:right w:val="nil"/>
            </w:tcBorders>
            <w:shd w:val="clear" w:color="auto" w:fill="auto"/>
            <w:vAlign w:val="bottom"/>
          </w:tcPr>
          <w:p/>
        </w:tc>
        <w:tc>
          <w:tcPr>
            <w:tcW w:w="2890" w:type="dxa"/>
            <w:tcBorders>
              <w:top w:val="nil"/>
              <w:left w:val="nil"/>
              <w:bottom w:val="nil"/>
              <w:right w:val="nil"/>
            </w:tcBorders>
            <w:shd w:val="clear" w:color="auto" w:fill="auto"/>
            <w:vAlign w:val="bottom"/>
          </w:tcPr>
          <w:p/>
        </w:tc>
        <w:tc>
          <w:tcPr>
            <w:tcW w:w="1510" w:type="dxa"/>
            <w:gridSpan w:val="2"/>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财决批复01表</w:t>
            </w:r>
          </w:p>
        </w:tc>
      </w:tr>
      <w:tr>
        <w:tblPrEx>
          <w:tblLayout w:type="fixed"/>
          <w:tblCellMar>
            <w:top w:w="0" w:type="dxa"/>
            <w:left w:w="108" w:type="dxa"/>
            <w:bottom w:w="0" w:type="dxa"/>
            <w:right w:w="108" w:type="dxa"/>
          </w:tblCellMar>
        </w:tblPrEx>
        <w:trPr>
          <w:trHeight w:val="255" w:hRule="atLeast"/>
        </w:trPr>
        <w:tc>
          <w:tcPr>
            <w:tcW w:w="3642" w:type="dxa"/>
            <w:gridSpan w:val="2"/>
            <w:tcBorders>
              <w:top w:val="nil"/>
              <w:left w:val="nil"/>
              <w:bottom w:val="nil"/>
              <w:right w:val="nil"/>
            </w:tcBorders>
            <w:shd w:val="clear" w:color="auto" w:fill="auto"/>
            <w:vAlign w:val="bottom"/>
          </w:tcPr>
          <w:p>
            <w:r>
              <w:rPr>
                <w:rFonts w:hint="eastAsia" w:ascii="宋体" w:hAnsi="宋体" w:eastAsia="宋体" w:cs="宋体"/>
                <w:i w:val="0"/>
                <w:iCs w:val="0"/>
                <w:color w:val="000000"/>
                <w:kern w:val="0"/>
                <w:sz w:val="20"/>
                <w:szCs w:val="20"/>
                <w:u w:val="none"/>
                <w:lang w:val="en-US" w:eastAsia="zh-CN" w:bidi="ar"/>
              </w:rPr>
              <w:t>部门：石家庄市鹿泉区建设局（汇总）</w:t>
            </w:r>
          </w:p>
        </w:tc>
        <w:tc>
          <w:tcPr>
            <w:tcW w:w="1018" w:type="dxa"/>
            <w:tcBorders>
              <w:top w:val="nil"/>
              <w:left w:val="nil"/>
              <w:bottom w:val="nil"/>
              <w:right w:val="nil"/>
            </w:tcBorders>
            <w:shd w:val="clear" w:color="auto" w:fill="auto"/>
            <w:vAlign w:val="bottom"/>
          </w:tcPr>
          <w:p/>
        </w:tc>
        <w:tc>
          <w:tcPr>
            <w:tcW w:w="4400"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46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44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行次</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金额</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项目</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行次</w:t>
            </w:r>
          </w:p>
        </w:tc>
        <w:tc>
          <w:tcPr>
            <w:tcW w:w="9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jc w:val="center"/>
            </w:pP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栏次</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jc w:val="center"/>
            </w:pPr>
          </w:p>
        </w:tc>
        <w:tc>
          <w:tcPr>
            <w:tcW w:w="9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一、一般公共预算财政拨款收入</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10,652.74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一、一般公共服务支出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32</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11.99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二、政府性基金预算财政拨款收入</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2</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13,390.53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二、外交支出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33</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三、国有资本经营预算财政拨款收入</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0.00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三、国防支出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34</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四、上级补助收入</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4</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0.00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四、公共安全支出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35</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五、事业收入</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5</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0.00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五、教育支出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36</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六、经营收入</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6</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0.00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六、科学技术支出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37</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七、附属单位上缴收入</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7</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0.00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38</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八、其他收入</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8</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314.07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八、社会保障和就业支出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39</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364.94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9</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九、卫生健康支出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40</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163.06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10</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十、节能环保支出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41</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7,518.60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11</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十一、城乡社区支出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42</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13,265.66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12</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十二、农林水支出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43</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13</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十三、交通运输支出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44</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14</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45</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15</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十五、商业服务业等支出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46</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16</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十六、金融支出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47</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17</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十七、援助其他地区支出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48</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18</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49</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19</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十九、住房保障支出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50</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1,106.40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20</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二十、粮油物资储备支出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51</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21</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52</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22</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53</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23</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二十三、其他支出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54</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800.00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24</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二十四、债务还本支出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55</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25</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二十五、债务付息支出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56</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26</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57</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547.00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27</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24,357.35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b/>
                <w:bCs/>
                <w:i w:val="0"/>
                <w:iCs w:val="0"/>
                <w:color w:val="000000"/>
                <w:kern w:val="0"/>
                <w:sz w:val="22"/>
                <w:szCs w:val="22"/>
                <w:u w:val="none"/>
                <w:lang w:val="en-US" w:eastAsia="zh-CN" w:bidi="ar"/>
              </w:rPr>
              <w:t>本年支出合计</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58</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23,777.65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使用非财政拨款结余</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28</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0.00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结余分配</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59</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29</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4,206.21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年末结转和结余</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60</w:t>
            </w:r>
          </w:p>
        </w:tc>
        <w:tc>
          <w:tcPr>
            <w:tcW w:w="937" w:type="dxa"/>
            <w:tcBorders>
              <w:top w:val="nil"/>
              <w:left w:val="nil"/>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4,785.90 </w:t>
            </w: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30</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jc w:val="right"/>
            </w:pPr>
          </w:p>
        </w:tc>
        <w:tc>
          <w:tcPr>
            <w:tcW w:w="2890" w:type="dxa"/>
            <w:tcBorders>
              <w:top w:val="nil"/>
              <w:left w:val="single" w:color="000000" w:sz="4" w:space="0"/>
              <w:bottom w:val="single" w:color="000000" w:sz="4" w:space="0"/>
              <w:right w:val="single" w:color="000000" w:sz="4" w:space="0"/>
            </w:tcBorders>
            <w:shd w:val="clear" w:color="auto" w:fill="auto"/>
            <w:vAlign w:val="center"/>
          </w:tcPr>
          <w:p>
            <w:pPr>
              <w:jc w:val="left"/>
            </w:pP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61</w:t>
            </w:r>
          </w:p>
        </w:tc>
        <w:tc>
          <w:tcPr>
            <w:tcW w:w="937" w:type="dxa"/>
            <w:tcBorders>
              <w:top w:val="nil"/>
              <w:left w:val="nil"/>
              <w:bottom w:val="single" w:color="000000" w:sz="4" w:space="0"/>
              <w:right w:val="single" w:color="000000" w:sz="4" w:space="0"/>
            </w:tcBorders>
            <w:shd w:val="clear" w:color="auto" w:fill="auto"/>
            <w:vAlign w:val="bottom"/>
          </w:tcPr>
          <w:p>
            <w:pPr>
              <w:rPr>
                <w:rFonts w:hint="eastAsia" w:ascii="宋体" w:hAnsi="宋体" w:eastAsia="宋体" w:cs="宋体"/>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306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31</w:t>
            </w:r>
          </w:p>
        </w:tc>
        <w:tc>
          <w:tcPr>
            <w:tcW w:w="10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pPr>
            <w:r>
              <w:rPr>
                <w:rFonts w:hint="eastAsia" w:ascii="宋体" w:hAnsi="宋体" w:eastAsia="宋体" w:cs="宋体"/>
                <w:i w:val="0"/>
                <w:iCs w:val="0"/>
                <w:color w:val="000000"/>
                <w:kern w:val="0"/>
                <w:sz w:val="22"/>
                <w:szCs w:val="22"/>
                <w:u w:val="none"/>
                <w:lang w:val="en-US" w:eastAsia="zh-CN" w:bidi="ar"/>
              </w:rPr>
              <w:t xml:space="preserve">28,563.55 </w:t>
            </w:r>
          </w:p>
        </w:tc>
        <w:tc>
          <w:tcPr>
            <w:tcW w:w="28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b/>
                <w:bCs/>
                <w:i w:val="0"/>
                <w:iCs w:val="0"/>
                <w:color w:val="000000"/>
                <w:kern w:val="0"/>
                <w:sz w:val="22"/>
                <w:szCs w:val="22"/>
                <w:u w:val="none"/>
                <w:lang w:val="en-US" w:eastAsia="zh-CN" w:bidi="ar"/>
              </w:rPr>
              <w:t>总计</w:t>
            </w:r>
          </w:p>
        </w:tc>
        <w:tc>
          <w:tcPr>
            <w:tcW w:w="57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62</w:t>
            </w:r>
          </w:p>
        </w:tc>
        <w:tc>
          <w:tcPr>
            <w:tcW w:w="937" w:type="dxa"/>
            <w:tcBorders>
              <w:top w:val="nil"/>
              <w:left w:val="nil"/>
              <w:bottom w:val="single" w:color="000000" w:sz="8"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default" w:ascii="Arial" w:hAnsi="Arial" w:eastAsia="宋体" w:cs="Arial"/>
                <w:i w:val="0"/>
                <w:iCs w:val="0"/>
                <w:color w:val="000000"/>
                <w:kern w:val="0"/>
                <w:sz w:val="20"/>
                <w:szCs w:val="20"/>
                <w:u w:val="none"/>
                <w:lang w:val="en-US" w:eastAsia="zh-CN" w:bidi="ar"/>
              </w:rPr>
              <w:t xml:space="preserve">28,563.55 </w:t>
            </w:r>
          </w:p>
        </w:tc>
      </w:tr>
      <w:tr>
        <w:tblPrEx>
          <w:tblLayout w:type="fixed"/>
          <w:tblCellMar>
            <w:top w:w="0" w:type="dxa"/>
            <w:left w:w="108" w:type="dxa"/>
            <w:bottom w:w="0" w:type="dxa"/>
            <w:right w:w="108" w:type="dxa"/>
          </w:tblCellMar>
        </w:tblPrEx>
        <w:trPr>
          <w:trHeight w:val="308" w:hRule="atLeast"/>
        </w:trPr>
        <w:tc>
          <w:tcPr>
            <w:tcW w:w="9060" w:type="dxa"/>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注：本套报表金额单位转换时可能存在尾数误差。</w:t>
            </w:r>
          </w:p>
        </w:tc>
      </w:tr>
      <w:tr>
        <w:tblPrEx>
          <w:tblLayout w:type="fixed"/>
          <w:tblCellMar>
            <w:top w:w="0" w:type="dxa"/>
            <w:left w:w="108" w:type="dxa"/>
            <w:bottom w:w="0" w:type="dxa"/>
            <w:right w:w="108" w:type="dxa"/>
          </w:tblCellMar>
        </w:tblPrEx>
        <w:trPr>
          <w:trHeight w:val="308" w:hRule="atLeast"/>
        </w:trPr>
        <w:tc>
          <w:tcPr>
            <w:tcW w:w="9060" w:type="dxa"/>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1.本表依据《收入支出决算总表》（财决01表）进行批复。</w:t>
            </w:r>
          </w:p>
        </w:tc>
      </w:tr>
      <w:tr>
        <w:tblPrEx>
          <w:tblLayout w:type="fixed"/>
          <w:tblCellMar>
            <w:top w:w="0" w:type="dxa"/>
            <w:left w:w="108" w:type="dxa"/>
            <w:bottom w:w="0" w:type="dxa"/>
            <w:right w:w="108" w:type="dxa"/>
          </w:tblCellMar>
        </w:tblPrEx>
        <w:trPr>
          <w:trHeight w:val="308" w:hRule="atLeast"/>
        </w:trPr>
        <w:tc>
          <w:tcPr>
            <w:tcW w:w="9060" w:type="dxa"/>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2.本表以“万元”为金额单位（保留两位小数）。</w:t>
            </w:r>
          </w:p>
        </w:tc>
      </w:tr>
    </w:tbl>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bidi w:val="0"/>
        <w:rPr>
          <w:lang w:val="en-US" w:eastAsia="zh-CN"/>
        </w:rPr>
      </w:pPr>
    </w:p>
    <w:p>
      <w:pPr>
        <w:bidi w:val="0"/>
        <w:rPr>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364"/>
        <w:gridCol w:w="364"/>
        <w:gridCol w:w="364"/>
        <w:gridCol w:w="3784"/>
        <w:gridCol w:w="817"/>
        <w:gridCol w:w="817"/>
        <w:gridCol w:w="480"/>
        <w:gridCol w:w="480"/>
        <w:gridCol w:w="480"/>
        <w:gridCol w:w="480"/>
        <w:gridCol w:w="630"/>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11"/>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收入决算批复表</w:t>
            </w:r>
          </w:p>
        </w:tc>
      </w:tr>
      <w:tr>
        <w:tblPrEx>
          <w:tblLayout w:type="fixed"/>
          <w:tblCellMar>
            <w:top w:w="0" w:type="dxa"/>
            <w:left w:w="108" w:type="dxa"/>
            <w:bottom w:w="0" w:type="dxa"/>
            <w:right w:w="108" w:type="dxa"/>
          </w:tblCellMar>
        </w:tblPrEx>
        <w:trPr>
          <w:trHeight w:val="255" w:hRule="atLeast"/>
        </w:trPr>
        <w:tc>
          <w:tcPr>
            <w:tcW w:w="364"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3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78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17"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17"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8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8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590"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财决批复02表</w:t>
            </w:r>
          </w:p>
        </w:tc>
      </w:tr>
      <w:tr>
        <w:tblPrEx>
          <w:tblLayout w:type="fixed"/>
          <w:tblCellMar>
            <w:top w:w="0" w:type="dxa"/>
            <w:left w:w="108" w:type="dxa"/>
            <w:bottom w:w="0" w:type="dxa"/>
            <w:right w:w="108" w:type="dxa"/>
          </w:tblCellMar>
        </w:tblPrEx>
        <w:trPr>
          <w:trHeight w:val="255" w:hRule="atLeast"/>
        </w:trPr>
        <w:tc>
          <w:tcPr>
            <w:tcW w:w="4876" w:type="dxa"/>
            <w:gridSpan w:val="4"/>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部门：石家庄市鹿泉区建设局（汇总）</w:t>
            </w:r>
          </w:p>
        </w:tc>
        <w:tc>
          <w:tcPr>
            <w:tcW w:w="817"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17"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8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8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590"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109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378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17"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817"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48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48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48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48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63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tblPrEx>
          <w:tblLayout w:type="fixed"/>
          <w:tblCellMar>
            <w:top w:w="0" w:type="dxa"/>
            <w:left w:w="108" w:type="dxa"/>
            <w:bottom w:w="0" w:type="dxa"/>
            <w:right w:w="108" w:type="dxa"/>
          </w:tblCellMar>
        </w:tblPrEx>
        <w:trPr>
          <w:trHeight w:val="308" w:hRule="atLeast"/>
        </w:trPr>
        <w:tc>
          <w:tcPr>
            <w:tcW w:w="10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8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7"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7"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0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8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7"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7"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0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8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7"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7"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64"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36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款</w:t>
            </w:r>
          </w:p>
        </w:tc>
        <w:tc>
          <w:tcPr>
            <w:tcW w:w="36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37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817"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17"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8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8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8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48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63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Layout w:type="fixed"/>
          <w:tblCellMar>
            <w:top w:w="0" w:type="dxa"/>
            <w:left w:w="108" w:type="dxa"/>
            <w:bottom w:w="0" w:type="dxa"/>
            <w:right w:w="108" w:type="dxa"/>
          </w:tblCellMar>
        </w:tblPrEx>
        <w:trPr>
          <w:trHeight w:val="308" w:hRule="atLeast"/>
        </w:trPr>
        <w:tc>
          <w:tcPr>
            <w:tcW w:w="364"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24,357.35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24,043.27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314.07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2010303</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355.40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355.40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231.76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231.76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172.75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172.75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2080506</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机关事业单位职业年金缴费支出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59.01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59.01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123.64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123.64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123.64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123.64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158.43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158.43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158.43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158.43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139.79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139.79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大气</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17,452.85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17,138.78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314.07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城乡社区管理事务</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1,650.64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1,605.72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44.92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1,159.50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1,157.11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2.39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2120102</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253.14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210.61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42.53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2120106</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工程建设管理</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188.00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188.00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2120109</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住宅建设与房地产市场监管</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城乡社区公共设施</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2,260.87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260.87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2120303</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小城镇基础设施建设</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2,260.87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260.87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21206</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建设市场管理与监督</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1,337.81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1,329.53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8.28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2120601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建设市场管理与监督</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1,337.81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1,329.53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8.28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8,587.62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8,587.62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2120803</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城市建设支出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1,996.72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1,996.72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2120804</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农村基础设施建设支出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3,060.90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3,060.90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2120811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公共租赁住房支出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3,530.00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3,530.00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城市基础设施配套费安排的支出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城市公共设施</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污水处理费安排的支出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污水处理设施建设和运营</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其他城乡社区支出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其他城乡社区支出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1,601.07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1,601.07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保障性安居工程支出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1,400.60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1,400.60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2210105</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农村危房改造</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524.60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524.60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2210108</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老旧小区改造</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200.47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200.47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200.47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200.47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其他政府性基金及对应专项债务收入安排的支出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2290402</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其他地方自行试点项目收益专项债券收入安排的支出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抗疫特别国债安排的支出</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基础设施建设</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92"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2340107</w:t>
            </w:r>
          </w:p>
        </w:tc>
        <w:tc>
          <w:tcPr>
            <w:tcW w:w="37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城镇老旧小区改造</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0" w:type="dxa"/>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注：1.本表依据《收入决算表》（财决03表）进行批复。</w:t>
            </w:r>
          </w:p>
        </w:tc>
      </w:tr>
      <w:tr>
        <w:tblPrEx>
          <w:tblLayout w:type="fixed"/>
          <w:tblCellMar>
            <w:top w:w="0" w:type="dxa"/>
            <w:left w:w="108" w:type="dxa"/>
            <w:bottom w:w="0" w:type="dxa"/>
            <w:right w:w="108" w:type="dxa"/>
          </w:tblCellMar>
        </w:tblPrEx>
        <w:trPr>
          <w:trHeight w:val="308" w:hRule="atLeast"/>
        </w:trPr>
        <w:tc>
          <w:tcPr>
            <w:tcW w:w="9060" w:type="dxa"/>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2.本表含一般公共预算财政拨款、政府性基金预算财政拨款和国有资本经营预算财政拨款。</w:t>
            </w:r>
          </w:p>
        </w:tc>
      </w:tr>
      <w:tr>
        <w:tblPrEx>
          <w:tblLayout w:type="fixed"/>
          <w:tblCellMar>
            <w:top w:w="0" w:type="dxa"/>
            <w:left w:w="108" w:type="dxa"/>
            <w:bottom w:w="0" w:type="dxa"/>
            <w:right w:w="108" w:type="dxa"/>
          </w:tblCellMar>
        </w:tblPrEx>
        <w:trPr>
          <w:trHeight w:val="308" w:hRule="atLeast"/>
        </w:trPr>
        <w:tc>
          <w:tcPr>
            <w:tcW w:w="9060" w:type="dxa"/>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3.本表批复到项级科目。</w:t>
            </w:r>
          </w:p>
        </w:tc>
      </w:tr>
      <w:tr>
        <w:tblPrEx>
          <w:tblLayout w:type="fixed"/>
          <w:tblCellMar>
            <w:top w:w="0" w:type="dxa"/>
            <w:left w:w="108" w:type="dxa"/>
            <w:bottom w:w="0" w:type="dxa"/>
            <w:right w:w="108" w:type="dxa"/>
          </w:tblCellMar>
        </w:tblPrEx>
        <w:trPr>
          <w:trHeight w:val="308" w:hRule="atLeast"/>
        </w:trPr>
        <w:tc>
          <w:tcPr>
            <w:tcW w:w="9060" w:type="dxa"/>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4.本表以“万元”为金额单位（保留两位小数）。</w:t>
            </w:r>
          </w:p>
        </w:tc>
      </w:tr>
    </w:tbl>
    <w:p>
      <w:pPr>
        <w:pStyle w:val="2"/>
        <w:rPr>
          <w:rFonts w:hint="eastAsia"/>
          <w:lang w:val="en-US" w:eastAsia="zh-CN"/>
        </w:rPr>
      </w:pPr>
    </w:p>
    <w:p>
      <w:pPr>
        <w:pStyle w:val="2"/>
        <w:rPr>
          <w:rFonts w:hint="eastAsia"/>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373"/>
        <w:gridCol w:w="373"/>
        <w:gridCol w:w="373"/>
        <w:gridCol w:w="3984"/>
        <w:gridCol w:w="851"/>
        <w:gridCol w:w="772"/>
        <w:gridCol w:w="851"/>
        <w:gridCol w:w="494"/>
        <w:gridCol w:w="494"/>
        <w:gridCol w:w="495"/>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10"/>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支出决算批复表</w:t>
            </w:r>
          </w:p>
        </w:tc>
      </w:tr>
      <w:tr>
        <w:tblPrEx>
          <w:tblLayout w:type="fixed"/>
          <w:tblCellMar>
            <w:top w:w="0" w:type="dxa"/>
            <w:left w:w="108" w:type="dxa"/>
            <w:bottom w:w="0" w:type="dxa"/>
            <w:right w:w="108" w:type="dxa"/>
          </w:tblCellMar>
        </w:tblPrEx>
        <w:trPr>
          <w:trHeight w:val="255" w:hRule="atLeast"/>
        </w:trPr>
        <w:tc>
          <w:tcPr>
            <w:tcW w:w="373"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37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7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98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5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77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5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483"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财决批复03表</w:t>
            </w:r>
          </w:p>
        </w:tc>
      </w:tr>
      <w:tr>
        <w:tblPrEx>
          <w:tblLayout w:type="fixed"/>
          <w:tblCellMar>
            <w:top w:w="0" w:type="dxa"/>
            <w:left w:w="108" w:type="dxa"/>
            <w:bottom w:w="0" w:type="dxa"/>
            <w:right w:w="108" w:type="dxa"/>
          </w:tblCellMar>
        </w:tblPrEx>
        <w:trPr>
          <w:trHeight w:val="255" w:hRule="atLeast"/>
        </w:trPr>
        <w:tc>
          <w:tcPr>
            <w:tcW w:w="5103" w:type="dxa"/>
            <w:gridSpan w:val="4"/>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部门：石家庄市鹿泉区建设局（汇总）</w:t>
            </w:r>
          </w:p>
        </w:tc>
        <w:tc>
          <w:tcPr>
            <w:tcW w:w="85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77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334" w:type="dxa"/>
            <w:gridSpan w:val="4"/>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111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398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51"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851"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49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49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49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Layout w:type="fixed"/>
          <w:tblCellMar>
            <w:top w:w="0" w:type="dxa"/>
            <w:left w:w="108" w:type="dxa"/>
            <w:bottom w:w="0" w:type="dxa"/>
            <w:right w:w="108" w:type="dxa"/>
          </w:tblCellMar>
        </w:tblPrEx>
        <w:trPr>
          <w:trHeight w:val="308" w:hRule="atLeast"/>
        </w:trPr>
        <w:tc>
          <w:tcPr>
            <w:tcW w:w="111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8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51"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51"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11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8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51"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51"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11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8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51"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51"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73"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37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款</w:t>
            </w:r>
          </w:p>
        </w:tc>
        <w:tc>
          <w:tcPr>
            <w:tcW w:w="37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39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85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772"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5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94"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94"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495"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Layout w:type="fixed"/>
          <w:tblCellMar>
            <w:top w:w="0" w:type="dxa"/>
            <w:left w:w="108" w:type="dxa"/>
            <w:bottom w:w="0" w:type="dxa"/>
            <w:right w:w="108" w:type="dxa"/>
          </w:tblCellMar>
        </w:tblPrEx>
        <w:trPr>
          <w:trHeight w:val="308" w:hRule="atLeast"/>
        </w:trPr>
        <w:tc>
          <w:tcPr>
            <w:tcW w:w="373"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23,777.65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2,998.40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20,779.25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2010303</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364.94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281.85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83.09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241.30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241.30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183.06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183.06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2080506</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机关事业单位职业年金缴费支出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58.24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58.24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123.64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40.55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83.09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123.64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40.55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83.09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163.06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163.06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163.06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163.06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24.16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24.16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138.90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138.90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大气</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13,265.66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2,343.29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10,922.36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城乡社区管理事务</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1,664.96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1,205.18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459.78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1,174.56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1,174.56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2120102</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252.40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30.62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221.78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2120106</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工程建设管理</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188.00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188.00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2120109</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住宅建设与房地产市场监管</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城乡社区公共设施</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2,156.83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1.22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2,155.61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2120303</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小城镇基础设施建设</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2,156.83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1.22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2,155.61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21206</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建设市场管理与监督</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1,354.18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1,136.89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217.28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2120601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建设市场管理与监督</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1,354.18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1,136.89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217.28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4,473.79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4,473.79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2120803</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城市建设支出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1,703.38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1,703.38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2120804</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农村基础设施建设支出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2,713.50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2,713.50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2120811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公共租赁住房支出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56.90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56.90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城市基础设施配套费安排的支出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城市公共设施</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污水处理费安排的支出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污水处理设施建设和运营</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其他城乡社区支出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其他城乡社区支出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1,106.40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198.20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保障性安居工程支出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2210105</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农村危房改造</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32.20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32.20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2210108</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老旧小区改造</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198.20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198.20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198.20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198.20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其他政府性基金及对应专项债务收入安排的支出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2290402</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其他地方自行试点项目收益专项债券收入安排的支出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抗疫特别国债安排的支出</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基础设施建设</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2340107</w:t>
            </w:r>
          </w:p>
        </w:tc>
        <w:tc>
          <w:tcPr>
            <w:tcW w:w="3984"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城镇老旧小区改造</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注：1.本表依据《支出决算表》（财决04表）进行批复。</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2.本表含一般公共预算财政拨款、政府性基金预算财政拨款和国有资本经营预算财政拨款。</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3.本表批复到项级科目。</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4.本表以“万元”为金额单位（保留两位小数）。</w:t>
            </w:r>
          </w:p>
        </w:tc>
      </w:tr>
    </w:tbl>
    <w:p>
      <w:pPr>
        <w:pStyle w:val="2"/>
        <w:rPr>
          <w:rFonts w:hint="eastAsia"/>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2145"/>
        <w:gridCol w:w="364"/>
        <w:gridCol w:w="816"/>
        <w:gridCol w:w="2442"/>
        <w:gridCol w:w="364"/>
        <w:gridCol w:w="816"/>
        <w:gridCol w:w="816"/>
        <w:gridCol w:w="817"/>
        <w:gridCol w:w="480"/>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9"/>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财政拨款收入支出决算批复表</w:t>
            </w:r>
          </w:p>
        </w:tc>
      </w:tr>
      <w:tr>
        <w:tblPrEx>
          <w:tblLayout w:type="fixed"/>
          <w:tblCellMar>
            <w:top w:w="0" w:type="dxa"/>
            <w:left w:w="108" w:type="dxa"/>
            <w:bottom w:w="0" w:type="dxa"/>
            <w:right w:w="108" w:type="dxa"/>
          </w:tblCellMar>
        </w:tblPrEx>
        <w:trPr>
          <w:trHeight w:val="255" w:hRule="atLeast"/>
        </w:trPr>
        <w:tc>
          <w:tcPr>
            <w:tcW w:w="2145"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3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113"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财决批复04表</w:t>
            </w:r>
          </w:p>
        </w:tc>
      </w:tr>
      <w:tr>
        <w:tblPrEx>
          <w:tblLayout w:type="fixed"/>
          <w:tblCellMar>
            <w:top w:w="0" w:type="dxa"/>
            <w:left w:w="108" w:type="dxa"/>
            <w:bottom w:w="0" w:type="dxa"/>
            <w:right w:w="108" w:type="dxa"/>
          </w:tblCellMar>
        </w:tblPrEx>
        <w:trPr>
          <w:trHeight w:val="255" w:hRule="atLeast"/>
        </w:trPr>
        <w:tc>
          <w:tcPr>
            <w:tcW w:w="3325" w:type="dxa"/>
            <w:gridSpan w:val="3"/>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部门：石家庄市鹿泉区建设局（汇总）</w:t>
            </w:r>
          </w:p>
        </w:tc>
        <w:tc>
          <w:tcPr>
            <w:tcW w:w="244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113"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33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     入</w:t>
            </w:r>
          </w:p>
        </w:tc>
        <w:tc>
          <w:tcPr>
            <w:tcW w:w="5735" w:type="dxa"/>
            <w:gridSpan w:val="6"/>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     出</w:t>
            </w:r>
          </w:p>
        </w:tc>
      </w:tr>
      <w:tr>
        <w:tblPrEx>
          <w:tblLayout w:type="fixed"/>
          <w:tblCellMar>
            <w:top w:w="0" w:type="dxa"/>
            <w:left w:w="108" w:type="dxa"/>
            <w:bottom w:w="0" w:type="dxa"/>
            <w:right w:w="108" w:type="dxa"/>
          </w:tblCellMar>
        </w:tblPrEx>
        <w:trPr>
          <w:trHeight w:val="292" w:hRule="atLeast"/>
        </w:trPr>
        <w:tc>
          <w:tcPr>
            <w:tcW w:w="2145"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6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81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244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6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81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1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817"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48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Layout w:type="fixed"/>
          <w:tblCellMar>
            <w:top w:w="0" w:type="dxa"/>
            <w:left w:w="108" w:type="dxa"/>
            <w:bottom w:w="0" w:type="dxa"/>
            <w:right w:w="108" w:type="dxa"/>
          </w:tblCellMar>
        </w:tblPrEx>
        <w:trPr>
          <w:trHeight w:val="615" w:hRule="atLeast"/>
        </w:trPr>
        <w:tc>
          <w:tcPr>
            <w:tcW w:w="2145"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44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64" w:type="dxa"/>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6"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64" w:type="dxa"/>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6"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16"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17"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8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10,652.74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13,390.53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364.94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364.94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163.06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163.06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12,953.97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5,024.27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7,929.70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1,106.40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1,106.40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24,043.27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23,465.97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14,189.27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9,276.70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4,192.97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4,770.28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624.85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4,161.37 </w:t>
            </w:r>
          </w:p>
        </w:tc>
        <w:tc>
          <w:tcPr>
            <w:tcW w:w="2442"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2442"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2442"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364" w:type="dxa"/>
            <w:tcBorders>
              <w:top w:val="nil"/>
              <w:left w:val="nil"/>
              <w:bottom w:val="single" w:color="000000" w:sz="8"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28,236.25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28,236.25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14,814.11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13,422.13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8580" w:type="dxa"/>
            <w:gridSpan w:val="8"/>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注：1.本表依据《财政拨款收入支出决算总表》（财决01-1表）进行批复。</w:t>
            </w:r>
          </w:p>
        </w:tc>
        <w:tc>
          <w:tcPr>
            <w:tcW w:w="480" w:type="dxa"/>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8580" w:type="dxa"/>
            <w:gridSpan w:val="8"/>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2.本表以“万元”为金额单位（保留两位小数）。</w:t>
            </w:r>
          </w:p>
        </w:tc>
        <w:tc>
          <w:tcPr>
            <w:tcW w:w="480" w:type="dxa"/>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20"/>
                <w:szCs w:val="20"/>
                <w:u w:val="none"/>
              </w:rPr>
            </w:pPr>
          </w:p>
        </w:tc>
      </w:tr>
    </w:tbl>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303"/>
        <w:gridCol w:w="303"/>
        <w:gridCol w:w="303"/>
        <w:gridCol w:w="1700"/>
        <w:gridCol w:w="525"/>
        <w:gridCol w:w="415"/>
        <w:gridCol w:w="525"/>
        <w:gridCol w:w="569"/>
        <w:gridCol w:w="525"/>
        <w:gridCol w:w="525"/>
        <w:gridCol w:w="569"/>
        <w:gridCol w:w="525"/>
        <w:gridCol w:w="569"/>
        <w:gridCol w:w="459"/>
        <w:gridCol w:w="415"/>
        <w:gridCol w:w="459"/>
        <w:gridCol w:w="371"/>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17"/>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一般公共预算财政拨款收入支出决算批复表</w:t>
            </w:r>
          </w:p>
        </w:tc>
      </w:tr>
      <w:tr>
        <w:tblPrEx>
          <w:tblLayout w:type="fixed"/>
          <w:tblCellMar>
            <w:top w:w="0" w:type="dxa"/>
            <w:left w:w="108" w:type="dxa"/>
            <w:bottom w:w="0" w:type="dxa"/>
            <w:right w:w="108" w:type="dxa"/>
          </w:tblCellMar>
        </w:tblPrEx>
        <w:trPr>
          <w:trHeight w:val="255" w:hRule="atLeast"/>
        </w:trPr>
        <w:tc>
          <w:tcPr>
            <w:tcW w:w="303"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30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0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70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1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6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6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6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704" w:type="dxa"/>
            <w:gridSpan w:val="4"/>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财决批复05表</w:t>
            </w:r>
          </w:p>
        </w:tc>
      </w:tr>
      <w:tr>
        <w:tblPrEx>
          <w:tblLayout w:type="fixed"/>
          <w:tblCellMar>
            <w:top w:w="0" w:type="dxa"/>
            <w:left w:w="108" w:type="dxa"/>
            <w:bottom w:w="0" w:type="dxa"/>
            <w:right w:w="108" w:type="dxa"/>
          </w:tblCellMar>
        </w:tblPrEx>
        <w:trPr>
          <w:trHeight w:val="255" w:hRule="atLeast"/>
        </w:trPr>
        <w:tc>
          <w:tcPr>
            <w:tcW w:w="4074" w:type="dxa"/>
            <w:gridSpan w:val="7"/>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部门：石家庄市鹿泉区建设局（汇总）</w:t>
            </w:r>
          </w:p>
        </w:tc>
        <w:tc>
          <w:tcPr>
            <w:tcW w:w="56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6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6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704" w:type="dxa"/>
            <w:gridSpan w:val="4"/>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90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70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46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1619"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1663"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1704"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tblPrEx>
          <w:tblLayout w:type="fixed"/>
          <w:tblCellMar>
            <w:top w:w="0" w:type="dxa"/>
            <w:left w:w="108" w:type="dxa"/>
            <w:bottom w:w="0" w:type="dxa"/>
            <w:right w:w="108" w:type="dxa"/>
          </w:tblCellMar>
        </w:tblPrEx>
        <w:trPr>
          <w:trHeight w:val="308" w:hRule="atLeast"/>
        </w:trPr>
        <w:tc>
          <w:tcPr>
            <w:tcW w:w="90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0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1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基本支出结转</w:t>
            </w:r>
          </w:p>
        </w:tc>
        <w:tc>
          <w:tcPr>
            <w:tcW w:w="52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项目支出结转和结余</w:t>
            </w:r>
          </w:p>
        </w:tc>
        <w:tc>
          <w:tcPr>
            <w:tcW w:w="56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52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52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56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52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56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45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1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基本支出结转</w:t>
            </w:r>
          </w:p>
        </w:tc>
        <w:tc>
          <w:tcPr>
            <w:tcW w:w="830"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项目支出结转和结余</w:t>
            </w:r>
          </w:p>
        </w:tc>
      </w:tr>
      <w:tr>
        <w:tblPrEx>
          <w:tblLayout w:type="fixed"/>
          <w:tblCellMar>
            <w:top w:w="0" w:type="dxa"/>
            <w:left w:w="108" w:type="dxa"/>
            <w:bottom w:w="0" w:type="dxa"/>
            <w:right w:w="108" w:type="dxa"/>
          </w:tblCellMar>
        </w:tblPrEx>
        <w:trPr>
          <w:trHeight w:val="277" w:hRule="atLeast"/>
        </w:trPr>
        <w:tc>
          <w:tcPr>
            <w:tcW w:w="90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0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1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6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6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6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1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w:t>
            </w:r>
          </w:p>
        </w:tc>
        <w:tc>
          <w:tcPr>
            <w:tcW w:w="37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项目支出结余</w:t>
            </w:r>
          </w:p>
        </w:tc>
      </w:tr>
      <w:tr>
        <w:tblPrEx>
          <w:tblLayout w:type="fixed"/>
          <w:tblCellMar>
            <w:top w:w="0" w:type="dxa"/>
            <w:left w:w="108" w:type="dxa"/>
            <w:bottom w:w="0" w:type="dxa"/>
            <w:right w:w="108" w:type="dxa"/>
          </w:tblCellMar>
        </w:tblPrEx>
        <w:trPr>
          <w:trHeight w:val="615" w:hRule="atLeast"/>
        </w:trPr>
        <w:tc>
          <w:tcPr>
            <w:tcW w:w="90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0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1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6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6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6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1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03"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30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款</w:t>
            </w:r>
          </w:p>
        </w:tc>
        <w:tc>
          <w:tcPr>
            <w:tcW w:w="30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170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25"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15"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25"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6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25"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25"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56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525"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56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45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415"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45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37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r>
      <w:tr>
        <w:tblPrEx>
          <w:tblLayout w:type="fixed"/>
          <w:tblCellMar>
            <w:top w:w="0" w:type="dxa"/>
            <w:left w:w="108" w:type="dxa"/>
            <w:bottom w:w="0" w:type="dxa"/>
            <w:right w:w="108" w:type="dxa"/>
          </w:tblCellMar>
        </w:tblPrEx>
        <w:trPr>
          <w:trHeight w:val="308" w:hRule="atLeast"/>
        </w:trPr>
        <w:tc>
          <w:tcPr>
            <w:tcW w:w="303"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4,161.37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72.98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4,088.40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10,652.74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2,920.84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7,731.90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14,189.27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2,967.78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11,221.49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624.85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26.04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598.81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2010303</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18.28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18.28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355.40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272.31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83.09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364.94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281.85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83.09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8.74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8.74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18.28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18.28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231.76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231.76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241.30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241.30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8.74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8.74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17.54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17.54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172.75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172.75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183.06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183.06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7.23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7.23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2080506</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机关事业单位职业年金缴费支出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0.74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0.74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59.01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59.01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58.24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58.24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1.51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1.51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123.64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40.55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83.09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123.64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40.55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83.09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123.64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40.55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83.09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123.64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40.55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83.09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7.09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7.09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158.43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158.43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163.06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163.06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2.47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2.47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7.09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7.09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158.43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158.43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163.06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163.06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2.47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2.47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6.67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6.67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24.16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24.16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0.43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0.43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139.79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139.79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138.90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138.90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1.32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1.32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大气</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46.24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45.85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5,095.25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2,277.63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2,817.61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5,024.27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2,312.67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2,711.60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117.21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10.81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106.41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城乡社区管理事务</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17.46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1,605.72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1,157.11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448.61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1,622.43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1,174.56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447.87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0.74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0.74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17.46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1,157.11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1,157.11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1,174.56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1,174.56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2120102</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210.61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210.61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209.87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209.87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0.74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0.74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2120106</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工程建设管理</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188.00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188.00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188.00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188.00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2120109</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住宅建设与房地产市场监管</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城乡社区公共设施</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1.61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1.22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1,895.96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1.22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1,894.74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105.66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105.66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2120303</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小城镇基础设施建设</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1.61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1.22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1,895.96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1.22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1,894.74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105.66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105.66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21206</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建设市场管理与监督</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27.17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1,329.53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1,120.53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1,345.89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1,136.89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10.81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10.81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2120601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建设市场管理与监督</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27.17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1,329.53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1,120.53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1,345.89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1,136.89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10.81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10.81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0.01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0.01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2129901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0.01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0.01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1.76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1,601.07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200.47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1,400.60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1,106.40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198.20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496.43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4.03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492.40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保障性安居工程支出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1,400.60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1,400.60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492.40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492.40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2210105</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农村危房改造</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524.60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524.60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32.20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32.20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492.40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492.40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2210108</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老旧小区改造</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1.76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200.47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200.47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198.20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198.20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4.03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4.03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170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1.76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1.76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200.47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200.47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198.20 </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198.20 </w:t>
            </w:r>
          </w:p>
        </w:tc>
        <w:tc>
          <w:tcPr>
            <w:tcW w:w="5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4.03 </w:t>
            </w:r>
          </w:p>
        </w:tc>
        <w:tc>
          <w:tcPr>
            <w:tcW w:w="41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4.03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注：1.本表依据《一般公共预算财政拨款收入支出决算表》（财决07表）进行批复。</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2.本表批复到项级科目。</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3.本表以“万元”为金额单位（保留两位小数）。</w:t>
            </w:r>
          </w:p>
        </w:tc>
      </w:tr>
    </w:tbl>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509"/>
        <w:gridCol w:w="1976"/>
        <w:gridCol w:w="632"/>
        <w:gridCol w:w="510"/>
        <w:gridCol w:w="1390"/>
        <w:gridCol w:w="543"/>
        <w:gridCol w:w="510"/>
        <w:gridCol w:w="2447"/>
        <w:gridCol w:w="543"/>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9"/>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一般公共预算财政拨款基本支出决算批复表</w:t>
            </w:r>
          </w:p>
        </w:tc>
      </w:tr>
      <w:tr>
        <w:tblPrEx>
          <w:tblLayout w:type="fixed"/>
          <w:tblCellMar>
            <w:top w:w="0" w:type="dxa"/>
            <w:left w:w="108" w:type="dxa"/>
            <w:bottom w:w="0" w:type="dxa"/>
            <w:right w:w="108" w:type="dxa"/>
          </w:tblCellMar>
        </w:tblPrEx>
        <w:trPr>
          <w:trHeight w:val="285" w:hRule="atLeast"/>
        </w:trPr>
        <w:tc>
          <w:tcPr>
            <w:tcW w:w="509"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1976"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63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1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39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1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990" w:type="dxa"/>
            <w:gridSpan w:val="2"/>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财决批复06表</w:t>
            </w:r>
          </w:p>
        </w:tc>
      </w:tr>
      <w:tr>
        <w:tblPrEx>
          <w:tblLayout w:type="fixed"/>
          <w:tblCellMar>
            <w:top w:w="0" w:type="dxa"/>
            <w:left w:w="108" w:type="dxa"/>
            <w:bottom w:w="0" w:type="dxa"/>
            <w:right w:w="108" w:type="dxa"/>
          </w:tblCellMar>
        </w:tblPrEx>
        <w:trPr>
          <w:trHeight w:val="255" w:hRule="atLeast"/>
        </w:trPr>
        <w:tc>
          <w:tcPr>
            <w:tcW w:w="3627" w:type="dxa"/>
            <w:gridSpan w:val="4"/>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部门：石家庄市鹿泉区建设局（汇总）</w:t>
            </w:r>
          </w:p>
        </w:tc>
        <w:tc>
          <w:tcPr>
            <w:tcW w:w="139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1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990" w:type="dxa"/>
            <w:gridSpan w:val="2"/>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311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5943" w:type="dxa"/>
            <w:gridSpan w:val="6"/>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Layout w:type="fixed"/>
          <w:tblCellMar>
            <w:top w:w="0" w:type="dxa"/>
            <w:left w:w="108" w:type="dxa"/>
            <w:bottom w:w="0" w:type="dxa"/>
            <w:right w:w="108" w:type="dxa"/>
          </w:tblCellMar>
        </w:tblPrEx>
        <w:trPr>
          <w:trHeight w:val="308" w:hRule="atLeast"/>
        </w:trPr>
        <w:tc>
          <w:tcPr>
            <w:tcW w:w="509"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97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63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51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39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54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51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447"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54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tblPrEx>
          <w:tblLayout w:type="fixed"/>
          <w:tblCellMar>
            <w:top w:w="0" w:type="dxa"/>
            <w:left w:w="108" w:type="dxa"/>
            <w:bottom w:w="0" w:type="dxa"/>
            <w:right w:w="108" w:type="dxa"/>
          </w:tblCellMar>
        </w:tblPrEx>
        <w:trPr>
          <w:trHeight w:val="308" w:hRule="atLeast"/>
        </w:trPr>
        <w:tc>
          <w:tcPr>
            <w:tcW w:w="509"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7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3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1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9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1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44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工资福利支出</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2,330.81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商品和服务支出</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590.08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债务利息及费用支出</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30101</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基本工资</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556.71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30201</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40.76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30701</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国内债务付息</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30102</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津贴补贴</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162.86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30202</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印刷费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0.20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30702</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国外债务付息</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30103</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奖金</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584.81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30203</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咨询费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资本性支出</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30106</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伙食补助费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30204</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手续费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31001</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房屋建筑物购建</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30107</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绩效工资</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433.83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30205</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3.11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31002</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办公设备购置</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30108</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167.50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30206</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电费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16.17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31003</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专用设备购置</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30109</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职业年金缴费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62.81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30207</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邮电费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68.74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31005</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基础设施建设</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30110</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职工基本医疗保险缴费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152.04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30208</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取暖费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31006</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大型修缮</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30111</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公务员医疗补助缴费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30209</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物业管理费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4.56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31007</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信息网络及软件购置更新</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30112</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其他社会保障缴费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9.64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30211</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差旅费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2.16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31008</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物资储备</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30113</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200.61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30212</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因公出国（境）费用</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31009</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土地补偿</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30114</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30213</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维修（护）费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19.36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31010</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安置补助</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30199</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其他工资福利支出</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30214</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租赁费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31011</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地上附着物和青苗补偿</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对个人和家庭的补助</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34.89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30215</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会议费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31012</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拆迁补偿</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30301</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离休费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21.19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30216</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培训费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31013</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公务用车购置</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11.99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30302</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退休费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7.24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30217</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公务接待费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31019</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其他交通工具购置</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30303</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退职（役）费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30218</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专用材料费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31021</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文物和陈列品购置</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30304</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抚恤金</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30224</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被装购置费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31022</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无形资产购置</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30305</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生活补助</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6.41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30225</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专用燃料费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31099</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其他资本性支出</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30306</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救济费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30226</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劳务费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40.56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30307</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医疗费补助</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30227</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委托业务费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324.74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39906</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赠与</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30308</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助学金</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30228</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工会经费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12.88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39907</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国家赔偿费用支出</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30309</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奖励金</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0.07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30229</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14.55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39908</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对民间非营利组织和群众性自治组织补贴</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30310</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个人农业生产补贴</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30231</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公务用车运行维护费</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17.68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39999</w:t>
            </w:r>
          </w:p>
        </w:tc>
        <w:tc>
          <w:tcPr>
            <w:tcW w:w="2447"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其他支出</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30311</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代缴社会保险费</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30239</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其他交通费用</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13.27 </w:t>
            </w:r>
          </w:p>
        </w:tc>
        <w:tc>
          <w:tcPr>
            <w:tcW w:w="51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447" w:type="dxa"/>
            <w:tcBorders>
              <w:top w:val="nil"/>
              <w:left w:val="nil"/>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30399</w:t>
            </w:r>
          </w:p>
        </w:tc>
        <w:tc>
          <w:tcPr>
            <w:tcW w:w="19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其他对个人和家庭的补助</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30240</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税金及附加费用</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1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447" w:type="dxa"/>
            <w:tcBorders>
              <w:top w:val="nil"/>
              <w:left w:val="nil"/>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50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976" w:type="dxa"/>
            <w:tcBorders>
              <w:top w:val="nil"/>
              <w:left w:val="nil"/>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5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30299</w:t>
            </w:r>
          </w:p>
        </w:tc>
        <w:tc>
          <w:tcPr>
            <w:tcW w:w="139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其他商品和服务支出</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11.35 </w:t>
            </w:r>
          </w:p>
        </w:tc>
        <w:tc>
          <w:tcPr>
            <w:tcW w:w="51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447" w:type="dxa"/>
            <w:tcBorders>
              <w:top w:val="nil"/>
              <w:left w:val="nil"/>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2485"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人员经费合计</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2,365.70 </w:t>
            </w:r>
          </w:p>
        </w:tc>
        <w:tc>
          <w:tcPr>
            <w:tcW w:w="5400" w:type="dxa"/>
            <w:gridSpan w:val="5"/>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公用经费合计</w:t>
            </w:r>
          </w:p>
        </w:tc>
        <w:tc>
          <w:tcPr>
            <w:tcW w:w="54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602.08 </w:t>
            </w:r>
          </w:p>
        </w:tc>
      </w:tr>
      <w:tr>
        <w:tblPrEx>
          <w:tblLayout w:type="fixed"/>
          <w:tblCellMar>
            <w:top w:w="0" w:type="dxa"/>
            <w:left w:w="108" w:type="dxa"/>
            <w:bottom w:w="0" w:type="dxa"/>
            <w:right w:w="108" w:type="dxa"/>
          </w:tblCellMar>
        </w:tblPrEx>
        <w:trPr>
          <w:trHeight w:val="308" w:hRule="atLeast"/>
        </w:trPr>
        <w:tc>
          <w:tcPr>
            <w:tcW w:w="9060"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注：1.本表依据《一般公共预算财政拨款基本支出决算明细表》（财决08-1表）进行批复。</w:t>
            </w:r>
          </w:p>
        </w:tc>
      </w:tr>
      <w:tr>
        <w:tblPrEx>
          <w:tblLayout w:type="fixed"/>
          <w:tblCellMar>
            <w:top w:w="0" w:type="dxa"/>
            <w:left w:w="108" w:type="dxa"/>
            <w:bottom w:w="0" w:type="dxa"/>
            <w:right w:w="108" w:type="dxa"/>
          </w:tblCellMar>
        </w:tblPrEx>
        <w:trPr>
          <w:trHeight w:val="308" w:hRule="atLeast"/>
        </w:trPr>
        <w:tc>
          <w:tcPr>
            <w:tcW w:w="9060"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2.本表以“万元”为金额单位（保留两位小数）。</w:t>
            </w:r>
          </w:p>
        </w:tc>
      </w:tr>
    </w:tbl>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1294"/>
        <w:gridCol w:w="284"/>
        <w:gridCol w:w="288"/>
        <w:gridCol w:w="1892"/>
        <w:gridCol w:w="373"/>
        <w:gridCol w:w="339"/>
        <w:gridCol w:w="377"/>
        <w:gridCol w:w="498"/>
        <w:gridCol w:w="339"/>
        <w:gridCol w:w="500"/>
        <w:gridCol w:w="462"/>
        <w:gridCol w:w="339"/>
        <w:gridCol w:w="464"/>
        <w:gridCol w:w="462"/>
        <w:gridCol w:w="339"/>
        <w:gridCol w:w="462"/>
        <w:gridCol w:w="348"/>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17"/>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政府性基金预算财政拨款收入支出决算批复表</w:t>
            </w:r>
          </w:p>
        </w:tc>
      </w:tr>
      <w:tr>
        <w:tblPrEx>
          <w:tblLayout w:type="fixed"/>
          <w:tblCellMar>
            <w:top w:w="0" w:type="dxa"/>
            <w:left w:w="108" w:type="dxa"/>
            <w:bottom w:w="0" w:type="dxa"/>
            <w:right w:w="108" w:type="dxa"/>
          </w:tblCellMar>
        </w:tblPrEx>
        <w:trPr>
          <w:trHeight w:val="255" w:hRule="atLeast"/>
        </w:trPr>
        <w:tc>
          <w:tcPr>
            <w:tcW w:w="1294"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28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8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89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7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3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77"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9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3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0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6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3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611" w:type="dxa"/>
            <w:gridSpan w:val="4"/>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财决批复07表</w:t>
            </w:r>
          </w:p>
        </w:tc>
      </w:tr>
      <w:tr>
        <w:tblPrEx>
          <w:tblLayout w:type="fixed"/>
          <w:tblCellMar>
            <w:top w:w="0" w:type="dxa"/>
            <w:left w:w="108" w:type="dxa"/>
            <w:bottom w:w="0" w:type="dxa"/>
            <w:right w:w="108" w:type="dxa"/>
          </w:tblCellMar>
        </w:tblPrEx>
        <w:trPr>
          <w:trHeight w:val="255" w:hRule="atLeast"/>
        </w:trPr>
        <w:tc>
          <w:tcPr>
            <w:tcW w:w="4131" w:type="dxa"/>
            <w:gridSpan w:val="5"/>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部门：石家庄市鹿泉区建设局（汇总）</w:t>
            </w:r>
          </w:p>
        </w:tc>
        <w:tc>
          <w:tcPr>
            <w:tcW w:w="33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77"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9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3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0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6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3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611" w:type="dxa"/>
            <w:gridSpan w:val="4"/>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186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892"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089"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1337"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126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1611"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tblPrEx>
          <w:tblLayout w:type="fixed"/>
          <w:tblCellMar>
            <w:top w:w="0" w:type="dxa"/>
            <w:left w:w="108" w:type="dxa"/>
            <w:bottom w:w="0" w:type="dxa"/>
            <w:right w:w="108" w:type="dxa"/>
          </w:tblCellMar>
        </w:tblPrEx>
        <w:trPr>
          <w:trHeight w:val="308" w:hRule="atLeast"/>
        </w:trPr>
        <w:tc>
          <w:tcPr>
            <w:tcW w:w="186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89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3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基本支出结转</w:t>
            </w:r>
          </w:p>
        </w:tc>
        <w:tc>
          <w:tcPr>
            <w:tcW w:w="377"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项目支出结转和结余</w:t>
            </w:r>
          </w:p>
        </w:tc>
        <w:tc>
          <w:tcPr>
            <w:tcW w:w="498"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3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50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46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3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46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46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3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基本支出结转</w:t>
            </w:r>
          </w:p>
        </w:tc>
        <w:tc>
          <w:tcPr>
            <w:tcW w:w="810"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项目支出结转和结余</w:t>
            </w:r>
          </w:p>
        </w:tc>
      </w:tr>
      <w:tr>
        <w:tblPrEx>
          <w:tblLayout w:type="fixed"/>
          <w:tblCellMar>
            <w:top w:w="0" w:type="dxa"/>
            <w:left w:w="108" w:type="dxa"/>
            <w:bottom w:w="0" w:type="dxa"/>
            <w:right w:w="108" w:type="dxa"/>
          </w:tblCellMar>
        </w:tblPrEx>
        <w:trPr>
          <w:trHeight w:val="308" w:hRule="atLeast"/>
        </w:trPr>
        <w:tc>
          <w:tcPr>
            <w:tcW w:w="186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89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0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6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6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6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w:t>
            </w:r>
          </w:p>
        </w:tc>
        <w:tc>
          <w:tcPr>
            <w:tcW w:w="348"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项目支出结余</w:t>
            </w:r>
          </w:p>
        </w:tc>
      </w:tr>
      <w:tr>
        <w:tblPrEx>
          <w:tblLayout w:type="fixed"/>
          <w:tblCellMar>
            <w:top w:w="0" w:type="dxa"/>
            <w:left w:w="108" w:type="dxa"/>
            <w:bottom w:w="0" w:type="dxa"/>
            <w:right w:w="108" w:type="dxa"/>
          </w:tblCellMar>
        </w:tblPrEx>
        <w:trPr>
          <w:trHeight w:val="615" w:hRule="atLeast"/>
        </w:trPr>
        <w:tc>
          <w:tcPr>
            <w:tcW w:w="186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89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0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6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6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3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6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4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294"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28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款</w:t>
            </w:r>
          </w:p>
        </w:tc>
        <w:tc>
          <w:tcPr>
            <w:tcW w:w="288"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189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73"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3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77"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98"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3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0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462"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33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464"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462"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33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462"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348"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r>
      <w:tr>
        <w:tblPrEx>
          <w:tblLayout w:type="fixed"/>
          <w:tblCellMar>
            <w:top w:w="0" w:type="dxa"/>
            <w:left w:w="108" w:type="dxa"/>
            <w:bottom w:w="0" w:type="dxa"/>
            <w:right w:w="108" w:type="dxa"/>
          </w:tblCellMar>
        </w:tblPrEx>
        <w:trPr>
          <w:trHeight w:val="308" w:hRule="atLeast"/>
        </w:trPr>
        <w:tc>
          <w:tcPr>
            <w:tcW w:w="1294"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8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8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13,390.53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13,390.53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9,276.70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9,276.70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12,043.53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12,043.53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7,929.70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7,929.70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8,587.62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8,587.62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4,473.79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4,473.79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2120803</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城市建设支出</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1,996.72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1,996.72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1,703.38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1,703.38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324.93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324.93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2120804</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农村基础设施建设支出</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3,060.90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3,060.90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2,713.50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2,713.50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347.40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347.40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2120811</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公共租赁住房支出</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3,530.00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3,530.00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56.90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56.90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3,473.10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3,473.10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城市基础设施配套费安排的支出</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2121301</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城市公共设施</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污水处理费安排的支出</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2121401</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污水处理设施建设和运营</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其他政府性基金及对应专项债务收入安排的支出</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2290402</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其他地方自行试点项目收益专项债券收入安排的支出</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抗疫特别国债安排的支出</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基础设施建设</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86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2340107</w:t>
            </w:r>
          </w:p>
        </w:tc>
        <w:tc>
          <w:tcPr>
            <w:tcW w:w="1892"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城镇老旧小区改造</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3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4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注：1.本表依据《政府性基金预算财政拨款收入支出决算表》（财决09表）进行批复。</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2.本表批复到项级科目。</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3.本表以“万元”为金额单位（保留两位小数）。</w:t>
            </w:r>
          </w:p>
        </w:tc>
      </w:tr>
    </w:tbl>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2985"/>
        <w:gridCol w:w="431"/>
        <w:gridCol w:w="431"/>
        <w:gridCol w:w="883"/>
        <w:gridCol w:w="549"/>
        <w:gridCol w:w="549"/>
        <w:gridCol w:w="549"/>
        <w:gridCol w:w="549"/>
        <w:gridCol w:w="549"/>
        <w:gridCol w:w="1585"/>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10"/>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国有资本经营预算财政拨款收入支出决算批复表</w:t>
            </w:r>
          </w:p>
        </w:tc>
      </w:tr>
      <w:tr>
        <w:tblPrEx>
          <w:tblLayout w:type="fixed"/>
          <w:tblCellMar>
            <w:top w:w="0" w:type="dxa"/>
            <w:left w:w="108" w:type="dxa"/>
            <w:bottom w:w="0" w:type="dxa"/>
            <w:right w:w="108" w:type="dxa"/>
          </w:tblCellMar>
        </w:tblPrEx>
        <w:trPr>
          <w:trHeight w:val="255" w:hRule="atLeast"/>
        </w:trPr>
        <w:tc>
          <w:tcPr>
            <w:tcW w:w="2985"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43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3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8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683"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财决批复08表</w:t>
            </w:r>
          </w:p>
        </w:tc>
      </w:tr>
      <w:tr>
        <w:tblPrEx>
          <w:tblLayout w:type="fixed"/>
          <w:tblCellMar>
            <w:top w:w="0" w:type="dxa"/>
            <w:left w:w="108" w:type="dxa"/>
            <w:bottom w:w="0" w:type="dxa"/>
            <w:right w:w="108" w:type="dxa"/>
          </w:tblCellMar>
        </w:tblPrEx>
        <w:trPr>
          <w:trHeight w:val="255" w:hRule="atLeast"/>
        </w:trPr>
        <w:tc>
          <w:tcPr>
            <w:tcW w:w="3847" w:type="dxa"/>
            <w:gridSpan w:val="3"/>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部门：石家庄市鹿泉区建设局（汇总）</w:t>
            </w:r>
          </w:p>
        </w:tc>
        <w:tc>
          <w:tcPr>
            <w:tcW w:w="88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585" w:type="dxa"/>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384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883"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54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54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54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2683"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tblPrEx>
          <w:tblLayout w:type="fixed"/>
          <w:tblCellMar>
            <w:top w:w="0" w:type="dxa"/>
            <w:left w:w="108" w:type="dxa"/>
            <w:bottom w:w="0" w:type="dxa"/>
            <w:right w:w="108" w:type="dxa"/>
          </w:tblCellMar>
        </w:tblPrEx>
        <w:trPr>
          <w:trHeight w:val="308" w:hRule="atLeast"/>
        </w:trPr>
        <w:tc>
          <w:tcPr>
            <w:tcW w:w="38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8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54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结转</w:t>
            </w:r>
          </w:p>
        </w:tc>
        <w:tc>
          <w:tcPr>
            <w:tcW w:w="158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结余</w:t>
            </w:r>
          </w:p>
        </w:tc>
      </w:tr>
      <w:tr>
        <w:tblPrEx>
          <w:tblLayout w:type="fixed"/>
          <w:tblCellMar>
            <w:top w:w="0" w:type="dxa"/>
            <w:left w:w="108" w:type="dxa"/>
            <w:bottom w:w="0" w:type="dxa"/>
            <w:right w:w="108" w:type="dxa"/>
          </w:tblCellMar>
        </w:tblPrEx>
        <w:trPr>
          <w:trHeight w:val="308" w:hRule="atLeast"/>
        </w:trPr>
        <w:tc>
          <w:tcPr>
            <w:tcW w:w="38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8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58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615" w:hRule="atLeast"/>
        </w:trPr>
        <w:tc>
          <w:tcPr>
            <w:tcW w:w="384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8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58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2985"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43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款</w:t>
            </w:r>
          </w:p>
        </w:tc>
        <w:tc>
          <w:tcPr>
            <w:tcW w:w="43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88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4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4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4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4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4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5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Layout w:type="fixed"/>
          <w:tblCellMar>
            <w:top w:w="0" w:type="dxa"/>
            <w:left w:w="108" w:type="dxa"/>
            <w:bottom w:w="0" w:type="dxa"/>
            <w:right w:w="108" w:type="dxa"/>
          </w:tblCellMar>
        </w:tblPrEx>
        <w:trPr>
          <w:trHeight w:val="308" w:hRule="atLeast"/>
        </w:trPr>
        <w:tc>
          <w:tcPr>
            <w:tcW w:w="2985"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3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3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8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158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847"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883"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8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847"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883"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8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847"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883"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8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847"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883"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8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847"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883"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8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847"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883"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549"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8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注：1.本表依据《国有资本经营预算财政拨款收入支出决算表》（财决11表）进行批复。</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2.本表批复到项级科目。</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3.本表以“万元”为金额单位（保留两位小数）。</w:t>
            </w:r>
          </w:p>
        </w:tc>
      </w:tr>
    </w:tbl>
    <w:p>
      <w:pPr>
        <w:pStyle w:val="2"/>
        <w:rPr>
          <w:rFonts w:hint="eastAsia"/>
          <w:lang w:val="en-US" w:eastAsia="zh-CN"/>
        </w:rPr>
        <w:sectPr>
          <w:pgSz w:w="11906" w:h="16838"/>
          <w:pgMar w:top="2098" w:right="1531" w:bottom="1984" w:left="1531" w:header="851" w:footer="992" w:gutter="0"/>
          <w:pgNumType w:fmt="numberInDash"/>
          <w:cols w:space="0" w:num="1"/>
          <w:titlePg/>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3360"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3360;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BpHv59wAAAAPAQAADwAAAAAAAAABACAAAAAiAAAA&#10;ZHJzL2Rvd25yZXYueG1sUEsBAhQAFAAAAAgAh07iQNMsnA11AgAAwwQAAA4AAAAAAAAAAQAgAAAA&#10;KwEAAGRycy9lMm9Eb2MueG1sUEsFBgAAAAAGAAYAWQEAABIGA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Mongolian Baiti">
    <w:panose1 w:val="03000500000000000000"/>
    <w:charset w:val="00"/>
    <w:family w:val="script"/>
    <w:pitch w:val="default"/>
    <w:sig w:usb0="80000023" w:usb1="00000000" w:usb2="00020000" w:usb3="00000000" w:csb0="00000001" w:csb1="00000000"/>
  </w:font>
  <w:font w:name="方正粗黑宋简体">
    <w:panose1 w:val="02000000000000000000"/>
    <w:charset w:val="86"/>
    <w:family w:val="auto"/>
    <w:pitch w:val="default"/>
    <w:sig w:usb0="A00002BF" w:usb1="184F6CFA" w:usb2="00000012" w:usb3="00000000" w:csb0="00040001" w:csb1="00000000"/>
  </w:font>
  <w:font w:name="华文行楷">
    <w:altName w:val="微软雅黑"/>
    <w:panose1 w:val="02010800040101010101"/>
    <w:charset w:val="86"/>
    <w:family w:val="auto"/>
    <w:pitch w:val="default"/>
    <w:sig w:usb0="00000000" w:usb1="00000000" w:usb2="00000000" w:usb3="00000000" w:csb0="00040000" w:csb1="00000000"/>
  </w:font>
  <w:font w:name="华文细黑">
    <w:altName w:val="微软雅黑"/>
    <w:panose1 w:val="02010600040101010101"/>
    <w:charset w:val="86"/>
    <w:family w:val="auto"/>
    <w:pitch w:val="default"/>
    <w:sig w:usb0="00000000" w:usb1="00000000" w:usb2="00000000" w:usb3="00000000" w:csb0="0004009F" w:csb1="DFD70000"/>
  </w:font>
  <w:font w:name="隶书">
    <w:altName w:val="微软雅黑"/>
    <w:panose1 w:val="02010509060101010101"/>
    <w:charset w:val="86"/>
    <w:family w:val="auto"/>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华文中宋">
    <w:altName w:val="宋体"/>
    <w:panose1 w:val="02010600040101010101"/>
    <w:charset w:val="86"/>
    <w:family w:val="auto"/>
    <w:pitch w:val="default"/>
    <w:sig w:usb0="00000000" w:usb1="00000000" w:usb2="00000000" w:usb3="00000000" w:csb0="0004009F" w:csb1="DFD70000"/>
  </w:font>
  <w:font w:name="华文琥珀">
    <w:altName w:val="宋体"/>
    <w:panose1 w:val="02010800040101010101"/>
    <w:charset w:val="86"/>
    <w:family w:val="auto"/>
    <w:pitch w:val="default"/>
    <w:sig w:usb0="00000000" w:usb1="00000000" w:usb2="00000000" w:usb3="00000000" w:csb0="00040000" w:csb1="00000000"/>
  </w:font>
  <w:font w:name="BatangChe">
    <w:panose1 w:val="02030609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Gungsuh">
    <w:panose1 w:val="02030600000101010101"/>
    <w:charset w:val="81"/>
    <w:family w:val="auto"/>
    <w:pitch w:val="default"/>
    <w:sig w:usb0="B00002AF" w:usb1="69D77CFB" w:usb2="00000030" w:usb3="00000000" w:csb0="4008009F" w:csb1="DFD70000"/>
  </w:font>
  <w:font w:name="Microsoft JhengHei">
    <w:panose1 w:val="020B0604030504040204"/>
    <w:charset w:val="88"/>
    <w:family w:val="auto"/>
    <w:pitch w:val="default"/>
    <w:sig w:usb0="00000087" w:usb1="28AF4000" w:usb2="00000016" w:usb3="00000000" w:csb0="00100009" w:csb1="00000000"/>
  </w:font>
  <w:font w:name="Batang">
    <w:panose1 w:val="02030600000101010101"/>
    <w:charset w:val="81"/>
    <w:family w:val="auto"/>
    <w:pitch w:val="default"/>
    <w:sig w:usb0="B00002AF" w:usb1="69D77CFB" w:usb2="00000030" w:usb3="00000000" w:csb0="4008009F" w:csb1="DFD70000"/>
  </w:font>
  <w:font w:name="新宋体">
    <w:panose1 w:val="02010609030101010101"/>
    <w:charset w:val="86"/>
    <w:family w:val="auto"/>
    <w:pitch w:val="default"/>
    <w:sig w:usb0="00000003" w:usb1="288F0000" w:usb2="0000000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046CF45"/>
    <w:multiLevelType w:val="singleLevel"/>
    <w:tmpl w:val="E046CF45"/>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18668E"/>
    <w:rsid w:val="001B73D2"/>
    <w:rsid w:val="001E62BF"/>
    <w:rsid w:val="00293E7B"/>
    <w:rsid w:val="002C051F"/>
    <w:rsid w:val="002D1F4F"/>
    <w:rsid w:val="00366D90"/>
    <w:rsid w:val="003D678E"/>
    <w:rsid w:val="00801F66"/>
    <w:rsid w:val="008B172C"/>
    <w:rsid w:val="009334BF"/>
    <w:rsid w:val="00E20C3F"/>
    <w:rsid w:val="01F249EF"/>
    <w:rsid w:val="02F317A7"/>
    <w:rsid w:val="043B5A17"/>
    <w:rsid w:val="05917185"/>
    <w:rsid w:val="06202487"/>
    <w:rsid w:val="06304027"/>
    <w:rsid w:val="0721313E"/>
    <w:rsid w:val="08455A36"/>
    <w:rsid w:val="086E76C4"/>
    <w:rsid w:val="0A954FB8"/>
    <w:rsid w:val="0AA96156"/>
    <w:rsid w:val="0C330679"/>
    <w:rsid w:val="0E74280C"/>
    <w:rsid w:val="0EA325C9"/>
    <w:rsid w:val="0F293393"/>
    <w:rsid w:val="0F6A0746"/>
    <w:rsid w:val="104F5FD1"/>
    <w:rsid w:val="110F591E"/>
    <w:rsid w:val="1240198C"/>
    <w:rsid w:val="13D20423"/>
    <w:rsid w:val="153E12E4"/>
    <w:rsid w:val="15EC54DE"/>
    <w:rsid w:val="17F37C57"/>
    <w:rsid w:val="18D00DF5"/>
    <w:rsid w:val="19530E99"/>
    <w:rsid w:val="1AF50D2D"/>
    <w:rsid w:val="1AF714B4"/>
    <w:rsid w:val="1E2C6C12"/>
    <w:rsid w:val="1E4638C6"/>
    <w:rsid w:val="1EB97C90"/>
    <w:rsid w:val="1EC429A7"/>
    <w:rsid w:val="1FD61320"/>
    <w:rsid w:val="20753469"/>
    <w:rsid w:val="20B16160"/>
    <w:rsid w:val="21CF56D4"/>
    <w:rsid w:val="240547B1"/>
    <w:rsid w:val="24ED6B96"/>
    <w:rsid w:val="25E011F4"/>
    <w:rsid w:val="26DA72B0"/>
    <w:rsid w:val="2803445A"/>
    <w:rsid w:val="286A4B96"/>
    <w:rsid w:val="2B195338"/>
    <w:rsid w:val="2C977012"/>
    <w:rsid w:val="2D123A3F"/>
    <w:rsid w:val="2D4B7CD1"/>
    <w:rsid w:val="2ECF3D10"/>
    <w:rsid w:val="2EF9336E"/>
    <w:rsid w:val="2FE52ADB"/>
    <w:rsid w:val="301F5CE0"/>
    <w:rsid w:val="31B20F8E"/>
    <w:rsid w:val="326F26DD"/>
    <w:rsid w:val="32A236A9"/>
    <w:rsid w:val="340E6C3C"/>
    <w:rsid w:val="347F4DA9"/>
    <w:rsid w:val="34C45458"/>
    <w:rsid w:val="367F1CA1"/>
    <w:rsid w:val="368D19BE"/>
    <w:rsid w:val="36A02B7A"/>
    <w:rsid w:val="37E36E31"/>
    <w:rsid w:val="3AD71A3F"/>
    <w:rsid w:val="3B304753"/>
    <w:rsid w:val="3B3468F0"/>
    <w:rsid w:val="3E574316"/>
    <w:rsid w:val="3F0E00CF"/>
    <w:rsid w:val="410424CC"/>
    <w:rsid w:val="45353948"/>
    <w:rsid w:val="45A0653B"/>
    <w:rsid w:val="483112B7"/>
    <w:rsid w:val="4A4F13C4"/>
    <w:rsid w:val="4A764DE1"/>
    <w:rsid w:val="4A9C2C2A"/>
    <w:rsid w:val="4D423A73"/>
    <w:rsid w:val="4DCD0FC8"/>
    <w:rsid w:val="5015313E"/>
    <w:rsid w:val="51B46F58"/>
    <w:rsid w:val="5221629C"/>
    <w:rsid w:val="54D96658"/>
    <w:rsid w:val="550545F4"/>
    <w:rsid w:val="569433E1"/>
    <w:rsid w:val="5A321EB4"/>
    <w:rsid w:val="5B1B2C38"/>
    <w:rsid w:val="5DF70C63"/>
    <w:rsid w:val="5E0D5F94"/>
    <w:rsid w:val="6106216E"/>
    <w:rsid w:val="615A2A2A"/>
    <w:rsid w:val="62CE3501"/>
    <w:rsid w:val="62D71390"/>
    <w:rsid w:val="6367222B"/>
    <w:rsid w:val="645C366A"/>
    <w:rsid w:val="661A2B55"/>
    <w:rsid w:val="679430E3"/>
    <w:rsid w:val="6A8E034D"/>
    <w:rsid w:val="6C052891"/>
    <w:rsid w:val="6C8D4476"/>
    <w:rsid w:val="6D066EDD"/>
    <w:rsid w:val="6D5F214A"/>
    <w:rsid w:val="6DB24FCF"/>
    <w:rsid w:val="6FDE43FB"/>
    <w:rsid w:val="706B63BC"/>
    <w:rsid w:val="70A72A5A"/>
    <w:rsid w:val="70CD26D1"/>
    <w:rsid w:val="717E167C"/>
    <w:rsid w:val="72CE0EA8"/>
    <w:rsid w:val="74D310BC"/>
    <w:rsid w:val="757047D3"/>
    <w:rsid w:val="76FF0FE3"/>
    <w:rsid w:val="78E702C6"/>
    <w:rsid w:val="7A425A90"/>
    <w:rsid w:val="7A722D70"/>
    <w:rsid w:val="7C6140C6"/>
    <w:rsid w:val="7CA04A7F"/>
    <w:rsid w:val="7CDB5696"/>
    <w:rsid w:val="7D604CE8"/>
    <w:rsid w:val="7ED3247B"/>
    <w:rsid w:val="7F862E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9"/>
    <w:pPr>
      <w:keepNext/>
      <w:keepLines/>
      <w:spacing w:before="340" w:after="330" w:line="578" w:lineRule="auto"/>
      <w:outlineLvl w:val="0"/>
    </w:pPr>
    <w:rPr>
      <w:b/>
      <w:bCs/>
      <w:kern w:val="44"/>
      <w:sz w:val="44"/>
      <w:szCs w:val="44"/>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customStyle="1" w:styleId="2">
    <w:name w:val="_Style 1"/>
    <w:qFormat/>
    <w:uiPriority w:val="99"/>
    <w:pPr>
      <w:widowControl w:val="0"/>
      <w:jc w:val="both"/>
    </w:pPr>
    <w:rPr>
      <w:rFonts w:ascii="宋体" w:hAnsi="Times New Roman" w:eastAsia="宋体" w:cs="Times New Roman"/>
      <w:kern w:val="2"/>
      <w:sz w:val="32"/>
      <w:szCs w:val="22"/>
      <w:lang w:val="en-US" w:eastAsia="zh-CN" w:bidi="ar-SA"/>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3.png"/><Relationship Id="rId11" Type="http://schemas.openxmlformats.org/officeDocument/2006/relationships/image" Target="media/image2.bmp"/><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D:\&#39044;&#31639;&#12289;&#20915;&#31639;\2020\2019&#20915;&#31639;\&#20915;&#31639;&#20844;&#24320;\2019&#20915;&#31639;&#20844;&#24320;\&#39292;&#2227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D:\&#39044;&#31639;&#12289;&#20915;&#31639;\2020\2019&#20915;&#31639;\&#20915;&#31639;&#20844;&#24320;\2019&#20915;&#31639;&#20844;&#24320;\&#39292;&#22270;.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D:\&#39044;&#31639;&#12289;&#20915;&#31639;\2020\2019&#20915;&#31639;\&#20915;&#31639;&#20844;&#24320;\2019&#20915;&#31639;&#20844;&#24320;\&#39292;&#22270;.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D:\&#39044;&#31639;&#12289;&#20915;&#31639;\2020\2019&#20915;&#31639;\&#20915;&#31639;&#20844;&#24320;\2019&#20915;&#31639;&#20844;&#24320;\&#39292;&#2227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Pt>
            <c:idx val="5"/>
            <c:bubble3D val="0"/>
            <c:spPr>
              <a:solidFill>
                <a:schemeClr val="accent6"/>
              </a:solidFill>
              <a:ln>
                <a:noFill/>
              </a:ln>
              <a:effectLst>
                <a:outerShdw blurRad="254000" sx="102000" sy="102000" algn="ctr" rotWithShape="0">
                  <a:prstClr val="black">
                    <a:alpha val="20000"/>
                  </a:prstClr>
                </a:outerShdw>
              </a:effectLst>
            </c:spPr>
          </c:dPt>
          <c:dPt>
            <c:idx val="6"/>
            <c:bubble3D val="0"/>
            <c:spPr>
              <a:solidFill>
                <a:schemeClr val="accent1">
                  <a:lumMod val="60000"/>
                </a:schemeClr>
              </a:solidFill>
              <a:ln>
                <a:noFill/>
              </a:ln>
              <a:effectLst>
                <a:outerShdw blurRad="254000" sx="102000" sy="102000" algn="ctr" rotWithShape="0">
                  <a:prstClr val="black">
                    <a:alpha val="20000"/>
                  </a:prstClr>
                </a:outerShdw>
              </a:effectLst>
            </c:spPr>
          </c:dPt>
          <c:dPt>
            <c:idx val="7"/>
            <c:bubble3D val="0"/>
            <c:spPr>
              <a:solidFill>
                <a:schemeClr val="accent2">
                  <a:lumMod val="60000"/>
                </a:schemeClr>
              </a:solidFill>
              <a:ln>
                <a:noFill/>
              </a:ln>
              <a:effectLst>
                <a:outerShdw blurRad="254000" sx="102000" sy="102000" algn="ctr" rotWithShape="0">
                  <a:prstClr val="black">
                    <a:alpha val="20000"/>
                  </a:prstClr>
                </a:outerShdw>
              </a:effectLst>
            </c:spPr>
          </c:dPt>
          <c:dLbls>
            <c:numFmt formatCode="#,##0.00_);[Red]\(#,##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'[饼图.xlsx]Sheet1 (2)'!$K$5:$K$12</c:f>
              <c:strCache>
                <c:ptCount val="8"/>
                <c:pt idx="0">
                  <c:v>一般公共服务支出</c:v>
                </c:pt>
                <c:pt idx="1">
                  <c:v>社会保障和就业支出</c:v>
                </c:pt>
                <c:pt idx="2">
                  <c:v>卫生健康支出</c:v>
                </c:pt>
                <c:pt idx="3">
                  <c:v>节能环保支出</c:v>
                </c:pt>
                <c:pt idx="4">
                  <c:v>城乡社区支出</c:v>
                </c:pt>
                <c:pt idx="5">
                  <c:v>住房保障支出</c:v>
                </c:pt>
                <c:pt idx="6">
                  <c:v>其他支出</c:v>
                </c:pt>
                <c:pt idx="7">
                  <c:v>抗疫特别国债安排的支出</c:v>
                </c:pt>
              </c:strCache>
            </c:strRef>
          </c:cat>
          <c:val>
            <c:numRef>
              <c:f>'[饼图.xlsx]Sheet1 (2)'!$L$5:$L$12</c:f>
              <c:numCache>
                <c:formatCode>General</c:formatCode>
                <c:ptCount val="8"/>
                <c:pt idx="0">
                  <c:v>11.99</c:v>
                </c:pt>
                <c:pt idx="1">
                  <c:v>364.94</c:v>
                </c:pt>
                <c:pt idx="2">
                  <c:v>163.06</c:v>
                </c:pt>
                <c:pt idx="3">
                  <c:v>7518.6</c:v>
                </c:pt>
                <c:pt idx="4">
                  <c:v>13265.66</c:v>
                </c:pt>
                <c:pt idx="5">
                  <c:v>1106.4</c:v>
                </c:pt>
                <c:pt idx="6">
                  <c:v>800</c:v>
                </c:pt>
                <c:pt idx="7">
                  <c:v>547</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872425944118321"/>
          <c:y val="0.098404707924968"/>
          <c:w val="0.894638888888889"/>
          <c:h val="0.711666666666667"/>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'[饼图.xlsx]Sheet1 (2)'!$A$16:$A$20</c:f>
              <c:strCache>
                <c:ptCount val="5"/>
                <c:pt idx="0">
                  <c:v>人员经费</c:v>
                </c:pt>
                <c:pt idx="1">
                  <c:v>公用经费</c:v>
                </c:pt>
                <c:pt idx="3">
                  <c:v>基本建设类项目</c:v>
                </c:pt>
                <c:pt idx="4">
                  <c:v>行政事业类项目</c:v>
                </c:pt>
              </c:strCache>
            </c:strRef>
          </c:cat>
          <c:val>
            <c:numRef>
              <c:f>'[饼图.xlsx]Sheet1 (2)'!$B$16:$B$20</c:f>
              <c:numCache>
                <c:formatCode>General</c:formatCode>
                <c:ptCount val="5"/>
                <c:pt idx="0">
                  <c:v>2365.7</c:v>
                </c:pt>
                <c:pt idx="1">
                  <c:v>632.7</c:v>
                </c:pt>
                <c:pt idx="4">
                  <c:v>20779.25</c:v>
                </c:pt>
              </c:numCache>
            </c:numRef>
          </c:val>
        </c:ser>
        <c:dLbls>
          <c:showLegendKey val="0"/>
          <c:showVal val="1"/>
          <c:showCatName val="0"/>
          <c:showSerName val="0"/>
          <c:showPercent val="0"/>
          <c:showBubbleSize val="0"/>
        </c:dLbls>
        <c:gapWidth val="61"/>
        <c:overlap val="-27"/>
        <c:axId val="813577556"/>
        <c:axId val="176056576"/>
      </c:barChart>
      <c:catAx>
        <c:axId val="8135775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76056576"/>
        <c:crosses val="autoZero"/>
        <c:auto val="1"/>
        <c:lblAlgn val="ctr"/>
        <c:lblOffset val="100"/>
        <c:noMultiLvlLbl val="0"/>
      </c:catAx>
      <c:valAx>
        <c:axId val="176056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35775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[饼图.xlsx]Sheet2!$A$2</c:f>
              <c:strCache>
                <c:ptCount val="1"/>
                <c:pt idx="0">
                  <c:v>2020年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[饼图.xlsx]Sheet2!$B$1:$C$1</c:f>
              <c:strCache>
                <c:ptCount val="2"/>
                <c:pt idx="0">
                  <c:v>基本支出</c:v>
                </c:pt>
                <c:pt idx="1">
                  <c:v>项目支出</c:v>
                </c:pt>
              </c:strCache>
            </c:strRef>
          </c:cat>
          <c:val>
            <c:numRef>
              <c:f>[饼图.xlsx]Sheet2!$B$2:$C$2</c:f>
              <c:numCache>
                <c:formatCode>General</c:formatCode>
                <c:ptCount val="2"/>
                <c:pt idx="0">
                  <c:v>2998.4</c:v>
                </c:pt>
                <c:pt idx="1">
                  <c:v>20779.25</c:v>
                </c:pt>
              </c:numCache>
            </c:numRef>
          </c:val>
        </c:ser>
        <c:ser>
          <c:idx val="1"/>
          <c:order val="1"/>
          <c:tx>
            <c:strRef>
              <c:f>[饼图.xlsx]Sheet2!$A$3</c:f>
              <c:strCache>
                <c:ptCount val="1"/>
                <c:pt idx="0">
                  <c:v>2019年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[饼图.xlsx]Sheet2!$B$1:$C$1</c:f>
              <c:strCache>
                <c:ptCount val="2"/>
                <c:pt idx="0">
                  <c:v>基本支出</c:v>
                </c:pt>
                <c:pt idx="1">
                  <c:v>项目支出</c:v>
                </c:pt>
              </c:strCache>
            </c:strRef>
          </c:cat>
          <c:val>
            <c:numRef>
              <c:f>[饼图.xlsx]Sheet2!$B$3:$C$3</c:f>
              <c:numCache>
                <c:formatCode>General</c:formatCode>
                <c:ptCount val="2"/>
                <c:pt idx="0">
                  <c:v>3234.4</c:v>
                </c:pt>
                <c:pt idx="1">
                  <c:v>31774.44</c:v>
                </c:pt>
              </c:numCache>
            </c:numRef>
          </c:val>
        </c:ser>
        <c:dLbls>
          <c:showLegendKey val="0"/>
          <c:showVal val="1"/>
          <c:showCatName val="0"/>
          <c:showSerName val="0"/>
          <c:showPercent val="0"/>
          <c:showBubbleSize val="0"/>
        </c:dLbls>
        <c:gapWidth val="219"/>
        <c:overlap val="-27"/>
        <c:axId val="410637610"/>
        <c:axId val="149225776"/>
      </c:barChart>
      <c:catAx>
        <c:axId val="41063761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9225776"/>
        <c:crosses val="autoZero"/>
        <c:auto val="1"/>
        <c:lblAlgn val="ctr"/>
        <c:lblOffset val="100"/>
        <c:noMultiLvlLbl val="0"/>
      </c:catAx>
      <c:valAx>
        <c:axId val="149225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063761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Lbls>
            <c:numFmt formatCode="#,##0.00_);[Red]\(#,##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'[饼图.xlsx]Sheet1 (2)'!$K$5:$K$9</c:f>
              <c:strCache>
                <c:ptCount val="5"/>
                <c:pt idx="0">
                  <c:v>工资福利支出</c:v>
                </c:pt>
                <c:pt idx="1">
                  <c:v>商品服务支出</c:v>
                </c:pt>
                <c:pt idx="2">
                  <c:v>对个人和家庭的补助</c:v>
                </c:pt>
                <c:pt idx="3">
                  <c:v>资本性支出（基本建设）</c:v>
                </c:pt>
                <c:pt idx="4">
                  <c:v>资本性支出</c:v>
                </c:pt>
              </c:strCache>
            </c:strRef>
          </c:cat>
          <c:val>
            <c:numRef>
              <c:f>'[饼图.xlsx]Sheet1 (2)'!$L$5:$L$9</c:f>
              <c:numCache>
                <c:formatCode>General</c:formatCode>
                <c:ptCount val="5"/>
                <c:pt idx="0">
                  <c:v>2330.81</c:v>
                </c:pt>
                <c:pt idx="1">
                  <c:v>853.41</c:v>
                </c:pt>
                <c:pt idx="2">
                  <c:v>34.89</c:v>
                </c:pt>
                <c:pt idx="3">
                  <c:v>188</c:v>
                </c:pt>
                <c:pt idx="4">
                  <c:v>20058.85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4942</Words>
  <Characters>5518</Characters>
  <Lines>82</Lines>
  <Paragraphs>23</Paragraphs>
  <ScaleCrop>false</ScaleCrop>
  <LinksUpToDate>false</LinksUpToDate>
  <CharactersWithSpaces>5712</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2021-10-08T05:50:00Z</cp:lastPrinted>
  <dcterms:modified xsi:type="dcterms:W3CDTF">2023-06-28T07:03:09Z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3A45E17693404F6B8701A6CB287CD945</vt:lpwstr>
  </property>
</Properties>
</file>