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w:t>
      </w:r>
      <w:r>
        <w:rPr>
          <w:rFonts w:hint="eastAsia" w:ascii="黑体" w:hAnsi="黑体" w:eastAsia="黑体" w:cs="黑体"/>
          <w:b/>
          <w:bCs/>
          <w:sz w:val="72"/>
          <w:szCs w:val="96"/>
          <w:lang w:eastAsia="zh-CN"/>
        </w:rPr>
        <w:t>本级</w:t>
      </w:r>
      <w:r>
        <w:rPr>
          <w:rFonts w:hint="eastAsia" w:ascii="黑体" w:hAnsi="黑体" w:eastAsia="黑体" w:cs="黑体"/>
          <w:b/>
          <w:bCs/>
          <w:sz w:val="72"/>
          <w:szCs w:val="96"/>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石家庄市鹿泉区住房和城乡建设局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tabs>
          <w:tab w:val="left" w:pos="1440"/>
        </w:tabs>
        <w:bidi w:val="0"/>
        <w:jc w:val="left"/>
        <w:rPr>
          <w:lang w:val="en-US" w:eastAsia="zh-CN"/>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43" w:firstLineChars="200"/>
        <w:jc w:val="both"/>
        <w:rPr>
          <w:rFonts w:hint="eastAsia"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 w:val="0"/>
          <w:bCs/>
          <w:sz w:val="32"/>
          <w:szCs w:val="32"/>
          <w:lang w:val="en-US" w:eastAsia="zh-CN"/>
        </w:rPr>
        <w:t>1</w:t>
      </w:r>
      <w:r>
        <w:rPr>
          <w:rFonts w:hint="eastAsia" w:ascii="仿宋" w:hAnsi="仿宋" w:eastAsia="仿宋" w:cs="仿宋"/>
          <w:sz w:val="32"/>
          <w:szCs w:val="32"/>
        </w:rPr>
        <w:t>、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、贯彻落实党中央、国务院和省、市、区关于城市管理相关工作的方针政策和法律法规。拟订城市管理中长期发展规划和年度计划并组织实施。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、负责推进住房制度改革。贯彻落实住房政策，指导住房建设，推动住房制度改革；拟订住房建设发展规划并组织实施。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、负责全区房地产市场的监督管理。贯彻落实房地产市场调控政策并监督执行；落实上级房地产业行业发展规划、产业政策和房地产开发、房屋交易、房屋租赁、房地产估价与经纪管理的规章制度并监督实施。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、推进新型城镇化（国家新型城镇化综合试点）建设工作。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、负责全区污水处理及污水处理行业管理工作。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、负责全区燃气行业管理工作。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、负责城市建设档案监督管理工作。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、负责直管公有住房的资产、售房款和售后维修资金的管理工作。会同有关部门做好支油、支铁建设协调工作。会同有关部门，做好城市建设行业涉及本部门的相关专业规划的编制和实施工作。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、负责住房城乡建设行业信息采集、整理、统计、分析、发布等工作。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、实施住房和城乡建设范围内法律法规规章规定的行政处罚权有关的行政强制措施。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20</w:t>
      </w:r>
      <w:r>
        <w:rPr>
          <w:rFonts w:hint="eastAsia" w:ascii="仿宋" w:hAnsi="仿宋" w:eastAsia="仿宋" w:cs="仿宋"/>
          <w:sz w:val="32"/>
          <w:szCs w:val="32"/>
        </w:rPr>
        <w:t>、完成区委、区政府交办的其他任务。</w:t>
      </w: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7</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748"/>
        <w:gridCol w:w="218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74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石家庄市鹿泉区住房和城乡建设局</w:t>
            </w:r>
            <w:r>
              <w:rPr>
                <w:rFonts w:hint="eastAsia" w:ascii="仿宋_GB2312" w:eastAsia="仿宋_GB2312" w:cs="ArialUnicodeMS" w:hAnsiTheme="minorHAnsi"/>
                <w:kern w:val="0"/>
                <w:sz w:val="18"/>
                <w:szCs w:val="18"/>
              </w:rPr>
              <w:t>(本级)</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石家庄市鹿泉区房屋征收中心</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石家庄市鹿泉区城市建设服务中心</w:t>
            </w:r>
          </w:p>
        </w:tc>
        <w:tc>
          <w:tcPr>
            <w:tcW w:w="2182"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财政补助事业单位</w:t>
            </w:r>
          </w:p>
        </w:tc>
        <w:tc>
          <w:tcPr>
            <w:tcW w:w="2665"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4</w:t>
            </w:r>
          </w:p>
        </w:tc>
        <w:tc>
          <w:tcPr>
            <w:tcW w:w="3748"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18"/>
                <w:szCs w:val="18"/>
              </w:rPr>
              <w:t>石家庄市鹿泉区建筑和房地产市场稽查大队</w:t>
            </w:r>
          </w:p>
        </w:tc>
        <w:tc>
          <w:tcPr>
            <w:tcW w:w="2182" w:type="dxa"/>
            <w:tcBorders>
              <w:bottom w:val="single" w:color="auto" w:sz="4" w:space="0"/>
            </w:tcBorders>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5</w:t>
            </w:r>
          </w:p>
        </w:tc>
        <w:tc>
          <w:tcPr>
            <w:tcW w:w="3748" w:type="dxa"/>
            <w:tcBorders>
              <w:bottom w:val="single" w:color="auto" w:sz="4" w:space="0"/>
            </w:tcBorders>
          </w:tcPr>
          <w:p>
            <w:pPr>
              <w:spacing w:after="0" w:line="560" w:lineRule="exact"/>
              <w:rPr>
                <w:rFonts w:hint="eastAsia" w:ascii="仿宋" w:hAnsi="仿宋" w:eastAsia="仿宋" w:cs="仿宋"/>
                <w:sz w:val="18"/>
                <w:szCs w:val="18"/>
              </w:rPr>
            </w:pPr>
            <w:r>
              <w:rPr>
                <w:rFonts w:hint="eastAsia" w:ascii="仿宋" w:hAnsi="仿宋" w:eastAsia="仿宋" w:cs="仿宋"/>
                <w:sz w:val="21"/>
                <w:szCs w:val="21"/>
              </w:rPr>
              <w:t>石家庄市鹿泉区建筑业管理处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6</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鹿泉区廉租住房和经济适用住房管理中心</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7</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鹿泉区住房保障和房地产管理处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hint="default" w:ascii="仿宋_GB2312" w:eastAsia="仿宋_GB2312" w:cs="ArialUnicodeMS" w:hAnsiTheme="minorHAnsi"/>
                <w:kern w:val="0"/>
                <w:sz w:val="28"/>
                <w:szCs w:val="28"/>
                <w:lang w:val="en-US"/>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pageBreakBefore w:val="0"/>
        <w:widowControl w:val="0"/>
        <w:kinsoku/>
        <w:wordWrap/>
        <w:overflowPunct/>
        <w:topLinePunct w:val="0"/>
        <w:autoSpaceDE/>
        <w:autoSpaceDN/>
        <w:bidi w:val="0"/>
        <w:adjustRightInd/>
        <w:snapToGrid/>
        <w:spacing w:line="580" w:lineRule="exact"/>
        <w:textAlignment w:val="auto"/>
        <w:outlineLvl w:val="1"/>
        <w:rPr>
          <w:rFonts w:hint="eastAsia" w:ascii="黑体" w:hAnsi="Calibri" w:eastAsia="黑体" w:cs="Times New Roman"/>
          <w:sz w:val="32"/>
          <w:szCs w:val="32"/>
        </w:rPr>
      </w:pPr>
    </w:p>
    <w:p>
      <w:pPr>
        <w:rPr>
          <w:rFonts w:hint="eastAsia"/>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2019年度收支总计（含结转和结余）</w:t>
      </w:r>
      <w:r>
        <w:rPr>
          <w:rFonts w:hint="eastAsia" w:ascii="仿宋_GB2312" w:hAnsi="Times New Roman" w:eastAsia="仿宋_GB2312" w:cs="DengXian-Regular"/>
          <w:sz w:val="32"/>
          <w:szCs w:val="32"/>
          <w:lang w:val="en-US" w:eastAsia="zh-CN"/>
        </w:rPr>
        <w:t>42140.7</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19984.82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下降</w:t>
      </w:r>
      <w:r>
        <w:rPr>
          <w:rFonts w:hint="eastAsia" w:ascii="仿宋_GB2312" w:hAnsi="Times New Roman" w:eastAsia="仿宋_GB2312" w:cs="DengXian-Regular"/>
          <w:sz w:val="32"/>
          <w:szCs w:val="32"/>
          <w:lang w:val="en-US" w:eastAsia="zh-CN"/>
        </w:rPr>
        <w:t>32.17</w:t>
      </w:r>
      <w:r>
        <w:rPr>
          <w:rFonts w:hint="eastAsia" w:ascii="仿宋_GB2312" w:hAnsi="Times New Roman" w:eastAsia="仿宋_GB2312" w:cs="DengXian-Regular"/>
          <w:sz w:val="32"/>
          <w:szCs w:val="32"/>
        </w:rPr>
        <w:t>%，主要原因是</w:t>
      </w:r>
      <w:r>
        <w:rPr>
          <w:rFonts w:hint="eastAsia" w:ascii="仿宋_GB2312" w:eastAsia="仿宋_GB2312" w:cs="DengXian-Regular"/>
          <w:sz w:val="32"/>
          <w:szCs w:val="32"/>
          <w:lang w:eastAsia="zh-CN"/>
        </w:rPr>
        <w:t>年初结余额度较大</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jc w:val="lef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2019年度本年收入合计</w:t>
      </w:r>
      <w:r>
        <w:rPr>
          <w:rFonts w:hint="eastAsia" w:ascii="仿宋_GB2312" w:hAnsi="Times New Roman" w:eastAsia="仿宋_GB2312" w:cs="DengXian-Regular"/>
          <w:sz w:val="32"/>
          <w:szCs w:val="32"/>
          <w:lang w:val="en-US" w:eastAsia="zh-CN"/>
        </w:rPr>
        <w:t>30322.3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30023.43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99.01</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298.86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0.99</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jc w:val="left"/>
        <w:rPr>
          <w:rFonts w:hint="eastAsia" w:ascii="仿宋_GB2312" w:hAnsi="Times New Roman" w:eastAsia="仿宋_GB2312" w:cs="DengXian-Regular"/>
          <w:sz w:val="32"/>
          <w:szCs w:val="32"/>
          <w:lang w:eastAsia="zh-CN"/>
        </w:rPr>
      </w:pPr>
    </w:p>
    <w:p>
      <w:pPr>
        <w:jc w:val="center"/>
        <w:rPr>
          <w:rFonts w:hint="eastAsia"/>
        </w:rPr>
      </w:pPr>
      <w:r>
        <w:drawing>
          <wp:inline distT="0" distB="0" distL="114300" distR="114300">
            <wp:extent cx="4572000" cy="2914650"/>
            <wp:effectExtent l="4445" t="4445" r="14605" b="14605"/>
            <wp:docPr id="39"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jc w:val="center"/>
        <w:rPr>
          <w:rFonts w:hint="eastAsia"/>
        </w:rPr>
      </w:pPr>
      <w:r>
        <w:rPr>
          <w:rFonts w:hint="eastAsia" w:ascii="仿宋_GB2312" w:eastAsia="仿宋_GB2312" w:cs="DengXian-Regular"/>
          <w:sz w:val="28"/>
          <w:szCs w:val="28"/>
        </w:rPr>
        <w:t>收入构成情况</w:t>
      </w:r>
    </w:p>
    <w:p>
      <w:pPr>
        <w:keepNext/>
        <w:keepLines/>
        <w:snapToGrid w:val="0"/>
        <w:spacing w:line="580" w:lineRule="exact"/>
        <w:outlineLvl w:val="1"/>
        <w:rPr>
          <w:rFonts w:hint="eastAsia" w:ascii="黑体" w:hAnsi="Calibri" w:eastAsia="黑体" w:cs="Times New Roman"/>
          <w:sz w:val="32"/>
          <w:szCs w:val="32"/>
        </w:rPr>
      </w:pPr>
    </w:p>
    <w:p>
      <w:pPr>
        <w:rPr>
          <w:rFonts w:hint="eastAsia"/>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2019年度本年支出合计</w:t>
      </w:r>
      <w:r>
        <w:rPr>
          <w:rFonts w:hint="eastAsia" w:ascii="仿宋_GB2312" w:hAnsi="Times New Roman" w:eastAsia="仿宋_GB2312" w:cs="DengXian-Regular"/>
          <w:sz w:val="32"/>
          <w:szCs w:val="32"/>
          <w:lang w:val="en-US" w:eastAsia="zh-CN"/>
        </w:rPr>
        <w:t>32127.96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480.94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31647.01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bidi w:val="0"/>
        <w:jc w:val="center"/>
        <w:rPr>
          <w:rFonts w:hint="eastAsia"/>
        </w:rPr>
      </w:pPr>
      <w:r>
        <w:drawing>
          <wp:inline distT="0" distB="0" distL="114300" distR="114300">
            <wp:extent cx="4572000" cy="3171825"/>
            <wp:effectExtent l="4445" t="4445" r="14605" b="5080"/>
            <wp:docPr id="28"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adjustRightInd w:val="0"/>
        <w:snapToGrid w:val="0"/>
        <w:spacing w:after="160" w:line="560" w:lineRule="exact"/>
        <w:jc w:val="center"/>
        <w:rPr>
          <w:rFonts w:hint="eastAsia" w:ascii="黑体" w:hAnsi="Calibri" w:eastAsia="黑体" w:cs="Times New Roman"/>
          <w:sz w:val="32"/>
          <w:szCs w:val="32"/>
        </w:rPr>
      </w:pPr>
      <w:r>
        <w:rPr>
          <w:rFonts w:hint="eastAsia" w:ascii="仿宋_GB2312" w:hAnsi="Times New Roman" w:eastAsia="仿宋_GB2312" w:cs="DengXian-Regular"/>
          <w:sz w:val="28"/>
          <w:szCs w:val="28"/>
        </w:rPr>
        <w:t>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2019年度财政拨款本年收入</w:t>
      </w:r>
      <w:r>
        <w:rPr>
          <w:rFonts w:hint="eastAsia" w:ascii="仿宋_GB2312" w:hAnsi="Times New Roman" w:eastAsia="仿宋_GB2312" w:cs="DengXian-Regular"/>
          <w:sz w:val="32"/>
          <w:szCs w:val="32"/>
          <w:lang w:val="en-US" w:eastAsia="zh-CN"/>
        </w:rPr>
        <w:t>30023.43</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8799.18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22.66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年初结余额度较大</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31829.09</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14401.43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31.15</w:t>
      </w:r>
      <w:r>
        <w:rPr>
          <w:rFonts w:hint="eastAsia" w:ascii="仿宋_GB2312" w:hAnsi="Times New Roman" w:eastAsia="仿宋_GB2312" w:cs="DengXian-Regular"/>
          <w:sz w:val="32"/>
          <w:szCs w:val="32"/>
        </w:rPr>
        <w:t>%，主要是</w:t>
      </w:r>
      <w:r>
        <w:rPr>
          <w:rFonts w:hint="eastAsia" w:ascii="仿宋" w:hAnsi="仿宋" w:eastAsia="仿宋" w:cs="仿宋"/>
          <w:sz w:val="32"/>
          <w:szCs w:val="32"/>
          <w:lang w:eastAsia="zh-CN"/>
        </w:rPr>
        <w:t>基础设施建设</w:t>
      </w:r>
      <w:r>
        <w:rPr>
          <w:rFonts w:hint="eastAsia" w:ascii="仿宋_GB2312" w:eastAsia="仿宋_GB2312" w:cs="DengXian-Regular"/>
          <w:sz w:val="32"/>
          <w:szCs w:val="32"/>
        </w:rPr>
        <w:t>减少</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一般公共预算财政拨款本年收入25077.81万元，比上年减少</w:t>
      </w:r>
      <w:r>
        <w:rPr>
          <w:rFonts w:hint="eastAsia" w:ascii="仿宋_GB2312" w:hAnsi="Times New Roman" w:eastAsia="仿宋_GB2312" w:cs="DengXian-Regular"/>
          <w:sz w:val="32"/>
          <w:szCs w:val="32"/>
          <w:lang w:val="en-US" w:eastAsia="zh-CN"/>
        </w:rPr>
        <w:t>4018.21</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年初结余额度较大</w:t>
      </w:r>
      <w:r>
        <w:rPr>
          <w:rFonts w:hint="eastAsia" w:ascii="仿宋_GB2312" w:hAnsi="Times New Roman" w:eastAsia="仿宋_GB2312" w:cs="DengXian-Regular"/>
          <w:sz w:val="32"/>
          <w:szCs w:val="32"/>
        </w:rPr>
        <w:t>；本年支出23756.16万元，比上年减少</w:t>
      </w:r>
      <w:r>
        <w:rPr>
          <w:rFonts w:hint="eastAsia" w:ascii="仿宋_GB2312" w:hAnsi="Times New Roman" w:eastAsia="仿宋_GB2312" w:cs="DengXian-Regular"/>
          <w:sz w:val="32"/>
          <w:szCs w:val="32"/>
          <w:lang w:val="en-US" w:eastAsia="zh-CN"/>
        </w:rPr>
        <w:t>10966.66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31.58</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年初结余额度较大</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政府性基金预算财政拨款本年收入4945.62万元，比上年减少</w:t>
      </w:r>
      <w:r>
        <w:rPr>
          <w:rFonts w:hint="eastAsia" w:ascii="仿宋_GB2312" w:hAnsi="Times New Roman" w:eastAsia="仿宋_GB2312" w:cs="DengXian-Regular"/>
          <w:sz w:val="32"/>
          <w:szCs w:val="32"/>
          <w:lang w:val="en-US" w:eastAsia="zh-CN"/>
        </w:rPr>
        <w:t>4780.97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49.15</w:t>
      </w:r>
      <w:r>
        <w:rPr>
          <w:rFonts w:hint="eastAsia" w:ascii="仿宋_GB2312" w:hAnsi="Times New Roman" w:eastAsia="仿宋_GB2312" w:cs="DengXian-Regular"/>
          <w:sz w:val="32"/>
          <w:szCs w:val="32"/>
        </w:rPr>
        <w:t>%，主要原因是</w:t>
      </w:r>
      <w:r>
        <w:rPr>
          <w:rFonts w:hint="eastAsia" w:ascii="仿宋_GB2312" w:eastAsia="仿宋_GB2312" w:cs="DengXian-Regular"/>
          <w:sz w:val="32"/>
          <w:szCs w:val="32"/>
          <w:lang w:eastAsia="zh-CN"/>
        </w:rPr>
        <w:t>年初结余额度较大</w:t>
      </w:r>
      <w:r>
        <w:rPr>
          <w:rFonts w:hint="eastAsia" w:ascii="仿宋_GB2312" w:hAnsi="Times New Roman" w:eastAsia="仿宋_GB2312" w:cs="DengXian-Regular"/>
          <w:sz w:val="32"/>
          <w:szCs w:val="32"/>
        </w:rPr>
        <w:t>；本年支出8072.93万元，比上年减少</w:t>
      </w:r>
      <w:r>
        <w:rPr>
          <w:rFonts w:hint="eastAsia" w:ascii="仿宋_GB2312" w:hAnsi="Times New Roman" w:eastAsia="仿宋_GB2312" w:cs="DengXian-Regular"/>
          <w:sz w:val="32"/>
          <w:szCs w:val="32"/>
          <w:lang w:val="en-US" w:eastAsia="zh-CN"/>
        </w:rPr>
        <w:t>3434.78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29.85</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年初结余额度较大</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rPr>
          <w:rFonts w:ascii="仿宋_GB2312" w:hAnsi="Times New Roman" w:eastAsia="仿宋_GB2312" w:cs="DengXian-Regular"/>
          <w:sz w:val="32"/>
          <w:szCs w:val="32"/>
        </w:rPr>
      </w:pPr>
    </w:p>
    <w:p>
      <w:pPr>
        <w:bidi w:val="0"/>
        <w:jc w:val="center"/>
      </w:pPr>
      <w:r>
        <w:drawing>
          <wp:inline distT="0" distB="0" distL="114300" distR="114300">
            <wp:extent cx="4123690" cy="2952750"/>
            <wp:effectExtent l="4445" t="4445" r="5715" b="14605"/>
            <wp:docPr id="3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adjustRightInd w:val="0"/>
        <w:snapToGrid w:val="0"/>
        <w:spacing w:line="560" w:lineRule="exact"/>
        <w:jc w:val="center"/>
        <w:rPr>
          <w:rFonts w:hint="eastAsia" w:ascii="仿宋_GB2312" w:eastAsia="仿宋_GB2312" w:cs="DengXian-Regular"/>
          <w:sz w:val="28"/>
          <w:szCs w:val="28"/>
        </w:rPr>
      </w:pP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adjustRightInd w:val="0"/>
        <w:snapToGrid w:val="0"/>
        <w:spacing w:line="560" w:lineRule="exact"/>
        <w:jc w:val="center"/>
        <w:rPr>
          <w:rFonts w:hint="eastAsia" w:ascii="仿宋_GB2312" w:eastAsia="仿宋_GB2312" w:cs="DengXian-Regular"/>
          <w:sz w:val="28"/>
          <w:szCs w:val="28"/>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2019年度财政拨款本年收入</w:t>
      </w:r>
      <w:r>
        <w:rPr>
          <w:rFonts w:hint="eastAsia" w:ascii="仿宋_GB2312" w:hAnsi="Times New Roman" w:eastAsia="仿宋_GB2312" w:cs="DengXian-Regular"/>
          <w:sz w:val="32"/>
          <w:szCs w:val="32"/>
          <w:lang w:val="en-US" w:eastAsia="zh-CN"/>
        </w:rPr>
        <w:t>30023.43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132.14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7302.39</w:t>
      </w:r>
      <w:r>
        <w:rPr>
          <w:rFonts w:hint="eastAsia" w:ascii="仿宋_GB2312" w:hAnsi="Times New Roman" w:eastAsia="仿宋_GB2312" w:cs="DengXian-Regular"/>
          <w:sz w:val="32"/>
          <w:szCs w:val="32"/>
        </w:rPr>
        <w:t>万元，决算数大于预算数主要原因是</w:t>
      </w:r>
      <w:r>
        <w:rPr>
          <w:rFonts w:hint="eastAsia" w:ascii="仿宋_GB2312" w:eastAsia="仿宋_GB2312" w:cs="DengXian-Regular"/>
          <w:sz w:val="32"/>
          <w:szCs w:val="32"/>
          <w:lang w:eastAsia="zh-CN"/>
        </w:rPr>
        <w:t>调整预算数、加大大气污染治理</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31829.09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140.09</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9108.05</w:t>
      </w:r>
      <w:r>
        <w:rPr>
          <w:rFonts w:hint="eastAsia" w:ascii="仿宋_GB2312" w:hAnsi="Times New Roman" w:eastAsia="仿宋_GB2312" w:cs="DengXian-Regular"/>
          <w:sz w:val="32"/>
          <w:szCs w:val="32"/>
        </w:rPr>
        <w:t>万元，决算数大于预算数主要原因是主要是</w:t>
      </w:r>
      <w:r>
        <w:rPr>
          <w:rFonts w:hint="eastAsia" w:ascii="仿宋_GB2312" w:eastAsia="仿宋_GB2312" w:cs="DengXian-Regular"/>
          <w:sz w:val="32"/>
          <w:szCs w:val="32"/>
          <w:lang w:eastAsia="zh-CN"/>
        </w:rPr>
        <w:t>调整预算数、加大大气污染治理</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146.73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7986.6</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调整预算数</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186.23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14737.88</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调整预算数</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87.85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684.21</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调整预算数</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143.4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2443.1</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调整预算数</w:t>
      </w:r>
      <w:r>
        <w:rPr>
          <w:rFonts w:hint="eastAsia" w:ascii="仿宋_GB2312" w:hAnsi="Times New Roman" w:eastAsia="仿宋_GB2312" w:cs="DengXian-Regular"/>
          <w:sz w:val="32"/>
          <w:szCs w:val="32"/>
        </w:rPr>
        <w:t>。</w:t>
      </w:r>
    </w:p>
    <w:p>
      <w:pPr>
        <w:bidi w:val="0"/>
        <w:jc w:val="center"/>
        <w:rPr>
          <w:rFonts w:hint="eastAsia"/>
        </w:rPr>
      </w:pPr>
      <w:r>
        <w:drawing>
          <wp:inline distT="0" distB="0" distL="114300" distR="114300">
            <wp:extent cx="3933825" cy="3000375"/>
            <wp:effectExtent l="4445" t="4445" r="5080" b="5080"/>
            <wp:docPr id="32"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adjustRightInd w:val="0"/>
        <w:snapToGrid w:val="0"/>
        <w:spacing w:line="560" w:lineRule="exact"/>
        <w:jc w:val="center"/>
        <w:rPr>
          <w:rFonts w:hint="eastAsia" w:ascii="仿宋_GB2312" w:eastAsia="仿宋_GB2312" w:cs="DengXian-Regular"/>
          <w:sz w:val="28"/>
          <w:szCs w:val="28"/>
        </w:rPr>
      </w:pPr>
      <w:r>
        <w:rPr>
          <w:rFonts w:hint="eastAsia" w:ascii="仿宋_GB2312" w:eastAsia="仿宋_GB2312" w:cs="DengXian-Regular"/>
          <w:sz w:val="28"/>
          <w:szCs w:val="28"/>
        </w:rPr>
        <w:t>财政拨款收支预决算对比情况</w:t>
      </w:r>
    </w:p>
    <w:p>
      <w:pPr>
        <w:adjustRightInd w:val="0"/>
        <w:snapToGrid w:val="0"/>
        <w:spacing w:line="560" w:lineRule="exact"/>
        <w:jc w:val="center"/>
        <w:rPr>
          <w:rFonts w:hint="eastAsia" w:ascii="仿宋_GB2312" w:eastAsia="仿宋_GB2312" w:cs="DengXian-Regular"/>
          <w:sz w:val="24"/>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31829.09</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34.71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38.87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22.05万元，占0.06%；节能环保</w:t>
      </w:r>
      <w:r>
        <w:rPr>
          <w:rFonts w:hint="eastAsia" w:ascii="仿宋_GB2312" w:hAnsi="Times New Roman" w:eastAsia="仿宋_GB2312" w:cs="DengXian-Regular"/>
          <w:sz w:val="32"/>
          <w:szCs w:val="32"/>
        </w:rPr>
        <w:t>（类）</w:t>
      </w:r>
      <w:r>
        <w:rPr>
          <w:rFonts w:hint="eastAsia" w:ascii="仿宋_GB2312" w:hAnsi="Times New Roman" w:eastAsia="仿宋_GB2312" w:cs="DengXian-Regular"/>
          <w:sz w:val="32"/>
          <w:szCs w:val="32"/>
          <w:lang w:val="en-US" w:eastAsia="zh-CN"/>
        </w:rPr>
        <w:t>支出16422.84万元，占51.6%；城乡社区</w:t>
      </w:r>
      <w:r>
        <w:rPr>
          <w:rFonts w:hint="eastAsia" w:ascii="仿宋_GB2312" w:hAnsi="Times New Roman" w:eastAsia="仿宋_GB2312" w:cs="DengXian-Regular"/>
          <w:sz w:val="32"/>
          <w:szCs w:val="32"/>
        </w:rPr>
        <w:t>（类）</w:t>
      </w:r>
      <w:r>
        <w:rPr>
          <w:rFonts w:hint="eastAsia" w:ascii="仿宋_GB2312" w:hAnsi="Times New Roman" w:eastAsia="仿宋_GB2312" w:cs="DengXian-Regular"/>
          <w:sz w:val="32"/>
          <w:szCs w:val="32"/>
          <w:lang w:val="en-US" w:eastAsia="zh-CN"/>
        </w:rPr>
        <w:t>支出11883.28万元，占37.33%；</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3427.35</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10.77</w:t>
      </w:r>
      <w:r>
        <w:rPr>
          <w:rFonts w:hint="eastAsia" w:ascii="仿宋_GB2312" w:hAnsi="Times New Roman" w:eastAsia="仿宋_GB2312" w:cs="DengXian-Regular"/>
          <w:sz w:val="32"/>
          <w:szCs w:val="32"/>
        </w:rPr>
        <w:t>%。</w:t>
      </w:r>
    </w:p>
    <w:p>
      <w:pPr>
        <w:bidi w:val="0"/>
        <w:jc w:val="center"/>
      </w:pPr>
      <w:r>
        <w:drawing>
          <wp:inline distT="0" distB="0" distL="114300" distR="114300">
            <wp:extent cx="4752975" cy="3561715"/>
            <wp:effectExtent l="4445" t="4445" r="5080" b="15240"/>
            <wp:docPr id="33"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adjustRightInd w:val="0"/>
        <w:snapToGrid w:val="0"/>
        <w:spacing w:line="580" w:lineRule="exact"/>
        <w:jc w:val="center"/>
        <w:rPr>
          <w:rFonts w:hint="eastAsia" w:ascii="仿宋_GB2312" w:hAnsi="Times New Roman" w:eastAsia="仿宋_GB2312" w:cs="DengXian-Regular"/>
          <w:sz w:val="28"/>
          <w:szCs w:val="28"/>
        </w:rPr>
      </w:pPr>
      <w:r>
        <w:rPr>
          <w:rFonts w:hint="eastAsia" w:ascii="仿宋_GB2312" w:hAnsi="Times New Roman" w:eastAsia="仿宋_GB2312" w:cs="DengXian-Regular"/>
          <w:sz w:val="28"/>
          <w:szCs w:val="28"/>
        </w:rPr>
        <w:t>财政拨款支出决算结构（按功能分类）</w:t>
      </w:r>
    </w:p>
    <w:p>
      <w:pPr>
        <w:adjustRightInd w:val="0"/>
        <w:snapToGrid w:val="0"/>
        <w:spacing w:line="580" w:lineRule="exact"/>
        <w:jc w:val="center"/>
        <w:rPr>
          <w:rFonts w:hint="eastAsia" w:ascii="楷体_GB2312" w:hAnsi="Times New Roman" w:eastAsia="楷体_GB2312" w:cs="DengXian-Bold"/>
          <w:b/>
          <w:bCs/>
          <w:sz w:val="32"/>
          <w:szCs w:val="32"/>
        </w:rPr>
      </w:pPr>
    </w:p>
    <w:p>
      <w:pPr>
        <w:adjustRightInd w:val="0"/>
        <w:snapToGrid w:val="0"/>
        <w:spacing w:line="580" w:lineRule="exact"/>
        <w:jc w:val="center"/>
        <w:rPr>
          <w:rFonts w:hint="eastAsia" w:ascii="楷体_GB2312" w:hAnsi="Times New Roman" w:eastAsia="楷体_GB2312" w:cs="DengXian-Bold"/>
          <w:b/>
          <w:bCs/>
          <w:sz w:val="32"/>
          <w:szCs w:val="32"/>
        </w:rPr>
      </w:pPr>
    </w:p>
    <w:p>
      <w:pPr>
        <w:adjustRightInd w:val="0"/>
        <w:snapToGrid w:val="0"/>
        <w:spacing w:line="580" w:lineRule="exact"/>
        <w:jc w:val="both"/>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467.74</w:t>
      </w:r>
      <w:r>
        <w:rPr>
          <w:rFonts w:hint="eastAsia" w:ascii="仿宋_GB2312" w:hAnsi="Times New Roman" w:eastAsia="仿宋_GB2312" w:cs="DengXian-Regular"/>
          <w:sz w:val="32"/>
          <w:szCs w:val="32"/>
        </w:rPr>
        <w:t>万元，其中：人员经费 320.01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147.73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2019年度“三公”经费支出共计</w:t>
      </w:r>
      <w:r>
        <w:rPr>
          <w:rFonts w:hint="eastAsia" w:ascii="仿宋_GB2312" w:hAnsi="Times New Roman" w:eastAsia="仿宋_GB2312" w:cs="DengXian-Regular"/>
          <w:sz w:val="32"/>
          <w:szCs w:val="32"/>
          <w:lang w:val="en-US" w:eastAsia="zh-CN"/>
        </w:rPr>
        <w:t>7.56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93.3</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0.54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6.66</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具体情况如下：</w:t>
      </w:r>
    </w:p>
    <w:p>
      <w:pPr>
        <w:ind w:firstLine="640"/>
        <w:rPr>
          <w:rFonts w:hint="eastAsia" w:ascii="仿宋" w:hAnsi="仿宋" w:eastAsia="仿宋" w:cs="仿宋"/>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7.56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2019年度公务用车购置及运行维护费较预算减少</w:t>
      </w:r>
      <w:r>
        <w:rPr>
          <w:rFonts w:hint="eastAsia" w:ascii="仿宋_GB2312" w:hAnsi="Times New Roman" w:eastAsia="仿宋_GB2312" w:cs="DengXian-Regular"/>
          <w:sz w:val="32"/>
          <w:szCs w:val="32"/>
          <w:lang w:val="en-US" w:eastAsia="zh-CN"/>
        </w:rPr>
        <w:t>0.54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6.66</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0.54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6.66</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p>
    <w:p>
      <w:pPr>
        <w:ind w:firstLine="64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单位未发生此类支出，</w:t>
      </w:r>
      <w:r>
        <w:rPr>
          <w:rFonts w:hint="eastAsia" w:ascii="仿宋" w:hAnsi="仿宋" w:eastAsia="仿宋" w:cs="仿宋"/>
          <w:sz w:val="32"/>
          <w:szCs w:val="32"/>
          <w:lang w:eastAsia="zh-CN"/>
        </w:rPr>
        <w:t>与年初预算持平。</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Times New Roman" w:eastAsia="黑体" w:cs="Times New Roman"/>
          <w:sz w:val="32"/>
          <w:szCs w:val="40"/>
        </w:rPr>
        <w:t>六、</w:t>
      </w:r>
      <w:r>
        <w:rPr>
          <w:rFonts w:hint="eastAsia" w:ascii="黑体" w:hAnsi="Calibri" w:eastAsia="黑体" w:cs="Times New Roman"/>
          <w:sz w:val="32"/>
          <w:szCs w:val="32"/>
        </w:rPr>
        <w:t>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960" w:firstLineChars="3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2019年度机关运</w:t>
      </w:r>
      <w:bookmarkStart w:id="0" w:name="_GoBack"/>
      <w:bookmarkEnd w:id="0"/>
      <w:r>
        <w:rPr>
          <w:rFonts w:hint="eastAsia" w:ascii="仿宋_GB2312" w:hAnsi="Times New Roman" w:eastAsia="仿宋_GB2312" w:cs="DengXian-Regular"/>
          <w:sz w:val="32"/>
          <w:szCs w:val="32"/>
        </w:rPr>
        <w:t>行经费支出</w:t>
      </w:r>
      <w:r>
        <w:rPr>
          <w:rFonts w:hint="eastAsia" w:ascii="仿宋_GB2312" w:hAnsi="Times New Roman" w:eastAsia="仿宋_GB2312" w:cs="DengXian-Regular"/>
          <w:sz w:val="32"/>
          <w:szCs w:val="32"/>
          <w:lang w:val="en-US" w:eastAsia="zh-CN"/>
        </w:rPr>
        <w:t>147.73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32.73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28.46</w:t>
      </w:r>
      <w:r>
        <w:rPr>
          <w:rFonts w:hint="eastAsia" w:ascii="仿宋_GB2312" w:hAnsi="Times New Roman" w:eastAsia="仿宋_GB2312" w:cs="DengXian-Regular"/>
          <w:sz w:val="32"/>
          <w:szCs w:val="32"/>
        </w:rPr>
        <w:t>%。主要原因是</w:t>
      </w:r>
      <w:r>
        <w:rPr>
          <w:rFonts w:hint="eastAsia" w:ascii="仿宋" w:hAnsi="仿宋" w:eastAsia="仿宋" w:cs="仿宋"/>
          <w:b w:val="0"/>
          <w:bCs w:val="0"/>
          <w:sz w:val="32"/>
          <w:szCs w:val="32"/>
          <w:lang w:val="en-US" w:eastAsia="zh-CN"/>
        </w:rPr>
        <w:t>办公楼维护费用较大、中央空调电费维护费支出较大。</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2019年度政府采购支出总额</w:t>
      </w:r>
      <w:r>
        <w:rPr>
          <w:rFonts w:hint="eastAsia" w:ascii="仿宋_GB2312" w:hAnsi="Times New Roman" w:eastAsia="仿宋_GB2312" w:cs="DengXian-Regular"/>
          <w:sz w:val="32"/>
          <w:szCs w:val="32"/>
          <w:lang w:val="en-US" w:eastAsia="zh-CN"/>
        </w:rPr>
        <w:t>7524.1</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9.42</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7340.88</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173.8万元。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截至2019年12月31日，本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其中，机要通信用车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老干部用车。</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无收支及结转结余情况，故</w:t>
      </w:r>
      <w:r>
        <w:rPr>
          <w:rFonts w:hint="eastAsia" w:ascii="仿宋_GB2312"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7"/>
        <w:tblpPr w:leftFromText="180" w:rightFromText="180" w:vertAnchor="text" w:horzAnchor="page" w:tblpX="1391" w:tblpY="621"/>
        <w:tblOverlap w:val="never"/>
        <w:tblW w:w="9102" w:type="dxa"/>
        <w:tblInd w:w="0" w:type="dxa"/>
        <w:shd w:val="clear" w:color="auto" w:fill="auto"/>
        <w:tblLayout w:type="fixed"/>
        <w:tblCellMar>
          <w:top w:w="0" w:type="dxa"/>
          <w:left w:w="0" w:type="dxa"/>
          <w:bottom w:w="0" w:type="dxa"/>
          <w:right w:w="0" w:type="dxa"/>
        </w:tblCellMar>
      </w:tblPr>
      <w:tblGrid>
        <w:gridCol w:w="9102"/>
      </w:tblGrid>
      <w:tr>
        <w:tblPrEx>
          <w:shd w:val="clear" w:color="auto" w:fill="auto"/>
          <w:tblLayout w:type="fixed"/>
          <w:tblCellMar>
            <w:top w:w="0" w:type="dxa"/>
            <w:left w:w="0" w:type="dxa"/>
            <w:bottom w:w="0" w:type="dxa"/>
            <w:right w:w="0" w:type="dxa"/>
          </w:tblCellMar>
        </w:tblPrEx>
        <w:trPr>
          <w:trHeight w:val="549" w:hRule="atLeast"/>
        </w:trPr>
        <w:tc>
          <w:tcPr>
            <w:tcW w:w="9102" w:type="dxa"/>
            <w:tcBorders>
              <w:top w:val="nil"/>
              <w:left w:val="nil"/>
              <w:bottom w:val="nil"/>
              <w:right w:val="nil"/>
            </w:tcBorders>
            <w:shd w:val="clear" w:color="auto" w:fill="auto"/>
            <w:tcMar>
              <w:top w:w="15" w:type="dxa"/>
              <w:left w:w="15" w:type="dxa"/>
              <w:right w:w="15" w:type="dxa"/>
            </w:tcMar>
            <w:vAlign w:val="bottom"/>
          </w:tcPr>
          <w:tbl>
            <w:tblPr>
              <w:tblStyle w:val="7"/>
              <w:tblW w:w="9067" w:type="dxa"/>
              <w:tblInd w:w="0" w:type="dxa"/>
              <w:shd w:val="clear" w:color="auto" w:fill="auto"/>
              <w:tblLayout w:type="fixed"/>
              <w:tblCellMar>
                <w:top w:w="0" w:type="dxa"/>
                <w:left w:w="0" w:type="dxa"/>
                <w:bottom w:w="0" w:type="dxa"/>
                <w:right w:w="0" w:type="dxa"/>
              </w:tblCellMar>
            </w:tblPr>
            <w:tblGrid>
              <w:gridCol w:w="2933"/>
              <w:gridCol w:w="204"/>
              <w:gridCol w:w="214"/>
              <w:gridCol w:w="444"/>
              <w:gridCol w:w="458"/>
              <w:gridCol w:w="2848"/>
              <w:gridCol w:w="89"/>
              <w:gridCol w:w="205"/>
              <w:gridCol w:w="214"/>
              <w:gridCol w:w="902"/>
              <w:gridCol w:w="556"/>
            </w:tblGrid>
            <w:tr>
              <w:tblPrEx>
                <w:shd w:val="clear" w:color="auto" w:fill="auto"/>
                <w:tblLayout w:type="fixed"/>
                <w:tblCellMar>
                  <w:top w:w="0" w:type="dxa"/>
                  <w:left w:w="0" w:type="dxa"/>
                  <w:bottom w:w="0" w:type="dxa"/>
                  <w:right w:w="0" w:type="dxa"/>
                </w:tblCellMar>
              </w:tblPrEx>
              <w:trPr>
                <w:trHeight w:val="429" w:hRule="atLeast"/>
              </w:trPr>
              <w:tc>
                <w:tcPr>
                  <w:tcW w:w="9067" w:type="dxa"/>
                  <w:gridSpan w:val="11"/>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28"/>
                      <w:szCs w:val="28"/>
                      <w:u w:val="none"/>
                      <w:lang w:val="en-US" w:eastAsia="zh-CN" w:bidi="ar"/>
                    </w:rPr>
                    <w:t>收入支出决算总表</w:t>
                  </w:r>
                </w:p>
              </w:tc>
            </w:tr>
            <w:tr>
              <w:tblPrEx>
                <w:tblLayout w:type="fixed"/>
                <w:tblCellMar>
                  <w:top w:w="0" w:type="dxa"/>
                  <w:left w:w="0" w:type="dxa"/>
                  <w:bottom w:w="0" w:type="dxa"/>
                  <w:right w:w="0" w:type="dxa"/>
                </w:tblCellMar>
              </w:tblPrEx>
              <w:trPr>
                <w:trHeight w:val="255" w:hRule="atLeast"/>
              </w:trPr>
              <w:tc>
                <w:tcPr>
                  <w:tcW w:w="3137" w:type="dxa"/>
                  <w:gridSpan w:val="2"/>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658" w:type="dxa"/>
                  <w:gridSpan w:val="2"/>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306" w:type="dxa"/>
                  <w:gridSpan w:val="2"/>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94" w:type="dxa"/>
                  <w:gridSpan w:val="2"/>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672"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Layout w:type="fixed"/>
                <w:tblCellMar>
                  <w:top w:w="0" w:type="dxa"/>
                  <w:left w:w="0" w:type="dxa"/>
                  <w:bottom w:w="0" w:type="dxa"/>
                  <w:right w:w="0" w:type="dxa"/>
                </w:tblCellMar>
              </w:tblPrEx>
              <w:trPr>
                <w:trHeight w:val="255" w:hRule="atLeast"/>
              </w:trPr>
              <w:tc>
                <w:tcPr>
                  <w:tcW w:w="7101" w:type="dxa"/>
                  <w:gridSpan w:val="6"/>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294" w:type="dxa"/>
                  <w:gridSpan w:val="2"/>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672"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gridAfter w:val="1"/>
                <w:wAfter w:w="556" w:type="dxa"/>
                <w:trHeight w:val="308" w:hRule="atLeast"/>
              </w:trPr>
              <w:tc>
                <w:tcPr>
                  <w:tcW w:w="425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42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25,077.81</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4,945.62</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298.86</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12,063.82</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3,466.47</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30,322.30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32,127.96</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11,818.41</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10,012.75</w:t>
                  </w: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gridAfter w:val="1"/>
                <w:wAfter w:w="556" w:type="dxa"/>
                <w:trHeight w:val="308" w:hRule="atLeast"/>
              </w:trPr>
              <w:tc>
                <w:tcPr>
                  <w:tcW w:w="293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1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90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42,140.70</w:t>
                  </w:r>
                </w:p>
              </w:tc>
              <w:tc>
                <w:tcPr>
                  <w:tcW w:w="293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4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42,140.70</w:t>
                  </w:r>
                </w:p>
              </w:tc>
            </w:tr>
            <w:tr>
              <w:tblPrEx>
                <w:tblLayout w:type="fixed"/>
                <w:tblCellMar>
                  <w:top w:w="0" w:type="dxa"/>
                  <w:left w:w="0" w:type="dxa"/>
                  <w:bottom w:w="0" w:type="dxa"/>
                  <w:right w:w="0" w:type="dxa"/>
                </w:tblCellMar>
              </w:tblPrEx>
              <w:trPr>
                <w:trHeight w:val="308" w:hRule="atLeast"/>
              </w:trPr>
              <w:tc>
                <w:tcPr>
                  <w:tcW w:w="9067"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p>
            <w:pPr>
              <w:jc w:val="center"/>
              <w:rPr>
                <w:rFonts w:hint="default" w:ascii="Arial" w:hAnsi="Arial" w:cs="Arial"/>
                <w:i w:val="0"/>
                <w:color w:val="000000"/>
                <w:sz w:val="20"/>
                <w:szCs w:val="20"/>
                <w:u w:val="none"/>
              </w:rPr>
            </w:pPr>
          </w:p>
        </w:tc>
      </w:tr>
    </w:tbl>
    <w:p>
      <w:pPr>
        <w:tabs>
          <w:tab w:val="left" w:pos="886"/>
        </w:tabs>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tbl>
      <w:tblPr>
        <w:tblStyle w:val="7"/>
        <w:tblW w:w="9102" w:type="dxa"/>
        <w:tblInd w:w="0" w:type="dxa"/>
        <w:shd w:val="clear" w:color="auto" w:fill="auto"/>
        <w:tblLayout w:type="fixed"/>
        <w:tblCellMar>
          <w:top w:w="0" w:type="dxa"/>
          <w:left w:w="0" w:type="dxa"/>
          <w:bottom w:w="0" w:type="dxa"/>
          <w:right w:w="0" w:type="dxa"/>
        </w:tblCellMar>
      </w:tblPr>
      <w:tblGrid>
        <w:gridCol w:w="571"/>
        <w:gridCol w:w="41"/>
        <w:gridCol w:w="267"/>
        <w:gridCol w:w="3570"/>
        <w:gridCol w:w="1035"/>
        <w:gridCol w:w="915"/>
        <w:gridCol w:w="675"/>
        <w:gridCol w:w="493"/>
        <w:gridCol w:w="388"/>
        <w:gridCol w:w="388"/>
        <w:gridCol w:w="759"/>
      </w:tblGrid>
      <w:tr>
        <w:tblPrEx>
          <w:shd w:val="clear" w:color="auto" w:fill="auto"/>
          <w:tblLayout w:type="fixed"/>
          <w:tblCellMar>
            <w:top w:w="0" w:type="dxa"/>
            <w:left w:w="0" w:type="dxa"/>
            <w:bottom w:w="0" w:type="dxa"/>
            <w:right w:w="0" w:type="dxa"/>
          </w:tblCellMar>
        </w:tblPrEx>
        <w:trPr>
          <w:trHeight w:val="444" w:hRule="atLeast"/>
        </w:trPr>
        <w:tc>
          <w:tcPr>
            <w:tcW w:w="9102" w:type="dxa"/>
            <w:gridSpan w:val="11"/>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28"/>
                <w:szCs w:val="28"/>
                <w:u w:val="none"/>
                <w:lang w:val="en-US" w:eastAsia="zh-CN" w:bidi="ar"/>
              </w:rPr>
              <w:t>收入决算表</w:t>
            </w:r>
          </w:p>
        </w:tc>
      </w:tr>
      <w:tr>
        <w:tblPrEx>
          <w:tblLayout w:type="fixed"/>
          <w:tblCellMar>
            <w:top w:w="0" w:type="dxa"/>
            <w:left w:w="0" w:type="dxa"/>
            <w:bottom w:w="0" w:type="dxa"/>
            <w:right w:w="0" w:type="dxa"/>
          </w:tblCellMar>
        </w:tblPrEx>
        <w:trPr>
          <w:trHeight w:val="255" w:hRule="atLeast"/>
        </w:trPr>
        <w:tc>
          <w:tcPr>
            <w:tcW w:w="57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6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5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0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91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8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147"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Layout w:type="fixed"/>
          <w:tblCellMar>
            <w:top w:w="0" w:type="dxa"/>
            <w:left w:w="0" w:type="dxa"/>
            <w:bottom w:w="0" w:type="dxa"/>
            <w:right w:w="0" w:type="dxa"/>
          </w:tblCellMar>
        </w:tblPrEx>
        <w:trPr>
          <w:trHeight w:val="255" w:hRule="atLeast"/>
        </w:trPr>
        <w:tc>
          <w:tcPr>
            <w:tcW w:w="4449"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10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91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9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535"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444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67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4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3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3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75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Layout w:type="fixed"/>
          <w:tblCellMar>
            <w:top w:w="0" w:type="dxa"/>
            <w:left w:w="0" w:type="dxa"/>
            <w:bottom w:w="0" w:type="dxa"/>
            <w:right w:w="0" w:type="dxa"/>
          </w:tblCellMar>
        </w:tblPrEx>
        <w:trPr>
          <w:trHeight w:val="308" w:hRule="atLeast"/>
        </w:trPr>
        <w:tc>
          <w:tcPr>
            <w:tcW w:w="87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5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87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87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444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Layout w:type="fixed"/>
          <w:tblCellMar>
            <w:top w:w="0" w:type="dxa"/>
            <w:left w:w="0" w:type="dxa"/>
            <w:bottom w:w="0" w:type="dxa"/>
            <w:right w:w="0" w:type="dxa"/>
          </w:tblCellMar>
        </w:tblPrEx>
        <w:trPr>
          <w:trHeight w:val="308" w:hRule="atLeast"/>
        </w:trPr>
        <w:tc>
          <w:tcPr>
            <w:tcW w:w="444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30,322.30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30,023.43</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298.86</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人大事务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2010102</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一般行政管理事务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31.79</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31.79</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31.79</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31.79</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机关事业单位基本养老保险缴费支出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31.79</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31.79</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12,394.50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12,315.30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12,394.50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12,315.30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9,990.65</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9,911.45</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8,715.68</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8,535.14</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180.54</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510.25</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454.47</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55.78</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405.45</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392.25</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13.20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42.23</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42.23</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2120199</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62.57</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42.57</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3,197.89</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3,073.12</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124.77</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3,197.89</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3,073.12</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124.77</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建设市场管理与监督</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61.93</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61.93</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建设市场管理与监督</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61.93</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61.93</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4,348.07</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4,348.07</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3,050.07</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3,050.07</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2120811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1,258.00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1,258.00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9,128.10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9,088.98</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39.12</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保障性安居工程支出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9,114.12</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9,075.00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39.12</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2210105</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农村危房改造</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79.12</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39.12</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2210107</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保障性住房租金补贴</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35.00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2210199</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9,000.00</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9,000.00</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13.98</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13.98</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87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13.98</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13.98</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9102"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tbl>
      <w:tblPr>
        <w:tblStyle w:val="7"/>
        <w:tblW w:w="9102" w:type="dxa"/>
        <w:tblInd w:w="0" w:type="dxa"/>
        <w:shd w:val="clear" w:color="auto" w:fill="auto"/>
        <w:tblLayout w:type="fixed"/>
        <w:tblCellMar>
          <w:top w:w="0" w:type="dxa"/>
          <w:left w:w="0" w:type="dxa"/>
          <w:bottom w:w="0" w:type="dxa"/>
          <w:right w:w="0" w:type="dxa"/>
        </w:tblCellMar>
      </w:tblPr>
      <w:tblGrid>
        <w:gridCol w:w="603"/>
        <w:gridCol w:w="41"/>
        <w:gridCol w:w="45"/>
        <w:gridCol w:w="4669"/>
        <w:gridCol w:w="872"/>
        <w:gridCol w:w="592"/>
        <w:gridCol w:w="872"/>
        <w:gridCol w:w="404"/>
        <w:gridCol w:w="404"/>
        <w:gridCol w:w="600"/>
      </w:tblGrid>
      <w:tr>
        <w:tblPrEx>
          <w:shd w:val="clear" w:color="auto" w:fill="auto"/>
          <w:tblLayout w:type="fixed"/>
          <w:tblCellMar>
            <w:top w:w="0" w:type="dxa"/>
            <w:left w:w="0" w:type="dxa"/>
            <w:bottom w:w="0" w:type="dxa"/>
            <w:right w:w="0" w:type="dxa"/>
          </w:tblCellMar>
        </w:tblPrEx>
        <w:trPr>
          <w:trHeight w:val="489" w:hRule="atLeast"/>
        </w:trPr>
        <w:tc>
          <w:tcPr>
            <w:tcW w:w="9102" w:type="dxa"/>
            <w:gridSpan w:val="10"/>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Layout w:type="fixed"/>
          <w:tblCellMar>
            <w:top w:w="0" w:type="dxa"/>
            <w:left w:w="0" w:type="dxa"/>
            <w:bottom w:w="0" w:type="dxa"/>
            <w:right w:w="0" w:type="dxa"/>
          </w:tblCellMar>
        </w:tblPrEx>
        <w:trPr>
          <w:trHeight w:val="255" w:hRule="atLeast"/>
        </w:trPr>
        <w:tc>
          <w:tcPr>
            <w:tcW w:w="60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66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59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0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004"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Layout w:type="fixed"/>
          <w:tblCellMar>
            <w:top w:w="0" w:type="dxa"/>
            <w:left w:w="0" w:type="dxa"/>
            <w:bottom w:w="0" w:type="dxa"/>
            <w:right w:w="0" w:type="dxa"/>
          </w:tblCellMar>
        </w:tblPrEx>
        <w:trPr>
          <w:trHeight w:val="255" w:hRule="atLeast"/>
        </w:trPr>
        <w:tc>
          <w:tcPr>
            <w:tcW w:w="5358"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8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59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408"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535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7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5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87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40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40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6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Layout w:type="fixed"/>
          <w:tblCellMar>
            <w:top w:w="0" w:type="dxa"/>
            <w:left w:w="0" w:type="dxa"/>
            <w:bottom w:w="0" w:type="dxa"/>
            <w:right w:w="0" w:type="dxa"/>
          </w:tblCellMar>
        </w:tblPrEx>
        <w:trPr>
          <w:trHeight w:val="308" w:hRule="atLeast"/>
        </w:trPr>
        <w:tc>
          <w:tcPr>
            <w:tcW w:w="6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6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6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6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535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Layout w:type="fixed"/>
          <w:tblCellMar>
            <w:top w:w="0" w:type="dxa"/>
            <w:left w:w="0" w:type="dxa"/>
            <w:bottom w:w="0" w:type="dxa"/>
            <w:right w:w="0" w:type="dxa"/>
          </w:tblCellMar>
        </w:tblPrEx>
        <w:trPr>
          <w:trHeight w:val="308" w:hRule="atLeast"/>
        </w:trPr>
        <w:tc>
          <w:tcPr>
            <w:tcW w:w="535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32,127.96</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480.94</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31,647.01</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人大事务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2010102</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14,098.19</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14,098.19</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12,063.82</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405.45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11,658.37</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524.17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405.45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118.72</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405.45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405.45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47.02</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47.02</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2120199</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71.70</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建设市场管理与监督</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建设市场管理与监督</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7,475.38</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7,475.38</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6,425.01</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6,425.01</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2120811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1,000.37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1,000.37</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3,466.47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3,451.90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保障性安居工程支出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3,451.90</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3,451.90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2210105</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农村危房改造</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79.12</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79.12</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2210199</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4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5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4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9102"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Pr>
        <w:jc w:val="left"/>
      </w:pPr>
    </w:p>
    <w:p>
      <w:r>
        <w:br w:type="page"/>
      </w:r>
    </w:p>
    <w:tbl>
      <w:tblPr>
        <w:tblStyle w:val="7"/>
        <w:tblW w:w="9102" w:type="dxa"/>
        <w:tblInd w:w="0" w:type="dxa"/>
        <w:shd w:val="clear" w:color="auto" w:fill="auto"/>
        <w:tblLayout w:type="fixed"/>
        <w:tblCellMar>
          <w:top w:w="0" w:type="dxa"/>
          <w:left w:w="0" w:type="dxa"/>
          <w:bottom w:w="0" w:type="dxa"/>
          <w:right w:w="0" w:type="dxa"/>
        </w:tblCellMar>
      </w:tblPr>
      <w:tblGrid>
        <w:gridCol w:w="2454"/>
        <w:gridCol w:w="216"/>
        <w:gridCol w:w="870"/>
        <w:gridCol w:w="2829"/>
        <w:gridCol w:w="217"/>
        <w:gridCol w:w="870"/>
        <w:gridCol w:w="870"/>
        <w:gridCol w:w="776"/>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8"/>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Layout w:type="fixed"/>
          <w:tblCellMar>
            <w:top w:w="0" w:type="dxa"/>
            <w:left w:w="0" w:type="dxa"/>
            <w:bottom w:w="0" w:type="dxa"/>
            <w:right w:w="0" w:type="dxa"/>
          </w:tblCellMar>
        </w:tblPrEx>
        <w:trPr>
          <w:trHeight w:val="255" w:hRule="atLeast"/>
        </w:trPr>
        <w:tc>
          <w:tcPr>
            <w:tcW w:w="245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1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82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1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646"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Layout w:type="fixed"/>
          <w:tblCellMar>
            <w:top w:w="0" w:type="dxa"/>
            <w:left w:w="0" w:type="dxa"/>
            <w:bottom w:w="0" w:type="dxa"/>
            <w:right w:w="0" w:type="dxa"/>
          </w:tblCellMar>
        </w:tblPrEx>
        <w:trPr>
          <w:trHeight w:val="255" w:hRule="atLeast"/>
        </w:trPr>
        <w:tc>
          <w:tcPr>
            <w:tcW w:w="6369"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21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646"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35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5562"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Layout w:type="fixed"/>
          <w:tblCellMar>
            <w:top w:w="0" w:type="dxa"/>
            <w:left w:w="0" w:type="dxa"/>
            <w:bottom w:w="0" w:type="dxa"/>
            <w:right w:w="0" w:type="dxa"/>
          </w:tblCellMar>
        </w:tblPrEx>
        <w:trPr>
          <w:trHeight w:val="292" w:hRule="atLeast"/>
        </w:trPr>
        <w:tc>
          <w:tcPr>
            <w:tcW w:w="245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8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7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Layout w:type="fixed"/>
          <w:tblCellMar>
            <w:top w:w="0" w:type="dxa"/>
            <w:left w:w="0" w:type="dxa"/>
            <w:bottom w:w="0" w:type="dxa"/>
            <w:right w:w="0" w:type="dxa"/>
          </w:tblCellMar>
        </w:tblPrEx>
        <w:trPr>
          <w:trHeight w:val="615" w:hRule="atLeast"/>
        </w:trPr>
        <w:tc>
          <w:tcPr>
            <w:tcW w:w="245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25,077.81</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4,945.62</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11,883.28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3,810.34</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8,072.93</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3,427.35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3,427.35</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30,023.43</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31,829.09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23,756.16</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8,072.93</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11,818.41</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10,012.75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9,755.12</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257.63</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8,433.46</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3,384.94</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41,841.84</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41,841.84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33,511.28</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8,330.56</w:t>
            </w:r>
          </w:p>
        </w:tc>
      </w:tr>
      <w:tr>
        <w:tblPrEx>
          <w:tblLayout w:type="fixed"/>
          <w:tblCellMar>
            <w:top w:w="0" w:type="dxa"/>
            <w:left w:w="0" w:type="dxa"/>
            <w:bottom w:w="0" w:type="dxa"/>
            <w:right w:w="0" w:type="dxa"/>
          </w:tblCellMar>
        </w:tblPrEx>
        <w:trPr>
          <w:trHeight w:val="308" w:hRule="atLeast"/>
        </w:trPr>
        <w:tc>
          <w:tcPr>
            <w:tcW w:w="9102"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r>
        <w:br w:type="page"/>
      </w:r>
    </w:p>
    <w:tbl>
      <w:tblPr>
        <w:tblStyle w:val="7"/>
        <w:tblW w:w="9102" w:type="dxa"/>
        <w:tblInd w:w="0" w:type="dxa"/>
        <w:shd w:val="clear" w:color="auto" w:fill="auto"/>
        <w:tblLayout w:type="fixed"/>
        <w:tblCellMar>
          <w:top w:w="0" w:type="dxa"/>
          <w:left w:w="0" w:type="dxa"/>
          <w:bottom w:w="0" w:type="dxa"/>
          <w:right w:w="0" w:type="dxa"/>
        </w:tblCellMar>
      </w:tblPr>
      <w:tblGrid>
        <w:gridCol w:w="2300"/>
        <w:gridCol w:w="36"/>
        <w:gridCol w:w="36"/>
        <w:gridCol w:w="3663"/>
        <w:gridCol w:w="1000"/>
        <w:gridCol w:w="677"/>
        <w:gridCol w:w="1390"/>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7"/>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Layout w:type="fixed"/>
          <w:tblCellMar>
            <w:top w:w="0" w:type="dxa"/>
            <w:left w:w="0" w:type="dxa"/>
            <w:bottom w:w="0" w:type="dxa"/>
            <w:right w:w="0" w:type="dxa"/>
          </w:tblCellMar>
        </w:tblPrEx>
        <w:trPr>
          <w:trHeight w:val="255" w:hRule="atLeast"/>
        </w:trPr>
        <w:tc>
          <w:tcPr>
            <w:tcW w:w="230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66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67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39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Layout w:type="fixed"/>
          <w:tblCellMar>
            <w:top w:w="0" w:type="dxa"/>
            <w:left w:w="0" w:type="dxa"/>
            <w:bottom w:w="0" w:type="dxa"/>
            <w:right w:w="0" w:type="dxa"/>
          </w:tblCellMar>
        </w:tblPrEx>
        <w:trPr>
          <w:trHeight w:val="255" w:hRule="atLeast"/>
        </w:trPr>
        <w:tc>
          <w:tcPr>
            <w:tcW w:w="6035"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100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67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39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60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06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Layout w:type="fixed"/>
          <w:tblCellMar>
            <w:top w:w="0" w:type="dxa"/>
            <w:left w:w="0" w:type="dxa"/>
            <w:bottom w:w="0" w:type="dxa"/>
            <w:right w:w="0" w:type="dxa"/>
          </w:tblCellMar>
        </w:tblPrEx>
        <w:trPr>
          <w:trHeight w:val="308" w:hRule="atLeast"/>
        </w:trPr>
        <w:tc>
          <w:tcPr>
            <w:tcW w:w="237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6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6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3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Layout w:type="fixed"/>
          <w:tblCellMar>
            <w:top w:w="0" w:type="dxa"/>
            <w:left w:w="0" w:type="dxa"/>
            <w:bottom w:w="0" w:type="dxa"/>
            <w:right w:w="0" w:type="dxa"/>
          </w:tblCellMar>
        </w:tblPrEx>
        <w:trPr>
          <w:trHeight w:val="277" w:hRule="atLeast"/>
        </w:trPr>
        <w:tc>
          <w:tcPr>
            <w:tcW w:w="237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37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03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Layout w:type="fixed"/>
          <w:tblCellMar>
            <w:top w:w="0" w:type="dxa"/>
            <w:left w:w="0" w:type="dxa"/>
            <w:bottom w:w="0" w:type="dxa"/>
            <w:right w:w="0" w:type="dxa"/>
          </w:tblCellMar>
        </w:tblPrEx>
        <w:trPr>
          <w:trHeight w:val="308" w:hRule="atLeast"/>
        </w:trPr>
        <w:tc>
          <w:tcPr>
            <w:tcW w:w="603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23,756.16</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467.74</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23,288.42</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人大事务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2010102</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14,018.99</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14,018.99</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3,810.34</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392.25</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3,418.10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468.40</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392.25</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76.15</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392.25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392.25</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47.02</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47.02</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2120199</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29.13</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29.13</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建设市场管理与监督</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建设市场管理与监督</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3,427.35</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3,412.78</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保障性安居工程支出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3,412.78</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3,412.78</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2210105</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农村危房改造</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2210199</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37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6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6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13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bl>
    <w:p>
      <w:r>
        <w:br w:type="page"/>
      </w:r>
    </w:p>
    <w:tbl>
      <w:tblPr>
        <w:tblStyle w:val="7"/>
        <w:tblW w:w="9102" w:type="dxa"/>
        <w:tblInd w:w="0" w:type="dxa"/>
        <w:shd w:val="clear" w:color="auto" w:fill="auto"/>
        <w:tblLayout w:type="fixed"/>
        <w:tblCellMar>
          <w:top w:w="0" w:type="dxa"/>
          <w:left w:w="0" w:type="dxa"/>
          <w:bottom w:w="0" w:type="dxa"/>
          <w:right w:w="0" w:type="dxa"/>
        </w:tblCellMar>
      </w:tblPr>
      <w:tblGrid>
        <w:gridCol w:w="394"/>
        <w:gridCol w:w="2220"/>
        <w:gridCol w:w="468"/>
        <w:gridCol w:w="395"/>
        <w:gridCol w:w="1490"/>
        <w:gridCol w:w="468"/>
        <w:gridCol w:w="395"/>
        <w:gridCol w:w="2804"/>
        <w:gridCol w:w="468"/>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9"/>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Layout w:type="fixed"/>
          <w:tblCellMar>
            <w:top w:w="0" w:type="dxa"/>
            <w:left w:w="0" w:type="dxa"/>
            <w:bottom w:w="0" w:type="dxa"/>
            <w:right w:w="0" w:type="dxa"/>
          </w:tblCellMar>
        </w:tblPrEx>
        <w:trPr>
          <w:trHeight w:val="255" w:hRule="atLeast"/>
        </w:trPr>
        <w:tc>
          <w:tcPr>
            <w:tcW w:w="39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22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6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9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49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6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9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272"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Layout w:type="fixed"/>
          <w:tblCellMar>
            <w:top w:w="0" w:type="dxa"/>
            <w:left w:w="0" w:type="dxa"/>
            <w:bottom w:w="0" w:type="dxa"/>
            <w:right w:w="0" w:type="dxa"/>
          </w:tblCellMar>
        </w:tblPrEx>
        <w:trPr>
          <w:trHeight w:val="255" w:hRule="atLeast"/>
        </w:trPr>
        <w:tc>
          <w:tcPr>
            <w:tcW w:w="4967" w:type="dxa"/>
            <w:gridSpan w:val="5"/>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46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9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272"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308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6020"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Layout w:type="fixed"/>
          <w:tblCellMar>
            <w:top w:w="0" w:type="dxa"/>
            <w:left w:w="0" w:type="dxa"/>
            <w:bottom w:w="0" w:type="dxa"/>
            <w:right w:w="0" w:type="dxa"/>
          </w:tblCellMar>
        </w:tblPrEx>
        <w:trPr>
          <w:trHeight w:val="308" w:hRule="atLeast"/>
        </w:trPr>
        <w:tc>
          <w:tcPr>
            <w:tcW w:w="39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2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3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4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3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80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Layout w:type="fixed"/>
          <w:tblCellMar>
            <w:top w:w="0" w:type="dxa"/>
            <w:left w:w="0" w:type="dxa"/>
            <w:bottom w:w="0" w:type="dxa"/>
            <w:right w:w="0" w:type="dxa"/>
          </w:tblCellMar>
        </w:tblPrEx>
        <w:trPr>
          <w:trHeight w:val="308" w:hRule="atLeast"/>
        </w:trPr>
        <w:tc>
          <w:tcPr>
            <w:tcW w:w="39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0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290.01</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147.73</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67.77</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6.79</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30.53</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115.58</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3.67</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38.87</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12.42</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0.64</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5.99</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14.57</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17.58</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20.38</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65.96</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0.95</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1.93</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7.56</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10.91</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39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4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w:t>
            </w:r>
          </w:p>
        </w:tc>
        <w:tc>
          <w:tcPr>
            <w:tcW w:w="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8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614"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320.01</w:t>
            </w:r>
          </w:p>
        </w:tc>
        <w:tc>
          <w:tcPr>
            <w:tcW w:w="5552"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4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147.73</w:t>
            </w:r>
          </w:p>
        </w:tc>
      </w:tr>
    </w:tbl>
    <w:p>
      <w:r>
        <w:br w:type="page"/>
      </w:r>
    </w:p>
    <w:tbl>
      <w:tblPr>
        <w:tblStyle w:val="7"/>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8.1</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7.56</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7.56</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7.56</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102" w:type="dxa"/>
        <w:tblInd w:w="0" w:type="dxa"/>
        <w:shd w:val="clear" w:color="auto" w:fill="auto"/>
        <w:tblLayout w:type="fixed"/>
        <w:tblCellMar>
          <w:top w:w="0" w:type="dxa"/>
          <w:left w:w="0" w:type="dxa"/>
          <w:bottom w:w="0" w:type="dxa"/>
          <w:right w:w="0" w:type="dxa"/>
        </w:tblCellMar>
      </w:tblPr>
      <w:tblGrid>
        <w:gridCol w:w="634"/>
        <w:gridCol w:w="35"/>
        <w:gridCol w:w="35"/>
        <w:gridCol w:w="4463"/>
        <w:gridCol w:w="745"/>
        <w:gridCol w:w="745"/>
        <w:gridCol w:w="745"/>
        <w:gridCol w:w="388"/>
        <w:gridCol w:w="745"/>
        <w:gridCol w:w="567"/>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10"/>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Layout w:type="fixed"/>
          <w:tblCellMar>
            <w:top w:w="0" w:type="dxa"/>
            <w:left w:w="0" w:type="dxa"/>
            <w:bottom w:w="0" w:type="dxa"/>
            <w:right w:w="0" w:type="dxa"/>
          </w:tblCellMar>
        </w:tblPrEx>
        <w:trPr>
          <w:trHeight w:val="255" w:hRule="atLeast"/>
        </w:trPr>
        <w:tc>
          <w:tcPr>
            <w:tcW w:w="63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463"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8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312"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Layout w:type="fixed"/>
          <w:tblCellMar>
            <w:top w:w="0" w:type="dxa"/>
            <w:left w:w="0" w:type="dxa"/>
            <w:bottom w:w="0" w:type="dxa"/>
            <w:right w:w="0" w:type="dxa"/>
          </w:tblCellMar>
        </w:tblPrEx>
        <w:trPr>
          <w:trHeight w:val="255" w:hRule="atLeast"/>
        </w:trPr>
        <w:tc>
          <w:tcPr>
            <w:tcW w:w="5167"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部门：石家庄市鹿泉区住房和城乡建设局（本级）</w:t>
            </w:r>
          </w:p>
        </w:tc>
        <w:tc>
          <w:tcPr>
            <w:tcW w:w="7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4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445" w:type="dxa"/>
            <w:gridSpan w:val="4"/>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516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7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7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187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Layout w:type="fixed"/>
          <w:tblCellMar>
            <w:top w:w="0" w:type="dxa"/>
            <w:left w:w="0" w:type="dxa"/>
            <w:bottom w:w="0" w:type="dxa"/>
            <w:right w:w="0" w:type="dxa"/>
          </w:tblCellMar>
        </w:tblPrEx>
        <w:trPr>
          <w:trHeight w:val="308" w:hRule="atLeast"/>
        </w:trPr>
        <w:tc>
          <w:tcPr>
            <w:tcW w:w="70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3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7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70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70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516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Layout w:type="fixed"/>
          <w:tblCellMar>
            <w:top w:w="0" w:type="dxa"/>
            <w:left w:w="0" w:type="dxa"/>
            <w:bottom w:w="0" w:type="dxa"/>
            <w:right w:w="0" w:type="dxa"/>
          </w:tblCellMar>
        </w:tblPrEx>
        <w:trPr>
          <w:trHeight w:val="308" w:hRule="atLeast"/>
        </w:trPr>
        <w:tc>
          <w:tcPr>
            <w:tcW w:w="516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3,384.94</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4,945.62</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8,072.93</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8,072.93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257.63</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3,384.94</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4,945.62</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8,072.93</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8,072.93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257.63</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3,384.94</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4,348.07</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7,475.38</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7,475.38</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257.63</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3,374.94</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3,050.07</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6,425.01</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6,425.01</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2120811</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1,258.00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1,000.37</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1,000.37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257.63</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70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bl>
    <w:p>
      <w:r>
        <w:br w:type="page"/>
      </w:r>
    </w:p>
    <w:tbl>
      <w:tblPr>
        <w:tblStyle w:val="7"/>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jc w:val="left"/>
      </w:pPr>
      <w:r>
        <w:rPr>
          <w:rFonts w:hint="eastAsia" w:ascii="宋体" w:hAnsi="宋体" w:eastAsia="宋体" w:cs="宋体"/>
          <w:color w:val="000000"/>
          <w:kern w:val="0"/>
          <w:sz w:val="22"/>
          <w:szCs w:val="22"/>
          <w:lang w:bidi="ar"/>
        </w:rPr>
        <w:t>注：本表反映部门本年度国有资本经营预算财政拨款支出情况。</w:t>
      </w:r>
      <w:r>
        <w:rPr>
          <w:rFonts w:hint="eastAsia" w:ascii="宋体" w:hAnsi="宋体" w:eastAsia="宋体" w:cs="宋体"/>
          <w:color w:val="000000"/>
          <w:kern w:val="0"/>
          <w:sz w:val="22"/>
          <w:szCs w:val="22"/>
          <w:lang w:eastAsia="zh-CN" w:bidi="ar"/>
        </w:rPr>
        <w:t>本部门本年度无相关收入（或支出、收支及结余结转等）情况，按要求空表列示。</w:t>
      </w:r>
      <w: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34F31"/>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82AEA"/>
    <w:rsid w:val="00DB7153"/>
    <w:rsid w:val="00DB7F05"/>
    <w:rsid w:val="00DE2332"/>
    <w:rsid w:val="00E028C3"/>
    <w:rsid w:val="00E14F77"/>
    <w:rsid w:val="00E3076B"/>
    <w:rsid w:val="00E36978"/>
    <w:rsid w:val="00E82A1E"/>
    <w:rsid w:val="00EA05EC"/>
    <w:rsid w:val="00EC06F4"/>
    <w:rsid w:val="00EE4E36"/>
    <w:rsid w:val="00F665F4"/>
    <w:rsid w:val="00FD225F"/>
    <w:rsid w:val="01D83355"/>
    <w:rsid w:val="01DD60E4"/>
    <w:rsid w:val="0346148E"/>
    <w:rsid w:val="03800EE7"/>
    <w:rsid w:val="03A26DE4"/>
    <w:rsid w:val="03AD437A"/>
    <w:rsid w:val="03FB2E47"/>
    <w:rsid w:val="040771D6"/>
    <w:rsid w:val="04913890"/>
    <w:rsid w:val="04AB59C5"/>
    <w:rsid w:val="054731E3"/>
    <w:rsid w:val="05B00A30"/>
    <w:rsid w:val="05EB2C87"/>
    <w:rsid w:val="063C2BD9"/>
    <w:rsid w:val="064447CD"/>
    <w:rsid w:val="074E073B"/>
    <w:rsid w:val="0789110B"/>
    <w:rsid w:val="0838709B"/>
    <w:rsid w:val="08920E89"/>
    <w:rsid w:val="09022721"/>
    <w:rsid w:val="09043326"/>
    <w:rsid w:val="09CC55F0"/>
    <w:rsid w:val="0A0A7428"/>
    <w:rsid w:val="0A3F1F78"/>
    <w:rsid w:val="0B011416"/>
    <w:rsid w:val="0B93025C"/>
    <w:rsid w:val="0C2535A7"/>
    <w:rsid w:val="0C295C2E"/>
    <w:rsid w:val="0C4A162A"/>
    <w:rsid w:val="0C922930"/>
    <w:rsid w:val="0C946E45"/>
    <w:rsid w:val="0CAC1BD4"/>
    <w:rsid w:val="0DC2758E"/>
    <w:rsid w:val="0DCE4104"/>
    <w:rsid w:val="0E633AC9"/>
    <w:rsid w:val="0EB439A4"/>
    <w:rsid w:val="0EE229B1"/>
    <w:rsid w:val="0F0C7CE2"/>
    <w:rsid w:val="0FCE6153"/>
    <w:rsid w:val="0FE0094C"/>
    <w:rsid w:val="0FF26DE9"/>
    <w:rsid w:val="10E376B8"/>
    <w:rsid w:val="116F43F9"/>
    <w:rsid w:val="119367C5"/>
    <w:rsid w:val="11CB4C7E"/>
    <w:rsid w:val="11DB092E"/>
    <w:rsid w:val="123D3E23"/>
    <w:rsid w:val="12564789"/>
    <w:rsid w:val="141228D2"/>
    <w:rsid w:val="15207589"/>
    <w:rsid w:val="154E0A41"/>
    <w:rsid w:val="15D178A4"/>
    <w:rsid w:val="16B10E87"/>
    <w:rsid w:val="16D32AB1"/>
    <w:rsid w:val="16F85995"/>
    <w:rsid w:val="173C6D5F"/>
    <w:rsid w:val="17A150DC"/>
    <w:rsid w:val="18AB2943"/>
    <w:rsid w:val="19FE08B6"/>
    <w:rsid w:val="1A2D0ED3"/>
    <w:rsid w:val="1A394D3B"/>
    <w:rsid w:val="1B355061"/>
    <w:rsid w:val="1BCA7DC0"/>
    <w:rsid w:val="1CCB13C3"/>
    <w:rsid w:val="1D4C63B9"/>
    <w:rsid w:val="1D582EFC"/>
    <w:rsid w:val="1E282409"/>
    <w:rsid w:val="1E455ED6"/>
    <w:rsid w:val="1E69115C"/>
    <w:rsid w:val="1EBD7AB8"/>
    <w:rsid w:val="1F2B18A0"/>
    <w:rsid w:val="1F3C25B8"/>
    <w:rsid w:val="1FB043E6"/>
    <w:rsid w:val="200061AB"/>
    <w:rsid w:val="2024424E"/>
    <w:rsid w:val="213506F8"/>
    <w:rsid w:val="215D1F0B"/>
    <w:rsid w:val="21657AF3"/>
    <w:rsid w:val="21757AD0"/>
    <w:rsid w:val="2178084D"/>
    <w:rsid w:val="21BA2195"/>
    <w:rsid w:val="243A0ADF"/>
    <w:rsid w:val="248043D0"/>
    <w:rsid w:val="24C720F9"/>
    <w:rsid w:val="24F4255A"/>
    <w:rsid w:val="251A11CA"/>
    <w:rsid w:val="2561042C"/>
    <w:rsid w:val="25AB0A02"/>
    <w:rsid w:val="25EC2B29"/>
    <w:rsid w:val="26933B17"/>
    <w:rsid w:val="26D90417"/>
    <w:rsid w:val="26DB15E8"/>
    <w:rsid w:val="272D7D9A"/>
    <w:rsid w:val="280136EA"/>
    <w:rsid w:val="28035BC1"/>
    <w:rsid w:val="28C6490B"/>
    <w:rsid w:val="2B1C6C81"/>
    <w:rsid w:val="2B413C86"/>
    <w:rsid w:val="2B4A3FB9"/>
    <w:rsid w:val="2B9D36E1"/>
    <w:rsid w:val="2BAD14B4"/>
    <w:rsid w:val="2BE230CD"/>
    <w:rsid w:val="2C9D30A0"/>
    <w:rsid w:val="2CED3101"/>
    <w:rsid w:val="2DBD202C"/>
    <w:rsid w:val="2DCA2A44"/>
    <w:rsid w:val="2E0237C9"/>
    <w:rsid w:val="2E4F4DFA"/>
    <w:rsid w:val="2F2A1128"/>
    <w:rsid w:val="2F6B3ED0"/>
    <w:rsid w:val="2FD65E4C"/>
    <w:rsid w:val="302F2CF8"/>
    <w:rsid w:val="30322632"/>
    <w:rsid w:val="305F0AB0"/>
    <w:rsid w:val="306D6874"/>
    <w:rsid w:val="30F65CA4"/>
    <w:rsid w:val="31201836"/>
    <w:rsid w:val="31413474"/>
    <w:rsid w:val="315C3618"/>
    <w:rsid w:val="31917448"/>
    <w:rsid w:val="31C2036A"/>
    <w:rsid w:val="32072B4B"/>
    <w:rsid w:val="320D02A5"/>
    <w:rsid w:val="321020FE"/>
    <w:rsid w:val="32D14627"/>
    <w:rsid w:val="330E065C"/>
    <w:rsid w:val="33254ED6"/>
    <w:rsid w:val="3366171B"/>
    <w:rsid w:val="33A71EBD"/>
    <w:rsid w:val="34256110"/>
    <w:rsid w:val="348E566F"/>
    <w:rsid w:val="34D920B6"/>
    <w:rsid w:val="35034261"/>
    <w:rsid w:val="35DB7026"/>
    <w:rsid w:val="37C14D68"/>
    <w:rsid w:val="37CC3180"/>
    <w:rsid w:val="38F9181C"/>
    <w:rsid w:val="39502268"/>
    <w:rsid w:val="395A443D"/>
    <w:rsid w:val="398945D3"/>
    <w:rsid w:val="39CD50BB"/>
    <w:rsid w:val="3A226944"/>
    <w:rsid w:val="3AAF20C5"/>
    <w:rsid w:val="3AEE6A48"/>
    <w:rsid w:val="3C1620AA"/>
    <w:rsid w:val="3C410C16"/>
    <w:rsid w:val="3C59593A"/>
    <w:rsid w:val="3CE216D8"/>
    <w:rsid w:val="3CF61651"/>
    <w:rsid w:val="3D796CCB"/>
    <w:rsid w:val="3D8F080F"/>
    <w:rsid w:val="3DD75329"/>
    <w:rsid w:val="3E384DFC"/>
    <w:rsid w:val="3EA33B1F"/>
    <w:rsid w:val="3EB1504E"/>
    <w:rsid w:val="3EE956F1"/>
    <w:rsid w:val="3F62339B"/>
    <w:rsid w:val="3F903E5C"/>
    <w:rsid w:val="3FB70BA2"/>
    <w:rsid w:val="41187FC2"/>
    <w:rsid w:val="416757F1"/>
    <w:rsid w:val="420C3B70"/>
    <w:rsid w:val="4262564E"/>
    <w:rsid w:val="42672766"/>
    <w:rsid w:val="42AA2CBB"/>
    <w:rsid w:val="43A421EC"/>
    <w:rsid w:val="442B392A"/>
    <w:rsid w:val="44392934"/>
    <w:rsid w:val="44CE1FA4"/>
    <w:rsid w:val="44DC0E65"/>
    <w:rsid w:val="450210BC"/>
    <w:rsid w:val="45EC3C08"/>
    <w:rsid w:val="46482B35"/>
    <w:rsid w:val="4649729A"/>
    <w:rsid w:val="46690CBE"/>
    <w:rsid w:val="46BE1DD7"/>
    <w:rsid w:val="47457130"/>
    <w:rsid w:val="48312721"/>
    <w:rsid w:val="487F73ED"/>
    <w:rsid w:val="48AD1C4A"/>
    <w:rsid w:val="48C9644E"/>
    <w:rsid w:val="48E9255E"/>
    <w:rsid w:val="48FE76C4"/>
    <w:rsid w:val="49134533"/>
    <w:rsid w:val="491E3E14"/>
    <w:rsid w:val="49241388"/>
    <w:rsid w:val="49EF5295"/>
    <w:rsid w:val="4A347EAE"/>
    <w:rsid w:val="4A4835D9"/>
    <w:rsid w:val="4ACE6ECB"/>
    <w:rsid w:val="4B5769B7"/>
    <w:rsid w:val="4BB02850"/>
    <w:rsid w:val="4BB93D77"/>
    <w:rsid w:val="4BF3369A"/>
    <w:rsid w:val="4C1E7171"/>
    <w:rsid w:val="4C2B0322"/>
    <w:rsid w:val="4CF23BA4"/>
    <w:rsid w:val="4D3C3E7B"/>
    <w:rsid w:val="4D704E0B"/>
    <w:rsid w:val="4DBE2190"/>
    <w:rsid w:val="4DEE1949"/>
    <w:rsid w:val="4ED5631A"/>
    <w:rsid w:val="4EDC0CC9"/>
    <w:rsid w:val="4FD95CE4"/>
    <w:rsid w:val="50CE4F78"/>
    <w:rsid w:val="514D0BCA"/>
    <w:rsid w:val="51B101C6"/>
    <w:rsid w:val="52600405"/>
    <w:rsid w:val="5281403D"/>
    <w:rsid w:val="529B4319"/>
    <w:rsid w:val="531C4184"/>
    <w:rsid w:val="53DA7D92"/>
    <w:rsid w:val="540B7508"/>
    <w:rsid w:val="543F6C54"/>
    <w:rsid w:val="548516E3"/>
    <w:rsid w:val="54A66ECA"/>
    <w:rsid w:val="54B0701D"/>
    <w:rsid w:val="55006566"/>
    <w:rsid w:val="55E77EDC"/>
    <w:rsid w:val="56571489"/>
    <w:rsid w:val="56A47068"/>
    <w:rsid w:val="56C32E32"/>
    <w:rsid w:val="573A529B"/>
    <w:rsid w:val="57742A2D"/>
    <w:rsid w:val="57773DD6"/>
    <w:rsid w:val="57802E84"/>
    <w:rsid w:val="57820715"/>
    <w:rsid w:val="578B79AB"/>
    <w:rsid w:val="586C3EA8"/>
    <w:rsid w:val="588530E1"/>
    <w:rsid w:val="5898532E"/>
    <w:rsid w:val="5916706D"/>
    <w:rsid w:val="5A0C4C25"/>
    <w:rsid w:val="5A6B2C66"/>
    <w:rsid w:val="5CAF0BEF"/>
    <w:rsid w:val="5CC1524A"/>
    <w:rsid w:val="5CCD3FD5"/>
    <w:rsid w:val="5DD24DA3"/>
    <w:rsid w:val="5E057D18"/>
    <w:rsid w:val="5EF53A36"/>
    <w:rsid w:val="5F904F4B"/>
    <w:rsid w:val="5F9D178B"/>
    <w:rsid w:val="604743C0"/>
    <w:rsid w:val="604F1AC6"/>
    <w:rsid w:val="60AE607B"/>
    <w:rsid w:val="611908A0"/>
    <w:rsid w:val="61EC273B"/>
    <w:rsid w:val="61FA5F9D"/>
    <w:rsid w:val="6231300A"/>
    <w:rsid w:val="625D42F9"/>
    <w:rsid w:val="62615440"/>
    <w:rsid w:val="62811BEF"/>
    <w:rsid w:val="630D5E90"/>
    <w:rsid w:val="63447F82"/>
    <w:rsid w:val="64475CFF"/>
    <w:rsid w:val="647D2798"/>
    <w:rsid w:val="64991FF4"/>
    <w:rsid w:val="64CD6910"/>
    <w:rsid w:val="64F76286"/>
    <w:rsid w:val="65342E09"/>
    <w:rsid w:val="65EB6403"/>
    <w:rsid w:val="66501875"/>
    <w:rsid w:val="669A5FBA"/>
    <w:rsid w:val="6789158D"/>
    <w:rsid w:val="67D81BA4"/>
    <w:rsid w:val="67E534AB"/>
    <w:rsid w:val="68C2707F"/>
    <w:rsid w:val="69E924D6"/>
    <w:rsid w:val="6A833225"/>
    <w:rsid w:val="6A883A4F"/>
    <w:rsid w:val="6AAF1C96"/>
    <w:rsid w:val="6E3819A1"/>
    <w:rsid w:val="6EE74CF9"/>
    <w:rsid w:val="6FD54B1F"/>
    <w:rsid w:val="70583F73"/>
    <w:rsid w:val="71C2301E"/>
    <w:rsid w:val="724B4F9C"/>
    <w:rsid w:val="729578E7"/>
    <w:rsid w:val="73074D70"/>
    <w:rsid w:val="733850EC"/>
    <w:rsid w:val="74514D34"/>
    <w:rsid w:val="748D3FFD"/>
    <w:rsid w:val="74A05174"/>
    <w:rsid w:val="752C1B8B"/>
    <w:rsid w:val="75681757"/>
    <w:rsid w:val="759749CF"/>
    <w:rsid w:val="75A346A8"/>
    <w:rsid w:val="761A1EB9"/>
    <w:rsid w:val="763B4A10"/>
    <w:rsid w:val="770111AA"/>
    <w:rsid w:val="778C469D"/>
    <w:rsid w:val="77966950"/>
    <w:rsid w:val="77B22B01"/>
    <w:rsid w:val="78DB048C"/>
    <w:rsid w:val="791F1225"/>
    <w:rsid w:val="79B9382C"/>
    <w:rsid w:val="79C65ABA"/>
    <w:rsid w:val="7A7E0B67"/>
    <w:rsid w:val="7AB20ACC"/>
    <w:rsid w:val="7B043B76"/>
    <w:rsid w:val="7B8F56F2"/>
    <w:rsid w:val="7C041A6A"/>
    <w:rsid w:val="7C8A7B86"/>
    <w:rsid w:val="7D206A7E"/>
    <w:rsid w:val="7E114361"/>
    <w:rsid w:val="7E327570"/>
    <w:rsid w:val="7EBA1E67"/>
    <w:rsid w:val="7ECE0EB1"/>
    <w:rsid w:val="7EF33467"/>
    <w:rsid w:val="7F0334AD"/>
    <w:rsid w:val="7F415DCD"/>
    <w:rsid w:val="7F930196"/>
    <w:rsid w:val="7FEC31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6"/>
    <w:link w:val="5"/>
    <w:qFormat/>
    <w:uiPriority w:val="99"/>
    <w:rPr>
      <w:rFonts w:asciiTheme="minorHAnsi" w:hAnsiTheme="minorHAnsi" w:eastAsiaTheme="minorEastAsia"/>
      <w:sz w:val="18"/>
      <w:szCs w:val="18"/>
    </w:rPr>
  </w:style>
  <w:style w:type="character" w:customStyle="1" w:styleId="10">
    <w:name w:val="页脚 Char"/>
    <w:basedOn w:val="6"/>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_Style 1"/>
    <w:qFormat/>
    <w:uiPriority w:val="99"/>
    <w:pPr>
      <w:widowControl w:val="0"/>
      <w:jc w:val="both"/>
    </w:pPr>
    <w:rPr>
      <w:rFonts w:ascii="宋体" w:hAnsi="Times New Roman" w:eastAsia="宋体"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39044;&#31639;&#12289;&#20915;&#31639;\2019\&#20915;&#31639;\2018&#20915;&#31639;&#25209;&#22797;\&#20844;&#24320;\&#39292;&#2227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39044;&#31639;&#12289;&#20915;&#31639;\2020\2019&#20915;&#31639;\&#20915;&#31639;&#20844;&#24320;\2019&#20915;&#31639;&#20844;&#24320;\&#39292;&#2227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D:\&#39044;&#31639;&#12289;&#20915;&#31639;\2020\2019&#20915;&#31639;\&#20915;&#31639;&#20844;&#24320;\2019&#20915;&#31639;&#20844;&#24320;\&#39292;&#2227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D:\&#39044;&#31639;&#12289;&#20915;&#31639;\2020\2019&#20915;&#31639;\&#20915;&#31639;&#20844;&#24320;\2019&#20915;&#31639;&#20844;&#24320;\&#39292;&#22270;.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D:\&#39044;&#31639;&#12289;&#20915;&#31639;\2020\2019&#20915;&#31639;\&#20915;&#31639;&#20844;&#24320;\2019&#20915;&#31639;&#20844;&#24320;\&#39292;&#222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0805555555556"/>
          <c:y val="0.104814814814815"/>
          <c:w val="0.474222222222222"/>
          <c:h val="0.79037037037037"/>
        </c:manualLayout>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[饼图.xlsx]Sheet1!$K$14:$K$15</c:f>
              <c:strCache>
                <c:ptCount val="2"/>
                <c:pt idx="0">
                  <c:v>财政拨款收入</c:v>
                </c:pt>
                <c:pt idx="1">
                  <c:v>其他收入</c:v>
                </c:pt>
              </c:strCache>
            </c:strRef>
          </c:cat>
          <c:val>
            <c:numRef>
              <c:f>[饼图.xlsx]Sheet1!$L$14:$L$15</c:f>
              <c:numCache>
                <c:formatCode>General</c:formatCode>
                <c:ptCount val="2"/>
                <c:pt idx="0">
                  <c:v>30023.43</c:v>
                </c:pt>
                <c:pt idx="1">
                  <c:v>298.86</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[饼图.xlsx]Sheet1!$A$1:$A$2</c:f>
              <c:strCache>
                <c:ptCount val="2"/>
                <c:pt idx="0">
                  <c:v>基本支出</c:v>
                </c:pt>
                <c:pt idx="1">
                  <c:v>项目支出</c:v>
                </c:pt>
              </c:strCache>
            </c:strRef>
          </c:cat>
          <c:val>
            <c:numRef>
              <c:f>[饼图.xlsx]Sheet1!$B$1:$B$2</c:f>
              <c:numCache>
                <c:formatCode>General</c:formatCode>
                <c:ptCount val="2"/>
                <c:pt idx="0">
                  <c:v>480.94</c:v>
                </c:pt>
                <c:pt idx="1">
                  <c:v>31647.01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086997989584"/>
          <c:y val="0.195784664727381"/>
          <c:w val="0.894638888888889"/>
          <c:h val="0.7116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[饼图.xlsx]Sheet1!$A$16:$A$20</c:f>
              <c:strCache>
                <c:ptCount val="5"/>
                <c:pt idx="0">
                  <c:v>2018年度收入</c:v>
                </c:pt>
                <c:pt idx="1">
                  <c:v>2019年度收入</c:v>
                </c:pt>
                <c:pt idx="3">
                  <c:v>2018年度支出</c:v>
                </c:pt>
                <c:pt idx="4">
                  <c:v>2019年度支出</c:v>
                </c:pt>
              </c:strCache>
            </c:strRef>
          </c:cat>
          <c:val>
            <c:numRef>
              <c:f>[饼图.xlsx]Sheet1!$B$16:$B$20</c:f>
              <c:numCache>
                <c:formatCode>General</c:formatCode>
                <c:ptCount val="5"/>
                <c:pt idx="0">
                  <c:v>38822.61</c:v>
                </c:pt>
                <c:pt idx="1">
                  <c:v>30023.43</c:v>
                </c:pt>
                <c:pt idx="3">
                  <c:v>46230.52</c:v>
                </c:pt>
                <c:pt idx="4">
                  <c:v>31829.09</c:v>
                </c:pt>
              </c:numCache>
            </c:numRef>
          </c:val>
        </c:ser>
        <c:dLbls>
          <c:showLegendKey val="0"/>
          <c:showVal val="1"/>
          <c:showCatName val="0"/>
          <c:showSerName val="0"/>
          <c:showPercent val="0"/>
          <c:showBubbleSize val="0"/>
        </c:dLbls>
        <c:gapWidth val="61"/>
        <c:overlap val="-27"/>
        <c:axId val="813577556"/>
        <c:axId val="176056576"/>
      </c:barChart>
      <c:catAx>
        <c:axId val="8135775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6056576"/>
        <c:crosses val="autoZero"/>
        <c:auto val="1"/>
        <c:lblAlgn val="ctr"/>
        <c:lblOffset val="100"/>
        <c:noMultiLvlLbl val="0"/>
      </c:catAx>
      <c:valAx>
        <c:axId val="17605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35775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087301587302"/>
          <c:y val="0.063657407407407"/>
          <c:w val="0.894638888888889"/>
          <c:h val="0.837592592592593"/>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[饼图.xlsx]Sheet1!$A$28:$A$32</c:f>
              <c:strCache>
                <c:ptCount val="5"/>
                <c:pt idx="0">
                  <c:v>收入预算数</c:v>
                </c:pt>
                <c:pt idx="1">
                  <c:v>收入决算数</c:v>
                </c:pt>
                <c:pt idx="3">
                  <c:v>支出预算数</c:v>
                </c:pt>
                <c:pt idx="4">
                  <c:v>支出决算数</c:v>
                </c:pt>
              </c:strCache>
            </c:strRef>
          </c:cat>
          <c:val>
            <c:numRef>
              <c:f>[饼图.xlsx]Sheet1!$B$28:$B$32</c:f>
              <c:numCache>
                <c:formatCode>General</c:formatCode>
                <c:ptCount val="5"/>
                <c:pt idx="0">
                  <c:v>22721.04</c:v>
                </c:pt>
                <c:pt idx="1">
                  <c:v>30023.43</c:v>
                </c:pt>
                <c:pt idx="3">
                  <c:v>22721.04</c:v>
                </c:pt>
                <c:pt idx="4">
                  <c:v>31829.09</c:v>
                </c:pt>
              </c:numCache>
            </c:numRef>
          </c:val>
        </c:ser>
        <c:dLbls>
          <c:showLegendKey val="0"/>
          <c:showVal val="1"/>
          <c:showCatName val="0"/>
          <c:showSerName val="0"/>
          <c:showPercent val="0"/>
          <c:showBubbleSize val="0"/>
        </c:dLbls>
        <c:gapWidth val="66"/>
        <c:overlap val="-27"/>
        <c:axId val="560575340"/>
        <c:axId val="569223886"/>
      </c:barChart>
      <c:catAx>
        <c:axId val="5605753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9223886"/>
        <c:crosses val="autoZero"/>
        <c:auto val="1"/>
        <c:lblAlgn val="ctr"/>
        <c:lblOffset val="100"/>
        <c:noMultiLvlLbl val="0"/>
      </c:catAx>
      <c:valAx>
        <c:axId val="56922388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05753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Lbls>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[饼图.xlsx]Sheet1!$K$5:$K$10</c:f>
              <c:strCache>
                <c:ptCount val="6"/>
                <c:pt idx="0">
                  <c:v>一般公共服务（类）支出</c:v>
                </c:pt>
                <c:pt idx="1">
                  <c:v>社会保障和就业（类）支出</c:v>
                </c:pt>
                <c:pt idx="2">
                  <c:v>卫生健康支出</c:v>
                </c:pt>
                <c:pt idx="3">
                  <c:v>节能环保支出</c:v>
                </c:pt>
                <c:pt idx="4">
                  <c:v>城乡社区支出</c:v>
                </c:pt>
                <c:pt idx="5">
                  <c:v>住房保障（类）支出</c:v>
                </c:pt>
              </c:strCache>
            </c:strRef>
          </c:cat>
          <c:val>
            <c:numRef>
              <c:f>[饼图.xlsx]Sheet1!$L$5:$L$10</c:f>
              <c:numCache>
                <c:formatCode>General</c:formatCode>
                <c:ptCount val="6"/>
                <c:pt idx="0">
                  <c:v>34.71</c:v>
                </c:pt>
                <c:pt idx="1">
                  <c:v>38.87</c:v>
                </c:pt>
                <c:pt idx="2">
                  <c:v>22.05</c:v>
                </c:pt>
                <c:pt idx="3">
                  <c:v>16422.84</c:v>
                </c:pt>
                <c:pt idx="4">
                  <c:v>11883.28</c:v>
                </c:pt>
                <c:pt idx="5">
                  <c:v>3427.35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0</TotalTime>
  <ScaleCrop>false</ScaleCrop>
  <LinksUpToDate>false</LinksUpToDate>
  <CharactersWithSpaces>11119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2023-06-28T03:52:19Z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