
<file path=[Content_Types].xml><?xml version="1.0" encoding="utf-8"?>
<Types xmlns="http://schemas.openxmlformats.org/package/2006/content-types">
  <Default Extension="xml" ContentType="application/xml"/>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pgBorders>
            <w:top w:val="none" w:sz="0" w:space="0"/>
            <w:left w:val="none" w:sz="0" w:space="0"/>
            <w:bottom w:val="none" w:sz="0" w:space="0"/>
            <w:right w:val="none" w:sz="0" w:space="0"/>
          </w:pgBorders>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石家庄市鹿泉区住房和城乡建设局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fill type="pattern" on="t" color2="#FFFFFF [3212]"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3"/>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00" w:lineRule="exact"/>
        <w:ind w:firstLine="643" w:firstLineChars="200"/>
        <w:jc w:val="both"/>
        <w:rPr>
          <w:rFonts w:hint="eastAsia" w:ascii="仿宋" w:hAnsi="仿宋" w:eastAsia="仿宋" w:cs="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Times New Roman"/>
          <w:b w:val="0"/>
          <w:bCs/>
          <w:sz w:val="32"/>
          <w:szCs w:val="32"/>
          <w:lang w:val="en-US" w:eastAsia="zh-CN"/>
        </w:rPr>
        <w:t>1</w:t>
      </w:r>
      <w:r>
        <w:rPr>
          <w:rFonts w:hint="eastAsia" w:ascii="仿宋" w:hAnsi="仿宋" w:eastAsia="仿宋" w:cs="仿宋"/>
          <w:sz w:val="32"/>
          <w:szCs w:val="32"/>
        </w:rPr>
        <w:t>、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、贯彻落实党中央、国务院和省、市、区关于城市管理相关工作的方针政策和法律法规。拟订城市管理中长期发展规划和年度计划并组织实施。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、负责推进住房制度改革。贯彻落实住房政策，指导住房建设，推动住房制度改革；拟订住房建设发展规划并组织实施。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、负责全区房地产市场的监督管理。贯彻落实房地产市场调控政策并监督执行；落实上级房地产业行业发展规划、产业政策和房地产开发、房屋交易、房屋租赁、房地产估价与经纪管理的规章制度并监督实施。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、推进新型城镇化（国家新型城镇化综合试点）建设工作。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、负责全区污水处理及污水处理行业管理工作。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、负责全区燃气行业管理工作。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16</w:t>
      </w:r>
      <w:r>
        <w:rPr>
          <w:rFonts w:hint="eastAsia" w:ascii="仿宋" w:hAnsi="仿宋" w:eastAsia="仿宋" w:cs="仿宋"/>
          <w:sz w:val="32"/>
          <w:szCs w:val="32"/>
        </w:rPr>
        <w:t>、负责城市建设档案监督管理工作。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17</w:t>
      </w:r>
      <w:r>
        <w:rPr>
          <w:rFonts w:hint="eastAsia" w:ascii="仿宋" w:hAnsi="仿宋" w:eastAsia="仿宋" w:cs="仿宋"/>
          <w:sz w:val="32"/>
          <w:szCs w:val="32"/>
        </w:rPr>
        <w:t>、负责直管公有住房的资产、售房款和售后维修资金的管理工作。会同有关部门做好支油、支铁建设协调工作。会同有关部门，做好城市建设行业涉及本部门的相关专业规划的编制和实施工作。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18</w:t>
      </w:r>
      <w:r>
        <w:rPr>
          <w:rFonts w:hint="eastAsia" w:ascii="仿宋" w:hAnsi="仿宋" w:eastAsia="仿宋" w:cs="仿宋"/>
          <w:sz w:val="32"/>
          <w:szCs w:val="32"/>
        </w:rPr>
        <w:t>、负责住房城乡建设行业信息采集、整理、统计、分析、发布等工作。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19</w:t>
      </w:r>
      <w:r>
        <w:rPr>
          <w:rFonts w:hint="eastAsia" w:ascii="仿宋" w:hAnsi="仿宋" w:eastAsia="仿宋" w:cs="仿宋"/>
          <w:sz w:val="32"/>
          <w:szCs w:val="32"/>
        </w:rPr>
        <w:t>、实施住房和城乡建设范围内法律法规规章规定的行政处罚权有关的行政强制措施。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20</w:t>
      </w:r>
      <w:r>
        <w:rPr>
          <w:rFonts w:hint="eastAsia" w:ascii="仿宋" w:hAnsi="仿宋" w:eastAsia="仿宋" w:cs="仿宋"/>
          <w:sz w:val="32"/>
          <w:szCs w:val="32"/>
        </w:rPr>
        <w:t>、完成区委、区政府交办的其他任务。</w:t>
      </w: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jc w:val="left"/>
        <w:outlineLvl w:val="0"/>
        <w:rPr>
          <w:rFonts w:hint="eastAsia" w:ascii="黑体" w:hAnsi="Calibri" w:eastAsia="黑体" w:cs="黑体"/>
          <w:kern w:val="0"/>
          <w:sz w:val="32"/>
          <w:szCs w:val="32"/>
        </w:rPr>
      </w:pPr>
    </w:p>
    <w:p>
      <w:pPr>
        <w:keepNext/>
        <w:keepLines/>
        <w:spacing w:line="580" w:lineRule="exact"/>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7</w:t>
      </w:r>
      <w:r>
        <w:rPr>
          <w:rFonts w:hint="eastAsia" w:ascii="仿宋_GB2312" w:hAnsi="Calibri" w:eastAsia="仿宋_GB2312" w:cs="ArialUnicodeMS"/>
          <w:kern w:val="0"/>
          <w:sz w:val="32"/>
          <w:szCs w:val="32"/>
        </w:rPr>
        <w:t>个，具体情况如下：</w:t>
      </w:r>
    </w:p>
    <w:tbl>
      <w:tblPr>
        <w:tblStyle w:val="9"/>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748"/>
        <w:gridCol w:w="2182"/>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748"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18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石家庄市鹿泉区住房和城乡建设局</w:t>
            </w:r>
            <w:r>
              <w:rPr>
                <w:rFonts w:hint="eastAsia" w:ascii="仿宋_GB2312" w:eastAsia="仿宋_GB2312" w:cs="ArialUnicodeMS" w:hAnsiTheme="minorHAnsi"/>
                <w:kern w:val="0"/>
                <w:sz w:val="18"/>
                <w:szCs w:val="18"/>
              </w:rPr>
              <w:t>(本级)</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石家庄市鹿泉区房屋征收中心</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财政补助事业单位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石家庄市鹿泉区城市建设服务中心</w:t>
            </w:r>
          </w:p>
        </w:tc>
        <w:tc>
          <w:tcPr>
            <w:tcW w:w="2182"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财政补助事业单位</w:t>
            </w:r>
          </w:p>
        </w:tc>
        <w:tc>
          <w:tcPr>
            <w:tcW w:w="2665"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4</w:t>
            </w:r>
          </w:p>
        </w:tc>
        <w:tc>
          <w:tcPr>
            <w:tcW w:w="3748"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18"/>
                <w:szCs w:val="18"/>
              </w:rPr>
              <w:t>石家庄市鹿泉区建筑和房地产市场稽查大队</w:t>
            </w:r>
          </w:p>
        </w:tc>
        <w:tc>
          <w:tcPr>
            <w:tcW w:w="2182" w:type="dxa"/>
            <w:tcBorders>
              <w:bottom w:val="single" w:color="auto" w:sz="4" w:space="0"/>
            </w:tcBorders>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5</w:t>
            </w:r>
          </w:p>
        </w:tc>
        <w:tc>
          <w:tcPr>
            <w:tcW w:w="3748" w:type="dxa"/>
            <w:tcBorders>
              <w:bottom w:val="single" w:color="auto" w:sz="4" w:space="0"/>
            </w:tcBorders>
          </w:tcPr>
          <w:p>
            <w:pPr>
              <w:spacing w:after="0" w:line="560" w:lineRule="exact"/>
              <w:rPr>
                <w:rFonts w:hint="eastAsia" w:ascii="仿宋" w:hAnsi="仿宋" w:eastAsia="仿宋" w:cs="仿宋"/>
                <w:sz w:val="18"/>
                <w:szCs w:val="18"/>
              </w:rPr>
            </w:pPr>
            <w:r>
              <w:rPr>
                <w:rFonts w:hint="eastAsia" w:ascii="仿宋" w:hAnsi="仿宋" w:eastAsia="仿宋" w:cs="仿宋"/>
                <w:sz w:val="21"/>
                <w:szCs w:val="21"/>
              </w:rPr>
              <w:t>石家庄市鹿泉区建筑业管理处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6</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鹿泉区廉租住房和经济适用住房管理中心</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7</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鹿泉区住房保障和房地产管理处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hint="default" w:ascii="仿宋_GB2312" w:eastAsia="仿宋_GB2312" w:cs="ArialUnicodeMS" w:hAnsiTheme="minorHAnsi"/>
                <w:kern w:val="0"/>
                <w:sz w:val="28"/>
                <w:szCs w:val="28"/>
                <w:lang w:val="en-US"/>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45107.79</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19481.89</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30.04</w:t>
      </w:r>
      <w:r>
        <w:rPr>
          <w:rFonts w:hint="eastAsia" w:ascii="仿宋_GB2312" w:hAnsi="Times New Roman" w:eastAsia="仿宋_GB2312" w:cs="DengXian-Regular"/>
          <w:sz w:val="32"/>
          <w:szCs w:val="32"/>
        </w:rPr>
        <w:t>%，主要原因是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33150.97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32841.02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99.07</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309.95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0.93</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pStyle w:val="2"/>
        <w:rPr>
          <w:rFonts w:hint="eastAsia"/>
        </w:rPr>
      </w:pPr>
    </w:p>
    <w:p>
      <w:pPr>
        <w:pStyle w:val="2"/>
      </w:pPr>
      <w:r>
        <w:drawing>
          <wp:inline distT="0" distB="0" distL="114300" distR="114300">
            <wp:extent cx="5238115" cy="3505200"/>
            <wp:effectExtent l="4445" t="4445" r="15240" b="14605"/>
            <wp:docPr id="28"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收入构成情况</w:t>
      </w:r>
    </w:p>
    <w:p>
      <w:pPr>
        <w:keepNext/>
        <w:keepLines/>
        <w:snapToGrid w:val="0"/>
        <w:spacing w:line="580" w:lineRule="exact"/>
        <w:outlineLvl w:val="1"/>
        <w:rPr>
          <w:rFonts w:ascii="黑体" w:hAnsi="Calibri" w:eastAsia="黑体" w:cs="Times New Roman"/>
          <w:b/>
          <w:bCs/>
          <w:sz w:val="32"/>
          <w:szCs w:val="32"/>
        </w:rPr>
      </w:pPr>
    </w:p>
    <w:p>
      <w:pPr>
        <w:pStyle w:val="2"/>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35008.83</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3235.48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9.24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31773.35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90.76</w:t>
      </w:r>
      <w:r>
        <w:rPr>
          <w:rFonts w:hint="eastAsia" w:ascii="仿宋_GB2312" w:hAnsi="Times New Roman" w:eastAsia="仿宋_GB2312" w:cs="DengXian-Regular"/>
          <w:sz w:val="32"/>
          <w:szCs w:val="32"/>
        </w:rPr>
        <w:t>%。如图所示：</w:t>
      </w:r>
    </w:p>
    <w:p>
      <w:pPr>
        <w:pStyle w:val="2"/>
        <w:rPr>
          <w:rFonts w:hint="eastAsia" w:ascii="仿宋_GB2312" w:hAnsi="Times New Roman" w:eastAsia="仿宋_GB2312" w:cs="DengXian-Regular"/>
          <w:sz w:val="32"/>
          <w:szCs w:val="32"/>
        </w:rPr>
      </w:pPr>
    </w:p>
    <w:p>
      <w:pPr>
        <w:pStyle w:val="2"/>
      </w:pPr>
      <w:r>
        <w:drawing>
          <wp:inline distT="0" distB="0" distL="114300" distR="114300">
            <wp:extent cx="4572000" cy="2914650"/>
            <wp:effectExtent l="4445" t="4445" r="14605" b="14605"/>
            <wp:docPr id="32"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pPr>
        <w:adjustRightInd w:val="0"/>
        <w:snapToGrid w:val="0"/>
        <w:spacing w:line="560" w:lineRule="exact"/>
        <w:ind w:firstLine="1960" w:firstLineChars="700"/>
        <w:jc w:val="left"/>
        <w:rPr>
          <w:rFonts w:ascii="仿宋_GB2312" w:eastAsia="仿宋_GB2312" w:cs="DengXian-Regular"/>
          <w:sz w:val="28"/>
          <w:szCs w:val="28"/>
        </w:rPr>
      </w:pPr>
      <w:r>
        <w:rPr>
          <w:rFonts w:hint="eastAsia" w:ascii="仿宋_GB2312" w:eastAsia="仿宋_GB2312" w:cs="DengXian-Regular"/>
          <w:sz w:val="28"/>
          <w:szCs w:val="28"/>
        </w:rPr>
        <w:t>支出构成情况（按支出性质）</w:t>
      </w:r>
    </w:p>
    <w:p>
      <w:pPr>
        <w:pStyle w:val="2"/>
        <w:jc w:val="left"/>
        <w:rPr>
          <w:rFonts w:hint="eastAsia"/>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33150.97</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8237.02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19.9</w:t>
      </w:r>
      <w:r>
        <w:rPr>
          <w:rFonts w:hint="eastAsia" w:ascii="仿宋_GB2312" w:hAnsi="Times New Roman" w:eastAsia="仿宋_GB2312" w:cs="DengXian-Regular"/>
          <w:sz w:val="32"/>
          <w:szCs w:val="32"/>
        </w:rPr>
        <w:t>%，主要是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减少；本年支出</w:t>
      </w:r>
      <w:r>
        <w:rPr>
          <w:rFonts w:hint="eastAsia" w:ascii="仿宋_GB2312" w:hAnsi="Times New Roman" w:eastAsia="仿宋_GB2312" w:cs="DengXian-Regular"/>
          <w:sz w:val="32"/>
          <w:szCs w:val="32"/>
          <w:lang w:val="en-US" w:eastAsia="zh-CN"/>
        </w:rPr>
        <w:t>35008.83</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13747.74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28.2</w:t>
      </w:r>
      <w:r>
        <w:rPr>
          <w:rFonts w:hint="eastAsia" w:ascii="仿宋_GB2312" w:hAnsi="Times New Roman" w:eastAsia="仿宋_GB2312" w:cs="DengXian-Regular"/>
          <w:sz w:val="32"/>
          <w:szCs w:val="32"/>
        </w:rPr>
        <w:t>%，主要是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减少。具体情况如下：</w:t>
      </w:r>
    </w:p>
    <w:p>
      <w:pPr>
        <w:pStyle w:val="2"/>
      </w:pP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27827.2</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3834.2</w:t>
      </w:r>
      <w:r>
        <w:rPr>
          <w:rFonts w:hint="eastAsia" w:ascii="仿宋_GB2312" w:hAnsi="Times New Roman" w:eastAsia="仿宋_GB2312" w:cs="DengXian-Regular"/>
          <w:sz w:val="32"/>
          <w:szCs w:val="32"/>
        </w:rPr>
        <w:t>万元；主要是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减少；本年支出</w:t>
      </w:r>
      <w:r>
        <w:rPr>
          <w:rFonts w:hint="eastAsia" w:ascii="仿宋_GB2312" w:hAnsi="Times New Roman" w:eastAsia="仿宋_GB2312" w:cs="DengXian-Regular"/>
          <w:sz w:val="32"/>
          <w:szCs w:val="32"/>
          <w:lang w:val="en-US" w:eastAsia="zh-CN"/>
        </w:rPr>
        <w:t>26557.45</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10691.42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28.7</w:t>
      </w:r>
      <w:r>
        <w:rPr>
          <w:rFonts w:hint="eastAsia" w:ascii="仿宋_GB2312" w:hAnsi="Times New Roman" w:eastAsia="仿宋_GB2312" w:cs="DengXian-Regular"/>
          <w:sz w:val="32"/>
          <w:szCs w:val="32"/>
        </w:rPr>
        <w:t>%，主要是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5013.82</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4712.77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48.45</w:t>
      </w:r>
      <w:r>
        <w:rPr>
          <w:rFonts w:hint="eastAsia" w:ascii="仿宋_GB2312" w:hAnsi="Times New Roman" w:eastAsia="仿宋_GB2312" w:cs="DengXian-Regular"/>
          <w:sz w:val="32"/>
          <w:szCs w:val="32"/>
        </w:rPr>
        <w:t>%，主要原因是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减少；本年支出</w:t>
      </w:r>
      <w:r>
        <w:rPr>
          <w:rFonts w:hint="eastAsia" w:ascii="仿宋_GB2312" w:hAnsi="Times New Roman" w:eastAsia="仿宋_GB2312" w:cs="DengXian-Regular"/>
          <w:sz w:val="32"/>
          <w:szCs w:val="32"/>
          <w:lang w:val="en-US" w:eastAsia="zh-CN"/>
        </w:rPr>
        <w:t>8141.13</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3366.58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41.35</w:t>
      </w:r>
      <w:r>
        <w:rPr>
          <w:rFonts w:hint="eastAsia" w:ascii="仿宋_GB2312" w:hAnsi="Times New Roman" w:eastAsia="仿宋_GB2312" w:cs="DengXian-Regular"/>
          <w:sz w:val="32"/>
          <w:szCs w:val="32"/>
        </w:rPr>
        <w:t>%，主要是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w:t>
      </w:r>
    </w:p>
    <w:p>
      <w:pPr>
        <w:pStyle w:val="2"/>
        <w:rPr>
          <w:rFonts w:hint="eastAsia" w:ascii="仿宋_GB2312" w:hAnsi="Times New Roman" w:eastAsia="仿宋_GB2312" w:cs="DengXian-Regular"/>
          <w:sz w:val="32"/>
          <w:szCs w:val="32"/>
          <w:lang w:val="en-US" w:eastAsia="zh-CN"/>
        </w:rPr>
      </w:pPr>
      <w:r>
        <w:rPr>
          <w:rFonts w:hint="eastAsia" w:ascii="仿宋_GB2312" w:eastAsia="仿宋_GB2312" w:cs="DengXian-Regular"/>
          <w:sz w:val="32"/>
          <w:szCs w:val="32"/>
          <w:lang w:val="en-US" w:eastAsia="zh-CN"/>
        </w:rPr>
        <w:t xml:space="preserve"> </w:t>
      </w:r>
    </w:p>
    <w:p>
      <w:pPr>
        <w:pStyle w:val="2"/>
        <w:jc w:val="center"/>
        <w:rPr>
          <w:rFonts w:hint="eastAsia" w:ascii="仿宋_GB2312" w:hAnsi="Times New Roman" w:eastAsia="仿宋_GB2312" w:cs="DengXian-Regular"/>
          <w:sz w:val="32"/>
          <w:szCs w:val="32"/>
        </w:rPr>
      </w:pPr>
      <w:r>
        <w:drawing>
          <wp:inline distT="0" distB="0" distL="114300" distR="114300">
            <wp:extent cx="4123690" cy="2781300"/>
            <wp:effectExtent l="4445" t="4445" r="5715" b="14605"/>
            <wp:docPr id="33"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201</w:t>
      </w:r>
      <w:r>
        <w:rPr>
          <w:rFonts w:hint="eastAsia" w:ascii="仿宋_GB2312" w:eastAsia="仿宋_GB2312" w:cs="DengXian-Regular"/>
          <w:sz w:val="28"/>
          <w:szCs w:val="28"/>
          <w:lang w:val="en-US" w:eastAsia="zh-CN"/>
        </w:rPr>
        <w:t>8</w:t>
      </w:r>
      <w:r>
        <w:rPr>
          <w:rFonts w:hint="eastAsia" w:ascii="仿宋_GB2312" w:eastAsia="仿宋_GB2312" w:cs="DengXian-Regular"/>
          <w:sz w:val="28"/>
          <w:szCs w:val="28"/>
        </w:rPr>
        <w:t>-201</w:t>
      </w:r>
      <w:r>
        <w:rPr>
          <w:rFonts w:hint="eastAsia" w:ascii="仿宋_GB2312" w:eastAsia="仿宋_GB2312" w:cs="DengXian-Regular"/>
          <w:sz w:val="28"/>
          <w:szCs w:val="28"/>
          <w:lang w:val="en-US" w:eastAsia="zh-CN"/>
        </w:rPr>
        <w:t>9</w:t>
      </w:r>
      <w:r>
        <w:rPr>
          <w:rFonts w:hint="eastAsia" w:ascii="仿宋_GB2312" w:eastAsia="仿宋_GB2312" w:cs="DengXian-Regular"/>
          <w:sz w:val="28"/>
          <w:szCs w:val="28"/>
        </w:rPr>
        <w:t>年财政拨款收支情况</w:t>
      </w:r>
    </w:p>
    <w:p>
      <w:pPr>
        <w:snapToGrid w:val="0"/>
        <w:spacing w:line="580" w:lineRule="exact"/>
        <w:ind w:firstLine="643" w:firstLineChars="200"/>
        <w:rPr>
          <w:rFonts w:hint="eastAsia" w:ascii="楷体_GB2312" w:hAnsi="Times New Roman" w:eastAsia="楷体_GB2312" w:cs="DengXian-Bold"/>
          <w:b/>
          <w:bCs/>
          <w:sz w:val="32"/>
          <w:szCs w:val="32"/>
        </w:rPr>
      </w:pPr>
    </w:p>
    <w:p>
      <w:pPr>
        <w:pStyle w:val="2"/>
        <w:rPr>
          <w:rFonts w:hint="eastAsia"/>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33150.97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145.9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10429.93</w:t>
      </w:r>
      <w:r>
        <w:rPr>
          <w:rFonts w:hint="eastAsia" w:ascii="仿宋_GB2312" w:hAnsi="Times New Roman" w:eastAsia="仿宋_GB2312" w:cs="DengXian-Regular"/>
          <w:sz w:val="32"/>
          <w:szCs w:val="32"/>
        </w:rPr>
        <w:t>万元，决算数大于预算数主要原因是</w:t>
      </w:r>
      <w:r>
        <w:rPr>
          <w:rFonts w:hint="eastAsia" w:ascii="仿宋_GB2312" w:eastAsia="仿宋_GB2312" w:cs="DengXian-Regular"/>
          <w:sz w:val="32"/>
          <w:szCs w:val="32"/>
          <w:lang w:eastAsia="zh-CN"/>
        </w:rPr>
        <w:t>部门调整预算指标</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35008.83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154.08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12287.79</w:t>
      </w:r>
      <w:r>
        <w:rPr>
          <w:rFonts w:hint="eastAsia" w:ascii="仿宋_GB2312" w:hAnsi="Times New Roman" w:eastAsia="仿宋_GB2312" w:cs="DengXian-Regular"/>
          <w:sz w:val="32"/>
          <w:szCs w:val="32"/>
        </w:rPr>
        <w:t>万元，决算数大于预算数主要原因是主要是</w:t>
      </w:r>
      <w:r>
        <w:rPr>
          <w:rFonts w:hint="eastAsia" w:ascii="仿宋_GB2312" w:eastAsia="仿宋_GB2312" w:cs="DengXian-Regular"/>
          <w:sz w:val="32"/>
          <w:szCs w:val="32"/>
          <w:lang w:eastAsia="zh-CN"/>
        </w:rPr>
        <w:t>预算调整后指标增加</w:t>
      </w:r>
      <w:r>
        <w:rPr>
          <w:rFonts w:hint="eastAsia" w:ascii="仿宋_GB2312" w:eastAsia="仿宋_GB2312" w:cs="DengXian-Regular"/>
          <w:sz w:val="32"/>
          <w:szCs w:val="32"/>
        </w:rPr>
        <w:t>。</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162.82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10735.99</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lang w:eastAsia="zh-CN"/>
        </w:rPr>
        <w:t>调整预算、加大大气污染治理</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155.39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9466.24</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lang w:eastAsia="zh-CN"/>
        </w:rPr>
        <w:t>调整预算、加大大气污染</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89.06</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616.01</w:t>
      </w:r>
      <w:r>
        <w:rPr>
          <w:rFonts w:hint="eastAsia" w:ascii="仿宋_GB2312" w:hAnsi="Times New Roman" w:eastAsia="仿宋_GB2312" w:cs="DengXian-Regular"/>
          <w:sz w:val="32"/>
          <w:szCs w:val="32"/>
        </w:rPr>
        <w:t>万元，主要是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减少；支出完成年初预算</w:t>
      </w:r>
      <w:r>
        <w:rPr>
          <w:rFonts w:hint="eastAsia" w:ascii="仿宋_GB2312" w:hAnsi="Times New Roman" w:eastAsia="仿宋_GB2312" w:cs="DengXian-Regular"/>
          <w:sz w:val="32"/>
          <w:szCs w:val="32"/>
          <w:lang w:val="en-US" w:eastAsia="zh-CN"/>
        </w:rPr>
        <w:t>144.6</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2511.3</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lang w:eastAsia="zh-CN"/>
        </w:rPr>
        <w:t>调整预算、加大大气污染</w:t>
      </w:r>
      <w:r>
        <w:rPr>
          <w:rFonts w:hint="eastAsia" w:ascii="仿宋_GB2312" w:hAnsi="Times New Roman" w:eastAsia="仿宋_GB2312" w:cs="DengXian-Regular"/>
          <w:sz w:val="32"/>
          <w:szCs w:val="32"/>
        </w:rPr>
        <w:t>。</w:t>
      </w:r>
    </w:p>
    <w:p>
      <w:pPr>
        <w:pStyle w:val="2"/>
        <w:rPr>
          <w:rFonts w:hint="eastAsia" w:ascii="仿宋_GB2312" w:hAnsi="Times New Roman" w:eastAsia="仿宋_GB2312" w:cs="DengXian-Regular"/>
          <w:sz w:val="32"/>
          <w:szCs w:val="32"/>
        </w:rPr>
      </w:pPr>
    </w:p>
    <w:p>
      <w:pPr>
        <w:pStyle w:val="2"/>
        <w:jc w:val="center"/>
      </w:pPr>
      <w:r>
        <w:drawing>
          <wp:inline distT="0" distB="0" distL="114300" distR="114300">
            <wp:extent cx="3828415" cy="3000375"/>
            <wp:effectExtent l="4445" t="4445" r="15240" b="5080"/>
            <wp:docPr id="34"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财政拨款收支预决算对比情况</w:t>
      </w:r>
    </w:p>
    <w:p>
      <w:pPr>
        <w:pStyle w:val="2"/>
        <w:jc w:val="cente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34698.58</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34.71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401.96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1.16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卫生健康支出</w:t>
      </w:r>
      <w:r>
        <w:rPr>
          <w:rFonts w:hint="eastAsia" w:ascii="仿宋_GB2312" w:hAnsi="Times New Roman" w:eastAsia="仿宋_GB2312" w:cs="DengXian-Regular"/>
          <w:sz w:val="32"/>
          <w:szCs w:val="32"/>
          <w:lang w:val="en-US" w:eastAsia="zh-CN"/>
        </w:rPr>
        <w:t>163.82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0.47</w:t>
      </w:r>
      <w:r>
        <w:rPr>
          <w:rFonts w:hint="eastAsia" w:ascii="仿宋_GB2312" w:hAnsi="Times New Roman" w:eastAsia="仿宋_GB2312" w:cs="DengXian-Regular"/>
          <w:sz w:val="32"/>
          <w:szCs w:val="32"/>
        </w:rPr>
        <w:t>%；节能环保支出</w:t>
      </w:r>
      <w:r>
        <w:rPr>
          <w:rFonts w:hint="eastAsia" w:ascii="仿宋_GB2312" w:hAnsi="Times New Roman" w:eastAsia="仿宋_GB2312" w:cs="DengXian-Regular"/>
          <w:sz w:val="32"/>
          <w:szCs w:val="32"/>
          <w:lang w:val="en-US" w:eastAsia="zh-CN"/>
        </w:rPr>
        <w:t>16422.84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47.33</w:t>
      </w:r>
      <w:r>
        <w:rPr>
          <w:rFonts w:hint="eastAsia" w:ascii="仿宋_GB2312" w:hAnsi="Times New Roman" w:eastAsia="仿宋_GB2312" w:cs="DengXian-Regular"/>
          <w:sz w:val="32"/>
          <w:szCs w:val="32"/>
        </w:rPr>
        <w:t>%；城乡社区支出</w:t>
      </w:r>
      <w:r>
        <w:rPr>
          <w:rFonts w:hint="eastAsia" w:ascii="仿宋_GB2312" w:hAnsi="Times New Roman" w:eastAsia="仿宋_GB2312" w:cs="DengXian-Regular"/>
          <w:sz w:val="32"/>
          <w:szCs w:val="32"/>
          <w:lang w:val="en-US" w:eastAsia="zh-CN"/>
        </w:rPr>
        <w:t>14130.34</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40.72</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3544.91</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10.22</w:t>
      </w:r>
      <w:r>
        <w:rPr>
          <w:rFonts w:hint="eastAsia" w:ascii="仿宋_GB2312" w:hAnsi="Times New Roman" w:eastAsia="仿宋_GB2312" w:cs="DengXian-Regular"/>
          <w:sz w:val="32"/>
          <w:szCs w:val="32"/>
        </w:rPr>
        <w:t>%。</w:t>
      </w:r>
    </w:p>
    <w:p>
      <w:pPr>
        <w:pStyle w:val="2"/>
        <w:rPr>
          <w:rFonts w:hint="eastAsia" w:ascii="仿宋_GB2312" w:hAnsi="Times New Roman" w:eastAsia="仿宋_GB2312" w:cs="DengXian-Regular"/>
          <w:sz w:val="32"/>
          <w:szCs w:val="32"/>
        </w:rPr>
      </w:pPr>
    </w:p>
    <w:p>
      <w:pPr>
        <w:pStyle w:val="2"/>
        <w:jc w:val="center"/>
        <w:rPr>
          <w:rFonts w:hint="eastAsia" w:ascii="仿宋_GB2312" w:hAnsi="Times New Roman" w:eastAsia="仿宋_GB2312" w:cs="DengXian-Regular"/>
          <w:sz w:val="32"/>
          <w:szCs w:val="32"/>
        </w:rPr>
      </w:pPr>
      <w:r>
        <w:drawing>
          <wp:inline distT="0" distB="0" distL="114300" distR="114300">
            <wp:extent cx="4752975" cy="3561715"/>
            <wp:effectExtent l="4445" t="4445" r="5080" b="15240"/>
            <wp:docPr id="35"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pPr>
        <w:adjustRightInd w:val="0"/>
        <w:snapToGrid w:val="0"/>
        <w:spacing w:line="580" w:lineRule="exact"/>
        <w:jc w:val="center"/>
        <w:rPr>
          <w:rFonts w:hint="eastAsia" w:ascii="仿宋_GB2312" w:eastAsia="仿宋_GB2312" w:cs="DengXian-Regular"/>
          <w:sz w:val="28"/>
          <w:szCs w:val="28"/>
        </w:rPr>
      </w:pPr>
      <w:r>
        <w:rPr>
          <w:rFonts w:hint="eastAsia" w:ascii="仿宋_GB2312" w:eastAsia="仿宋_GB2312" w:cs="DengXian-Regular"/>
          <w:sz w:val="28"/>
          <w:szCs w:val="28"/>
        </w:rPr>
        <w:t>财政拨款支出决算结构（按功能分类）</w:t>
      </w:r>
    </w:p>
    <w:p>
      <w:pPr>
        <w:pStyle w:val="2"/>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3210.89</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2513.9</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696.99</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18.21</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96.35</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0.69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3.65</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19.1</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。具体情况如下：</w:t>
      </w:r>
    </w:p>
    <w:p>
      <w:pPr>
        <w:ind w:firstLine="640"/>
        <w:rPr>
          <w:rFonts w:hint="eastAsia" w:ascii="仿宋" w:hAnsi="仿宋" w:eastAsia="仿宋" w:cs="仿宋"/>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18.21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0.69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3.65</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19.1</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未发生此类支出，</w:t>
      </w:r>
      <w:r>
        <w:rPr>
          <w:rFonts w:hint="eastAsia" w:ascii="仿宋" w:hAnsi="仿宋" w:eastAsia="仿宋" w:cs="仿宋"/>
          <w:sz w:val="32"/>
          <w:szCs w:val="32"/>
          <w:lang w:eastAsia="zh-CN"/>
        </w:rPr>
        <w:t>与年初预算持平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0.69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3.65</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4.3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19.1</w:t>
      </w:r>
      <w:r>
        <w:rPr>
          <w:rFonts w:hint="eastAsia" w:ascii="仿宋_GB2312" w:hAnsi="Times New Roman" w:eastAsia="仿宋_GB2312" w:cs="DengXian-Regular"/>
          <w:sz w:val="32"/>
          <w:szCs w:val="32"/>
        </w:rPr>
        <w:t>%，主要是</w:t>
      </w:r>
      <w:r>
        <w:rPr>
          <w:rFonts w:hint="eastAsia" w:ascii="仿宋_GB2312" w:eastAsia="仿宋_GB2312" w:cs="DengXian-Regular"/>
          <w:b w:val="0"/>
          <w:bCs w:val="0"/>
          <w:sz w:val="32"/>
          <w:szCs w:val="32"/>
        </w:rPr>
        <w:t>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p>
    <w:p>
      <w:pPr>
        <w:ind w:firstLine="640"/>
        <w:rPr>
          <w:rFonts w:ascii="仿宋_GB2312" w:hAnsi="仿宋_GB2312" w:eastAsia="仿宋_GB2312" w:cs="仿宋_GB2312"/>
          <w:b/>
          <w:bCs/>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r>
        <w:rPr>
          <w:sz w:val="44"/>
        </w:rPr>
        <mc:AlternateContent>
          <mc:Choice Requires="wpg">
            <w:drawing>
              <wp:anchor distT="0" distB="0" distL="114300" distR="114300" simplePos="0" relativeHeight="437296128"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43729612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1KFV1L0AAADb&#10;AAAADwAAAGRycy9kb3ducmV2LnhtbEWPQWsCMRSE7wX/Q3hCbzVRYStbowdR9NRa7cHjY/O6Wbp5&#10;WZOo23/fFASPw8x8w8yXvWvFlUJsPGsYjxQI4sqbhmsNX8fNywxETMgGW8+k4ZciLBeDpzmWxt/4&#10;k66HVIsM4ViiBptSV0oZK0sO48h3xNn79sFhyjLU0gS8Zbhr5USpQjpsOC9Y7Ghlqfo5XJyG/eXd&#10;1tNTeD2mbdevT6rYm4+z1s/DsXoDkahPj/C9vTMaZgX8f8k/QC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oVXU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NgXW7cAAADb&#10;AAAADwAAAGRycy9kb3ducmV2LnhtbEWPMQvCMBSEd8H/EJ7gZlMdtFTTDoLg4KIW52fzbIvNS2mi&#10;1X9vBMHxuLvvuE3+Mq14Uu8aywrmUQyCuLS64UpBcd7NEhDOI2tsLZOCNznIs/Fog6m2Ax/pefKV&#10;CBB2KSqove9SKV1Zk0EX2Y44eDfbG/RB9pXUPQ4Bblq5iOOlNNhwWKixo21N5f30MApMs7o9rpdD&#10;e3TykJRUVLbYDkpNJ/N4DcLTy//Dv/ZeK0hW8P0SfoDMP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k2BdbtwAAANsAAAAP&#10;AAAAAAAAAAEAIAAAACIAAABkcnMvZG93bnJldi54bWxQSwECFAAUAAAACACHTuJAMy8FnjsAAAA5&#10;AAAAEAAAAAAAAAABACAAAAAGAQAAZHJzL3NoYXBleG1sLnhtbFBLBQYAAAAABgAGAFsBAACwAwAA&#10;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lang w:eastAsia="zh-CN"/>
        </w:rPr>
        <w:t>六</w:t>
      </w:r>
      <w:r>
        <w:rPr>
          <w:rFonts w:hint="eastAsia" w:ascii="黑体" w:hAnsi="Calibri" w:eastAsia="黑体" w:cs="Times New Roman"/>
          <w:sz w:val="32"/>
          <w:szCs w:val="32"/>
        </w:rPr>
        <w:t>、其他重要事项的说明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bookmarkStart w:id="0" w:name="_GoBack"/>
      <w:bookmarkEnd w:id="0"/>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147.73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32.73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28.46</w:t>
      </w:r>
      <w:r>
        <w:rPr>
          <w:rFonts w:hint="eastAsia" w:ascii="仿宋_GB2312" w:hAnsi="Times New Roman" w:eastAsia="仿宋_GB2312" w:cs="DengXian-Regular"/>
          <w:sz w:val="32"/>
          <w:szCs w:val="32"/>
        </w:rPr>
        <w:t>%。主要原因是</w:t>
      </w:r>
      <w:r>
        <w:rPr>
          <w:rFonts w:hint="eastAsia" w:ascii="仿宋" w:hAnsi="仿宋" w:eastAsia="仿宋" w:cs="仿宋"/>
          <w:b w:val="0"/>
          <w:bCs w:val="0"/>
          <w:sz w:val="32"/>
          <w:szCs w:val="32"/>
          <w:lang w:val="en-US" w:eastAsia="zh-CN"/>
        </w:rPr>
        <w:t>办公楼维护费用较大、中央空调电费维护费支出较大</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7593.62</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55.66</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7340.88</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197.08</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68.26</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0.89</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68.26</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0.89</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车辆报废处置</w:t>
      </w:r>
      <w:r>
        <w:rPr>
          <w:rFonts w:hint="eastAsia" w:ascii="仿宋_GB2312" w:hAnsi="Times New Roman" w:eastAsia="仿宋_GB2312" w:cs="DengXian-Regular"/>
          <w:sz w:val="32"/>
          <w:szCs w:val="32"/>
        </w:rPr>
        <w:t>。其中，机要通信用车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辆，其他用车主要是</w:t>
      </w:r>
      <w:r>
        <w:rPr>
          <w:rFonts w:hint="eastAsia" w:ascii="仿宋_GB2312" w:eastAsia="仿宋_GB2312" w:cs="DengXian-Regular"/>
          <w:sz w:val="32"/>
          <w:szCs w:val="32"/>
          <w:lang w:eastAsia="zh-CN"/>
        </w:rPr>
        <w:t>检查巡查用车。</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lang w:eastAsia="zh-CN"/>
        </w:rPr>
        <w:t>国有资本经营预算财政拨款支出决算表</w:t>
      </w:r>
      <w:r>
        <w:rPr>
          <w:rFonts w:hint="eastAsia" w:ascii="仿宋_GB2312" w:hAnsi="Times New Roman" w:eastAsia="仿宋_GB2312" w:cs="DengXian-Regular"/>
          <w:sz w:val="32"/>
          <w:szCs w:val="32"/>
        </w:rPr>
        <w:t>无收支及结转结余情况，故</w:t>
      </w:r>
      <w:r>
        <w:rPr>
          <w:rFonts w:hint="eastAsia" w:ascii="仿宋_GB2312" w:eastAsia="仿宋_GB2312" w:cs="DengXian-Regular"/>
          <w:sz w:val="32"/>
          <w:szCs w:val="32"/>
          <w:lang w:eastAsia="zh-CN"/>
        </w:rPr>
        <w:t>国有资本经营预算财政拨款支出决算表</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fill type="pattern" on="t" color2="#FFFFFF [3212]"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jc w:val="left"/>
      </w:pPr>
    </w:p>
    <w:tbl>
      <w:tblPr>
        <w:tblStyle w:val="8"/>
        <w:tblpPr w:leftFromText="180" w:rightFromText="180" w:vertAnchor="text" w:horzAnchor="page" w:tblpXSpec="center" w:tblpY="31"/>
        <w:tblOverlap w:val="never"/>
        <w:tblW w:w="9646" w:type="dxa"/>
        <w:jc w:val="center"/>
        <w:tblInd w:w="0" w:type="dxa"/>
        <w:tblLayout w:type="fixed"/>
        <w:tblCellMar>
          <w:top w:w="0" w:type="dxa"/>
          <w:left w:w="0" w:type="dxa"/>
          <w:bottom w:w="0" w:type="dxa"/>
          <w:right w:w="0" w:type="dxa"/>
        </w:tblCellMar>
      </w:tblPr>
      <w:tblGrid>
        <w:gridCol w:w="2647"/>
        <w:gridCol w:w="825"/>
        <w:gridCol w:w="1186"/>
        <w:gridCol w:w="3474"/>
        <w:gridCol w:w="541"/>
        <w:gridCol w:w="973"/>
      </w:tblGrid>
      <w:tr>
        <w:tblPrEx>
          <w:tblLayout w:type="fixed"/>
          <w:tblCellMar>
            <w:top w:w="0" w:type="dxa"/>
            <w:left w:w="0" w:type="dxa"/>
            <w:bottom w:w="0" w:type="dxa"/>
            <w:right w:w="0" w:type="dxa"/>
          </w:tblCellMar>
        </w:tblPrEx>
        <w:trPr>
          <w:trHeight w:val="489" w:hRule="atLeast"/>
          <w:jc w:val="center"/>
        </w:trPr>
        <w:tc>
          <w:tcPr>
            <w:tcW w:w="9646"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264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98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264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8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98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988"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27827.2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34.71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5013.82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309.95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401.96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163.82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16502.04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14322.27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3584.03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33150.97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35008.83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11956.82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10098.96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2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11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45107.79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9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45107.79　</w:t>
            </w:r>
          </w:p>
        </w:tc>
      </w:tr>
    </w:tbl>
    <w:tbl>
      <w:tblPr>
        <w:tblStyle w:val="8"/>
        <w:tblW w:w="9102" w:type="dxa"/>
        <w:tblInd w:w="0" w:type="dxa"/>
        <w:shd w:val="clear" w:color="auto" w:fill="auto"/>
        <w:tblLayout w:type="fixed"/>
        <w:tblCellMar>
          <w:top w:w="0" w:type="dxa"/>
          <w:left w:w="0" w:type="dxa"/>
          <w:bottom w:w="0" w:type="dxa"/>
          <w:right w:w="0" w:type="dxa"/>
        </w:tblCellMar>
      </w:tblPr>
      <w:tblGrid>
        <w:gridCol w:w="599"/>
        <w:gridCol w:w="38"/>
        <w:gridCol w:w="37"/>
        <w:gridCol w:w="4561"/>
        <w:gridCol w:w="852"/>
        <w:gridCol w:w="852"/>
        <w:gridCol w:w="396"/>
        <w:gridCol w:w="396"/>
        <w:gridCol w:w="396"/>
        <w:gridCol w:w="396"/>
        <w:gridCol w:w="579"/>
      </w:tblGrid>
      <w:tr>
        <w:tblPrEx>
          <w:shd w:val="clear" w:color="auto" w:fill="auto"/>
          <w:tblLayout w:type="fixed"/>
          <w:tblCellMar>
            <w:top w:w="0" w:type="dxa"/>
            <w:left w:w="0" w:type="dxa"/>
            <w:bottom w:w="0" w:type="dxa"/>
            <w:right w:w="0" w:type="dxa"/>
          </w:tblCellMar>
        </w:tblPrEx>
        <w:trPr>
          <w:trHeight w:val="489" w:hRule="atLeast"/>
        </w:trPr>
        <w:tc>
          <w:tcPr>
            <w:tcW w:w="9102" w:type="dxa"/>
            <w:gridSpan w:val="11"/>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收入决算表</w:t>
            </w:r>
          </w:p>
        </w:tc>
      </w:tr>
      <w:tr>
        <w:tblPrEx>
          <w:tblLayout w:type="fixed"/>
          <w:tblCellMar>
            <w:top w:w="0" w:type="dxa"/>
            <w:left w:w="0" w:type="dxa"/>
            <w:bottom w:w="0" w:type="dxa"/>
            <w:right w:w="0" w:type="dxa"/>
          </w:tblCellMar>
        </w:tblPrEx>
        <w:trPr>
          <w:trHeight w:val="255" w:hRule="atLeast"/>
        </w:trPr>
        <w:tc>
          <w:tcPr>
            <w:tcW w:w="59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56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5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5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9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9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371" w:type="dxa"/>
            <w:gridSpan w:val="3"/>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Layout w:type="fixed"/>
          <w:tblCellMar>
            <w:top w:w="0" w:type="dxa"/>
            <w:left w:w="0" w:type="dxa"/>
            <w:bottom w:w="0" w:type="dxa"/>
            <w:right w:w="0" w:type="dxa"/>
          </w:tblCellMar>
        </w:tblPrEx>
        <w:trPr>
          <w:trHeight w:val="255" w:hRule="atLeast"/>
        </w:trPr>
        <w:tc>
          <w:tcPr>
            <w:tcW w:w="5235" w:type="dxa"/>
            <w:gridSpan w:val="4"/>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部门：石家庄市鹿泉区建设局（汇总）</w:t>
            </w:r>
          </w:p>
        </w:tc>
        <w:tc>
          <w:tcPr>
            <w:tcW w:w="85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52"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9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767" w:type="dxa"/>
            <w:gridSpan w:val="4"/>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52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5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85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39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39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39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39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57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Layout w:type="fixed"/>
          <w:tblCellMar>
            <w:top w:w="0" w:type="dxa"/>
            <w:left w:w="0" w:type="dxa"/>
            <w:bottom w:w="0" w:type="dxa"/>
            <w:right w:w="0" w:type="dxa"/>
          </w:tblCellMar>
        </w:tblPrEx>
        <w:trPr>
          <w:trHeight w:val="308" w:hRule="atLeast"/>
        </w:trPr>
        <w:tc>
          <w:tcPr>
            <w:tcW w:w="67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5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7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67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5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7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67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5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7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523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Layout w:type="fixed"/>
          <w:tblCellMar>
            <w:top w:w="0" w:type="dxa"/>
            <w:left w:w="0" w:type="dxa"/>
            <w:bottom w:w="0" w:type="dxa"/>
            <w:right w:w="0" w:type="dxa"/>
          </w:tblCellMar>
        </w:tblPrEx>
        <w:trPr>
          <w:trHeight w:val="308" w:hRule="atLeast"/>
        </w:trPr>
        <w:tc>
          <w:tcPr>
            <w:tcW w:w="523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33,150.97</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32,841.02</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309.95</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人大事务</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2010102</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34.66</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406.88</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406.88</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313.57</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313.57</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253.38</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253.38</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2080506</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60.19</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60.19</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93.31</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93.31</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93.31</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93.31</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161.15</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161.15</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161.15</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161.15</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17.57</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17.57</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143.58</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143.58</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12,394.50</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12,315.30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79.20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12,394.50</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12,315.30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79.20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9,990.65</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9,911.45</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79.20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2110302</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水体</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10,907.15</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10,715.53</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191.62</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城乡社区管理事务</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1,319.64</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1,263.46</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56.18</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1,202.73</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1,189.12</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13.61</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2120102</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54.35</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54.35</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2120199</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62.57</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42.57</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3,197.89</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3,073.12</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124.77</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3,197.89</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3,073.12</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124.77</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建设市场管理与监督</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1,375.80</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1,365.12</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10.68</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建设市场管理与监督</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1,375.80</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1,365.12</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10.68</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4,416.27</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4,416.27</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2120803</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城市建设支出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3,118.27</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3,118.27</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2120811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公共租赁住房支出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1,258.00</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1,258.00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城市公共设施</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9,246.63</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9,207.51</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39.12</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保障性安居工程支出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9,114.72</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9,075.60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39.12</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廉租住房</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0.60</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0.60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2210105</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农村危房改造</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79.12</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39.12</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2210107</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保障性住房租金补贴</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35.00</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2210199</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其他保障性安居工程支出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9,000.00</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9,000.00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125.57</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125.57</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125.57</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125.57</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22103</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城乡社区住宅</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7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2210301</w:t>
            </w:r>
          </w:p>
        </w:tc>
        <w:tc>
          <w:tcPr>
            <w:tcW w:w="45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公有住房建设和维修改造支出</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8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5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9102" w:type="dxa"/>
            <w:gridSpan w:val="11"/>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pPr>
        <w:jc w:val="left"/>
      </w:pPr>
    </w:p>
    <w:p>
      <w:r>
        <w:br w:type="page"/>
      </w:r>
    </w:p>
    <w:tbl>
      <w:tblPr>
        <w:tblStyle w:val="8"/>
        <w:tblW w:w="9102" w:type="dxa"/>
        <w:tblInd w:w="0" w:type="dxa"/>
        <w:shd w:val="clear" w:color="auto" w:fill="auto"/>
        <w:tblLayout w:type="fixed"/>
        <w:tblCellMar>
          <w:top w:w="0" w:type="dxa"/>
          <w:left w:w="0" w:type="dxa"/>
          <w:bottom w:w="0" w:type="dxa"/>
          <w:right w:w="0" w:type="dxa"/>
        </w:tblCellMar>
      </w:tblPr>
      <w:tblGrid>
        <w:gridCol w:w="587"/>
        <w:gridCol w:w="37"/>
        <w:gridCol w:w="41"/>
        <w:gridCol w:w="4479"/>
        <w:gridCol w:w="837"/>
        <w:gridCol w:w="748"/>
        <w:gridCol w:w="837"/>
        <w:gridCol w:w="389"/>
        <w:gridCol w:w="389"/>
        <w:gridCol w:w="758"/>
      </w:tblGrid>
      <w:tr>
        <w:tblPrEx>
          <w:shd w:val="clear" w:color="auto" w:fill="auto"/>
          <w:tblLayout w:type="fixed"/>
          <w:tblCellMar>
            <w:top w:w="0" w:type="dxa"/>
            <w:left w:w="0" w:type="dxa"/>
            <w:bottom w:w="0" w:type="dxa"/>
            <w:right w:w="0" w:type="dxa"/>
          </w:tblCellMar>
        </w:tblPrEx>
        <w:trPr>
          <w:trHeight w:val="390" w:hRule="atLeast"/>
        </w:trPr>
        <w:tc>
          <w:tcPr>
            <w:tcW w:w="9102" w:type="dxa"/>
            <w:gridSpan w:val="10"/>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r>
      <w:tr>
        <w:tblPrEx>
          <w:tblLayout w:type="fixed"/>
          <w:tblCellMar>
            <w:top w:w="0" w:type="dxa"/>
            <w:left w:w="0" w:type="dxa"/>
            <w:bottom w:w="0" w:type="dxa"/>
            <w:right w:w="0" w:type="dxa"/>
          </w:tblCellMar>
        </w:tblPrEx>
        <w:trPr>
          <w:trHeight w:val="255" w:hRule="atLeast"/>
        </w:trPr>
        <w:tc>
          <w:tcPr>
            <w:tcW w:w="58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1"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447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3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74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3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8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8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758"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Layout w:type="fixed"/>
          <w:tblCellMar>
            <w:top w:w="0" w:type="dxa"/>
            <w:left w:w="0" w:type="dxa"/>
            <w:bottom w:w="0" w:type="dxa"/>
            <w:right w:w="0" w:type="dxa"/>
          </w:tblCellMar>
        </w:tblPrEx>
        <w:trPr>
          <w:trHeight w:val="255" w:hRule="atLeast"/>
        </w:trPr>
        <w:tc>
          <w:tcPr>
            <w:tcW w:w="5144" w:type="dxa"/>
            <w:gridSpan w:val="4"/>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部门：石家庄市鹿泉区建设局（汇总）</w:t>
            </w:r>
          </w:p>
        </w:tc>
        <w:tc>
          <w:tcPr>
            <w:tcW w:w="83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74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3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536" w:type="dxa"/>
            <w:gridSpan w:val="3"/>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514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74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8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38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38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75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Layout w:type="fixed"/>
          <w:tblCellMar>
            <w:top w:w="0" w:type="dxa"/>
            <w:left w:w="0" w:type="dxa"/>
            <w:bottom w:w="0" w:type="dxa"/>
            <w:right w:w="0" w:type="dxa"/>
          </w:tblCellMar>
        </w:tblPrEx>
        <w:trPr>
          <w:trHeight w:val="308" w:hRule="atLeast"/>
        </w:trPr>
        <w:tc>
          <w:tcPr>
            <w:tcW w:w="66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47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66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66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4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514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Layout w:type="fixed"/>
          <w:tblCellMar>
            <w:top w:w="0" w:type="dxa"/>
            <w:left w:w="0" w:type="dxa"/>
            <w:bottom w:w="0" w:type="dxa"/>
            <w:right w:w="0" w:type="dxa"/>
          </w:tblCellMar>
        </w:tblPrEx>
        <w:trPr>
          <w:trHeight w:val="308" w:hRule="atLeast"/>
        </w:trPr>
        <w:tc>
          <w:tcPr>
            <w:tcW w:w="514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35,008.83</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3,235.48</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31,773.35</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人大事务</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2010102</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401.96</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361.85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40.12</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308.65</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308.65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249.21</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249.21</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2080506</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59.45</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59.45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93.31</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53.19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40.12</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93.31</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53.19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40.12</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141.77</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141.77</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16,502.04</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16,502.04</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16,502.04</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16,502.04</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14,098.19</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14,098.19</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2110302</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水体</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14,322.27</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2,584.02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11,738.25</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城乡社区管理事务</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1,341.42</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1,211.02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130.40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1,209.93</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1,209.93</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2120102</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59.78</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58.70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2120199</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71.70</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71.70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3,200.08</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3,200.08</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3,200.08</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3,200.08</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建设市场管理与监督</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1,615.48</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1,373.00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建设市场管理与监督</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1,615.48</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1,373.00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7,543.58</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7,543.58</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2120803</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城市建设支出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6,493.21</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6,493.21</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2120804</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2120811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公共租赁住房支出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1,000.37</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1,000.37</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2121301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城市公共设施</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597.56</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2129901</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3,584.03</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125.79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3,458.24</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保障性安居工程支出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3,452.50</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0.60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3,451.90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廉租住房</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0.60</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0.60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2210105</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农村危房改造</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79.12</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79.12</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2210199</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其他保障性安居工程支出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3,372.78</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3,372.78</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125.19</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125.19</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22103</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城乡社区住宅</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6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2210301</w:t>
            </w:r>
          </w:p>
        </w:tc>
        <w:tc>
          <w:tcPr>
            <w:tcW w:w="4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公有住房建设和维修改造支出</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7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3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9102" w:type="dxa"/>
            <w:gridSpan w:val="10"/>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r>
        <w:br w:type="page"/>
      </w:r>
    </w:p>
    <w:tbl>
      <w:tblPr>
        <w:tblStyle w:val="8"/>
        <w:tblW w:w="9102" w:type="dxa"/>
        <w:tblInd w:w="0" w:type="dxa"/>
        <w:shd w:val="clear" w:color="auto" w:fill="auto"/>
        <w:tblLayout w:type="fixed"/>
        <w:tblCellMar>
          <w:top w:w="0" w:type="dxa"/>
          <w:left w:w="0" w:type="dxa"/>
          <w:bottom w:w="0" w:type="dxa"/>
          <w:right w:w="0" w:type="dxa"/>
        </w:tblCellMar>
      </w:tblPr>
      <w:tblGrid>
        <w:gridCol w:w="2454"/>
        <w:gridCol w:w="216"/>
        <w:gridCol w:w="870"/>
        <w:gridCol w:w="2829"/>
        <w:gridCol w:w="217"/>
        <w:gridCol w:w="870"/>
        <w:gridCol w:w="870"/>
        <w:gridCol w:w="776"/>
      </w:tblGrid>
      <w:tr>
        <w:tblPrEx>
          <w:shd w:val="clear" w:color="auto" w:fill="auto"/>
          <w:tblLayout w:type="fixed"/>
          <w:tblCellMar>
            <w:top w:w="0" w:type="dxa"/>
            <w:left w:w="0" w:type="dxa"/>
            <w:bottom w:w="0" w:type="dxa"/>
            <w:right w:w="0" w:type="dxa"/>
          </w:tblCellMar>
        </w:tblPrEx>
        <w:trPr>
          <w:trHeight w:val="390" w:hRule="atLeast"/>
        </w:trPr>
        <w:tc>
          <w:tcPr>
            <w:tcW w:w="9102" w:type="dxa"/>
            <w:gridSpan w:val="8"/>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财政拨款收入支出决算总表</w:t>
            </w:r>
          </w:p>
        </w:tc>
      </w:tr>
      <w:tr>
        <w:tblPrEx>
          <w:tblLayout w:type="fixed"/>
          <w:tblCellMar>
            <w:top w:w="0" w:type="dxa"/>
            <w:left w:w="0" w:type="dxa"/>
            <w:bottom w:w="0" w:type="dxa"/>
            <w:right w:w="0" w:type="dxa"/>
          </w:tblCellMar>
        </w:tblPrEx>
        <w:trPr>
          <w:trHeight w:val="255" w:hRule="atLeast"/>
        </w:trPr>
        <w:tc>
          <w:tcPr>
            <w:tcW w:w="2454"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1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829"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21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646"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Layout w:type="fixed"/>
          <w:tblCellMar>
            <w:top w:w="0" w:type="dxa"/>
            <w:left w:w="0" w:type="dxa"/>
            <w:bottom w:w="0" w:type="dxa"/>
            <w:right w:w="0" w:type="dxa"/>
          </w:tblCellMar>
        </w:tblPrEx>
        <w:trPr>
          <w:trHeight w:val="255" w:hRule="atLeast"/>
        </w:trPr>
        <w:tc>
          <w:tcPr>
            <w:tcW w:w="6369" w:type="dxa"/>
            <w:gridSpan w:val="4"/>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部门：石家庄市鹿泉区建设局（汇总）</w:t>
            </w:r>
          </w:p>
        </w:tc>
        <w:tc>
          <w:tcPr>
            <w:tcW w:w="21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8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646"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35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5562"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Layout w:type="fixed"/>
          <w:tblCellMar>
            <w:top w:w="0" w:type="dxa"/>
            <w:left w:w="0" w:type="dxa"/>
            <w:bottom w:w="0" w:type="dxa"/>
            <w:right w:w="0" w:type="dxa"/>
          </w:tblCellMar>
        </w:tblPrEx>
        <w:trPr>
          <w:trHeight w:val="292" w:hRule="atLeast"/>
        </w:trPr>
        <w:tc>
          <w:tcPr>
            <w:tcW w:w="2454"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1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8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28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8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8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7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r>
      <w:tr>
        <w:tblPrEx>
          <w:tblLayout w:type="fixed"/>
          <w:tblCellMar>
            <w:top w:w="0" w:type="dxa"/>
            <w:left w:w="0" w:type="dxa"/>
            <w:bottom w:w="0" w:type="dxa"/>
            <w:right w:w="0" w:type="dxa"/>
          </w:tblCellMar>
        </w:tblPrEx>
        <w:trPr>
          <w:trHeight w:val="615" w:hRule="atLeast"/>
        </w:trPr>
        <w:tc>
          <w:tcPr>
            <w:tcW w:w="245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27,827.20</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5,013.82</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401.96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401.96</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14,130.34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5,989.20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8,141.13</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3,544.91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3,544.91</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32,841.02</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34,698.58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26,557.45</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8,141.13</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11,943.28</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10,085.72</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9,828.09</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257.63</w:t>
            </w: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8,558.34</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3,384.94</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24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2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44,784.30</w:t>
            </w:r>
          </w:p>
        </w:tc>
        <w:tc>
          <w:tcPr>
            <w:tcW w:w="2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44,784.30</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36,385.54</w:t>
            </w:r>
          </w:p>
        </w:tc>
        <w:tc>
          <w:tcPr>
            <w:tcW w:w="7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8,398.76</w:t>
            </w:r>
          </w:p>
        </w:tc>
      </w:tr>
      <w:tr>
        <w:tblPrEx>
          <w:tblLayout w:type="fixed"/>
          <w:tblCellMar>
            <w:top w:w="0" w:type="dxa"/>
            <w:left w:w="0" w:type="dxa"/>
            <w:bottom w:w="0" w:type="dxa"/>
            <w:right w:w="0" w:type="dxa"/>
          </w:tblCellMar>
        </w:tblPrEx>
        <w:trPr>
          <w:trHeight w:val="308" w:hRule="atLeast"/>
        </w:trPr>
        <w:tc>
          <w:tcPr>
            <w:tcW w:w="9102"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注：本表反映部门本年度一般公共预算财政拨款和政府性基金预算财政拨款的总收支和年末结转结余情况。</w:t>
            </w:r>
          </w:p>
        </w:tc>
      </w:tr>
    </w:tbl>
    <w:p>
      <w:r>
        <w:br w:type="page"/>
      </w:r>
    </w:p>
    <w:tbl>
      <w:tblPr>
        <w:tblStyle w:val="8"/>
        <w:tblW w:w="9102" w:type="dxa"/>
        <w:tblInd w:w="0" w:type="dxa"/>
        <w:shd w:val="clear" w:color="auto" w:fill="auto"/>
        <w:tblLayout w:type="fixed"/>
        <w:tblCellMar>
          <w:top w:w="0" w:type="dxa"/>
          <w:left w:w="0" w:type="dxa"/>
          <w:bottom w:w="0" w:type="dxa"/>
          <w:right w:w="0" w:type="dxa"/>
        </w:tblCellMar>
      </w:tblPr>
      <w:tblGrid>
        <w:gridCol w:w="1885"/>
        <w:gridCol w:w="36"/>
        <w:gridCol w:w="36"/>
        <w:gridCol w:w="3770"/>
        <w:gridCol w:w="1028"/>
        <w:gridCol w:w="917"/>
        <w:gridCol w:w="1430"/>
      </w:tblGrid>
      <w:tr>
        <w:tblPrEx>
          <w:shd w:val="clear" w:color="auto" w:fill="auto"/>
          <w:tblLayout w:type="fixed"/>
          <w:tblCellMar>
            <w:top w:w="0" w:type="dxa"/>
            <w:left w:w="0" w:type="dxa"/>
            <w:bottom w:w="0" w:type="dxa"/>
            <w:right w:w="0" w:type="dxa"/>
          </w:tblCellMar>
        </w:tblPrEx>
        <w:trPr>
          <w:trHeight w:val="390" w:hRule="atLeast"/>
        </w:trPr>
        <w:tc>
          <w:tcPr>
            <w:tcW w:w="9102" w:type="dxa"/>
            <w:gridSpan w:val="7"/>
            <w:tcBorders>
              <w:top w:val="nil"/>
              <w:left w:val="nil"/>
              <w:bottom w:val="nil"/>
              <w:right w:val="nil"/>
            </w:tcBorders>
            <w:shd w:val="clear" w:color="auto" w:fill="auto"/>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r>
      <w:tr>
        <w:tblPrEx>
          <w:tblLayout w:type="fixed"/>
          <w:tblCellMar>
            <w:top w:w="0" w:type="dxa"/>
            <w:left w:w="0" w:type="dxa"/>
            <w:bottom w:w="0" w:type="dxa"/>
            <w:right w:w="0" w:type="dxa"/>
          </w:tblCellMar>
        </w:tblPrEx>
        <w:trPr>
          <w:trHeight w:val="255" w:hRule="atLeast"/>
        </w:trPr>
        <w:tc>
          <w:tcPr>
            <w:tcW w:w="1885"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3770"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02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91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43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Layout w:type="fixed"/>
          <w:tblCellMar>
            <w:top w:w="0" w:type="dxa"/>
            <w:left w:w="0" w:type="dxa"/>
            <w:bottom w:w="0" w:type="dxa"/>
            <w:right w:w="0" w:type="dxa"/>
          </w:tblCellMar>
        </w:tblPrEx>
        <w:trPr>
          <w:trHeight w:val="255" w:hRule="atLeast"/>
        </w:trPr>
        <w:tc>
          <w:tcPr>
            <w:tcW w:w="5727" w:type="dxa"/>
            <w:gridSpan w:val="4"/>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部门：石家庄市鹿泉区建设局（汇总）</w:t>
            </w:r>
          </w:p>
        </w:tc>
        <w:tc>
          <w:tcPr>
            <w:tcW w:w="1028"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917" w:type="dxa"/>
            <w:tcBorders>
              <w:top w:val="nil"/>
              <w:left w:val="nil"/>
              <w:bottom w:val="nil"/>
              <w:right w:val="nil"/>
            </w:tcBorders>
            <w:shd w:val="clear" w:color="auto" w:fill="auto"/>
            <w:tcMar>
              <w:top w:w="15" w:type="dxa"/>
              <w:left w:w="15" w:type="dxa"/>
              <w:right w:w="15" w:type="dxa"/>
            </w:tcMar>
            <w:vAlign w:val="bottom"/>
          </w:tcPr>
          <w:p>
            <w:pPr>
              <w:rPr>
                <w:rFonts w:hint="default" w:ascii="Arial" w:hAnsi="Arial" w:cs="Arial"/>
                <w:i w:val="0"/>
                <w:color w:val="000000"/>
                <w:sz w:val="20"/>
                <w:szCs w:val="20"/>
                <w:u w:val="none"/>
              </w:rPr>
            </w:pPr>
          </w:p>
        </w:tc>
        <w:tc>
          <w:tcPr>
            <w:tcW w:w="143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308" w:hRule="atLeast"/>
        </w:trPr>
        <w:tc>
          <w:tcPr>
            <w:tcW w:w="572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3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Layout w:type="fixed"/>
          <w:tblCellMar>
            <w:top w:w="0" w:type="dxa"/>
            <w:left w:w="0" w:type="dxa"/>
            <w:bottom w:w="0" w:type="dxa"/>
            <w:right w:w="0" w:type="dxa"/>
          </w:tblCellMar>
        </w:tblPrEx>
        <w:trPr>
          <w:trHeight w:val="308" w:hRule="atLeast"/>
        </w:trPr>
        <w:tc>
          <w:tcPr>
            <w:tcW w:w="1957"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7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2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9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4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Layout w:type="fixed"/>
          <w:tblCellMar>
            <w:top w:w="0" w:type="dxa"/>
            <w:left w:w="0" w:type="dxa"/>
            <w:bottom w:w="0" w:type="dxa"/>
            <w:right w:w="0" w:type="dxa"/>
          </w:tblCellMar>
        </w:tblPrEx>
        <w:trPr>
          <w:trHeight w:val="277" w:hRule="atLeast"/>
        </w:trPr>
        <w:tc>
          <w:tcPr>
            <w:tcW w:w="1957"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1957"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7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308" w:hRule="atLeast"/>
        </w:trPr>
        <w:tc>
          <w:tcPr>
            <w:tcW w:w="572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Layout w:type="fixed"/>
          <w:tblCellMar>
            <w:top w:w="0" w:type="dxa"/>
            <w:left w:w="0" w:type="dxa"/>
            <w:bottom w:w="0" w:type="dxa"/>
            <w:right w:w="0" w:type="dxa"/>
          </w:tblCellMar>
        </w:tblPrEx>
        <w:trPr>
          <w:trHeight w:val="308" w:hRule="atLeast"/>
        </w:trPr>
        <w:tc>
          <w:tcPr>
            <w:tcW w:w="5727"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26,557.45</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3,210.89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23,346.56</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一般公共服务支出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人大事务</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2010102</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34.71</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401.96</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361.85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40.12</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行政事业单位离退休</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308.65</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308.65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249.21</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249.21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2080506</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59.45</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93.31</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53.19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40.12</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93.31</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53.19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40.12</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163.82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22.05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2101102</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事业单位医疗</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141.77</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141.77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节能环保支出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污染防治</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16,422.84</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大气</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14,018.99</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14,018.99</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2110302</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水体</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2,403.85</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5,989.20</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2,559.43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3,429.78</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城乡社区管理事务</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1,284.93</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1,197.10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87.83</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1,196.02</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1,196.02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2120102</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59.78</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58.70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2120199</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29.13</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29.13</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城乡社区公共设施</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3,075.32</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3,075.32</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2120303</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3,075.32</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3,075.32</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建设市场管理与监督</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1,604.80</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1,362.33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2120601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建设市场管理与监督</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1,604.80</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1,362.33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242.48</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其他城乡社区支出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2129901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2129901</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24.15</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3,544.91</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125.79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3,419.12</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保障性安居工程支出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3,413.38</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0.60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3,412.78</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廉租住房</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0.60</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0.60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2210105</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农村危房改造</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2210199</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其他保障性安居工程支出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3,372.78</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3,372.78</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125.19</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125.19</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125.19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22103</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城乡社区住宅</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r>
      <w:tr>
        <w:tblPrEx>
          <w:tblLayout w:type="fixed"/>
          <w:tblCellMar>
            <w:top w:w="0" w:type="dxa"/>
            <w:left w:w="0" w:type="dxa"/>
            <w:bottom w:w="0" w:type="dxa"/>
            <w:right w:w="0" w:type="dxa"/>
          </w:tblCellMar>
        </w:tblPrEx>
        <w:trPr>
          <w:trHeight w:val="308" w:hRule="atLeast"/>
        </w:trPr>
        <w:tc>
          <w:tcPr>
            <w:tcW w:w="195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2210301</w:t>
            </w:r>
          </w:p>
        </w:tc>
        <w:tc>
          <w:tcPr>
            <w:tcW w:w="3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公有住房建设和维修改造支出</w:t>
            </w:r>
          </w:p>
        </w:tc>
        <w:tc>
          <w:tcPr>
            <w:tcW w:w="1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c>
          <w:tcPr>
            <w:tcW w:w="9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6.34</w:t>
            </w:r>
          </w:p>
        </w:tc>
      </w:tr>
    </w:tbl>
    <w:p>
      <w:r>
        <w:br w:type="page"/>
      </w:r>
    </w:p>
    <w:tbl>
      <w:tblPr>
        <w:tblStyle w:val="8"/>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2451.96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676.92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536.93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58.31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94.7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21.95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619.81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8.69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20.07</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rPr>
              <w:t>530.1</w:t>
            </w: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4.74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20.07</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rPr>
              <w:t>245.1</w:t>
            </w:r>
            <w:r>
              <w:rPr>
                <w:rFonts w:hint="eastAsia" w:ascii="宋体" w:hAnsi="宋体" w:eastAsia="宋体" w:cs="宋体"/>
                <w:color w:val="000000"/>
                <w:sz w:val="20"/>
                <w:szCs w:val="20"/>
                <w:lang w:val="en-US" w:eastAsia="zh-CN"/>
              </w:rPr>
              <w:t>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31.77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66.28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85.17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163.34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7.37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11.82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11.47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144.76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38.47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39.47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61.95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20.38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7.20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33.65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26.97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90"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265.76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7.45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0.71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10.19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18.21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40.45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29.43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2513.9</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696.99</w:t>
            </w:r>
          </w:p>
        </w:tc>
      </w:tr>
    </w:tbl>
    <w:p>
      <w:r>
        <w:br w:type="page"/>
      </w:r>
    </w:p>
    <w:tbl>
      <w:tblPr>
        <w:tblStyle w:val="8"/>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18.9</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lang w:val="en-US" w:eastAsia="zh-CN"/>
              </w:rPr>
            </w:pPr>
            <w:r>
              <w:rPr>
                <w:rFonts w:hint="eastAsia"/>
                <w:lang w:val="en-US" w:eastAsia="zh-CN"/>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18.9</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18.21</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18.21</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18.21</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8"/>
        <w:tblW w:w="9608" w:type="dxa"/>
        <w:jc w:val="center"/>
        <w:tblInd w:w="0" w:type="dxa"/>
        <w:tblLayout w:type="fixed"/>
        <w:tblCellMar>
          <w:top w:w="0" w:type="dxa"/>
          <w:left w:w="0" w:type="dxa"/>
          <w:bottom w:w="0" w:type="dxa"/>
          <w:right w:w="0" w:type="dxa"/>
        </w:tblCellMar>
      </w:tblPr>
      <w:tblGrid>
        <w:gridCol w:w="718"/>
        <w:gridCol w:w="41"/>
        <w:gridCol w:w="41"/>
        <w:gridCol w:w="3110"/>
        <w:gridCol w:w="1033"/>
        <w:gridCol w:w="1033"/>
        <w:gridCol w:w="1033"/>
        <w:gridCol w:w="657"/>
        <w:gridCol w:w="1033"/>
        <w:gridCol w:w="909"/>
      </w:tblGrid>
      <w:tr>
        <w:tblPrEx>
          <w:tblLayout w:type="fixed"/>
          <w:tblCellMar>
            <w:top w:w="0" w:type="dxa"/>
            <w:left w:w="0" w:type="dxa"/>
            <w:bottom w:w="0" w:type="dxa"/>
            <w:right w:w="0" w:type="dxa"/>
          </w:tblCellMar>
        </w:tblPrEx>
        <w:trPr>
          <w:trHeight w:val="780" w:hRule="atLeast"/>
          <w:jc w:val="center"/>
        </w:trPr>
        <w:tc>
          <w:tcPr>
            <w:tcW w:w="9608"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71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1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4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71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1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4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9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3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03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272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9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1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6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03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9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宋体" w:hAnsi="宋体" w:eastAsia="宋体" w:cs="宋体"/>
                <w:color w:val="000000"/>
                <w:sz w:val="22"/>
                <w:lang w:val="en-US" w:eastAsia="zh-CN"/>
              </w:rPr>
            </w:pPr>
            <w:r>
              <w:rPr>
                <w:rFonts w:hint="eastAsia" w:ascii="宋体" w:hAnsi="宋体" w:eastAsia="宋体" w:cs="宋体"/>
                <w:color w:val="000000"/>
                <w:kern w:val="0"/>
                <w:sz w:val="22"/>
                <w:lang w:val="en-US" w:eastAsia="zh-CN" w:bidi="ar"/>
              </w:rPr>
              <w:t>2</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39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3384.94</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5013.82</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8141.13</w:t>
            </w:r>
          </w:p>
        </w:tc>
        <w:tc>
          <w:tcPr>
            <w:tcW w:w="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0.00</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lang w:val="en-US" w:eastAsia="zh-CN"/>
              </w:rPr>
              <w:t>8141.13</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257.63</w:t>
            </w:r>
          </w:p>
        </w:tc>
      </w:tr>
      <w:tr>
        <w:tblPrEx>
          <w:tblLayout w:type="fixed"/>
          <w:tblCellMar>
            <w:top w:w="0" w:type="dxa"/>
            <w:left w:w="0" w:type="dxa"/>
            <w:bottom w:w="0" w:type="dxa"/>
            <w:right w:w="0"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w:t>
            </w:r>
          </w:p>
        </w:tc>
        <w:tc>
          <w:tcPr>
            <w:tcW w:w="3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城乡社区支出</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3384.94</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5013.82</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8141.13</w:t>
            </w:r>
          </w:p>
        </w:tc>
        <w:tc>
          <w:tcPr>
            <w:tcW w:w="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0.00</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8141.13</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257.63</w:t>
            </w:r>
          </w:p>
        </w:tc>
      </w:tr>
      <w:tr>
        <w:tblPrEx>
          <w:tblLayout w:type="fixed"/>
          <w:tblCellMar>
            <w:top w:w="0" w:type="dxa"/>
            <w:left w:w="0" w:type="dxa"/>
            <w:bottom w:w="0" w:type="dxa"/>
            <w:right w:w="0" w:type="dxa"/>
          </w:tblCellMar>
        </w:tblPrEx>
        <w:trPr>
          <w:trHeight w:val="1182"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21208</w:t>
            </w:r>
          </w:p>
        </w:tc>
        <w:tc>
          <w:tcPr>
            <w:tcW w:w="3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lang w:eastAsia="zh-CN"/>
              </w:rPr>
            </w:pPr>
            <w:r>
              <w:rPr>
                <w:rFonts w:hint="eastAsia"/>
                <w:lang w:eastAsia="zh-CN"/>
              </w:rPr>
              <w:t>国有土地使用权出让收入及对应</w:t>
            </w:r>
          </w:p>
          <w:p>
            <w:pPr>
              <w:pStyle w:val="2"/>
              <w:rPr>
                <w:rFonts w:hint="eastAsia"/>
                <w:lang w:eastAsia="zh-CN"/>
              </w:rPr>
            </w:pPr>
            <w:r>
              <w:rPr>
                <w:rFonts w:hint="eastAsia" w:hAnsi="宋体" w:cs="宋体"/>
                <w:color w:val="000000"/>
                <w:sz w:val="22"/>
                <w:lang w:eastAsia="zh-CN"/>
              </w:rPr>
              <w:t>专项债务收入安排的支出</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3384.94</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4116.27</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7543.58</w:t>
            </w:r>
          </w:p>
        </w:tc>
        <w:tc>
          <w:tcPr>
            <w:tcW w:w="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0.00</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7543.58</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257.63</w:t>
            </w:r>
          </w:p>
        </w:tc>
      </w:tr>
      <w:tr>
        <w:tblPrEx>
          <w:tblLayout w:type="fixed"/>
          <w:tblCellMar>
            <w:top w:w="0" w:type="dxa"/>
            <w:left w:w="0" w:type="dxa"/>
            <w:bottom w:w="0" w:type="dxa"/>
            <w:right w:w="0"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2120803</w:t>
            </w:r>
          </w:p>
        </w:tc>
        <w:tc>
          <w:tcPr>
            <w:tcW w:w="3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城市建设支出</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3374.94</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3118.27</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6493.21</w:t>
            </w:r>
          </w:p>
        </w:tc>
        <w:tc>
          <w:tcPr>
            <w:tcW w:w="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0.00</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6493.21</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2120804</w:t>
            </w:r>
          </w:p>
        </w:tc>
        <w:tc>
          <w:tcPr>
            <w:tcW w:w="3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农村基础设施建设支出</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lang w:val="en-US" w:eastAsia="zh-CN"/>
              </w:rPr>
            </w:pPr>
            <w:r>
              <w:rPr>
                <w:rFonts w:hint="eastAsia"/>
                <w:lang w:val="en-US" w:eastAsia="zh-CN"/>
              </w:rPr>
              <w:t>10.00</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40.00</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50.00</w:t>
            </w:r>
          </w:p>
        </w:tc>
        <w:tc>
          <w:tcPr>
            <w:tcW w:w="6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0.00</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50.00</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32"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2120811</w:t>
            </w:r>
          </w:p>
        </w:tc>
        <w:tc>
          <w:tcPr>
            <w:tcW w:w="3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公共租赁住房支出</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1258.0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1000.37</w:t>
            </w:r>
          </w:p>
        </w:tc>
        <w:tc>
          <w:tcPr>
            <w:tcW w:w="6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0.00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1000.37</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257.63</w:t>
            </w:r>
          </w:p>
        </w:tc>
      </w:tr>
      <w:tr>
        <w:tblPrEx>
          <w:tblLayout w:type="fixed"/>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21213</w:t>
            </w:r>
          </w:p>
        </w:tc>
        <w:tc>
          <w:tcPr>
            <w:tcW w:w="3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城市基础设施配套费安排的支出</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597.56</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597.56</w:t>
            </w:r>
          </w:p>
        </w:tc>
        <w:tc>
          <w:tcPr>
            <w:tcW w:w="6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0.00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597.56</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r>
        <w:tblPrEx>
          <w:tblLayout w:type="fixed"/>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2121301</w:t>
            </w:r>
          </w:p>
        </w:tc>
        <w:tc>
          <w:tcPr>
            <w:tcW w:w="3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城市公共设施</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597.56</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597.56</w:t>
            </w:r>
          </w:p>
        </w:tc>
        <w:tc>
          <w:tcPr>
            <w:tcW w:w="6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0.00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597.56</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0.00</w:t>
            </w:r>
          </w:p>
        </w:tc>
      </w:tr>
    </w:tbl>
    <w:p>
      <w:pPr>
        <w:pBdr>
          <w:top w:val="single" w:color="000000" w:sz="4" w:space="0"/>
          <w:left w:val="single" w:color="000000" w:sz="4" w:space="0"/>
          <w:bottom w:val="single" w:color="000000" w:sz="4" w:space="0"/>
          <w:right w:val="single" w:color="000000" w:sz="4" w:space="0"/>
        </w:pBdr>
      </w:pPr>
      <w:r>
        <w:br w:type="page"/>
      </w:r>
    </w:p>
    <w:tbl>
      <w:tblPr>
        <w:tblStyle w:val="8"/>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jc w:val="left"/>
        <w:rPr>
          <w:rFonts w:hint="eastAsia" w:ascii="宋体" w:hAnsi="宋体" w:eastAsia="宋体" w:cs="宋体"/>
          <w:sz w:val="22"/>
          <w:szCs w:val="22"/>
        </w:rPr>
      </w:pPr>
    </w:p>
    <w:p>
      <w:pPr>
        <w:jc w:val="left"/>
        <w:rPr>
          <w:rFonts w:hint="eastAsia" w:ascii="宋体" w:hAnsi="宋体" w:eastAsia="宋体" w:cs="宋体"/>
          <w:sz w:val="22"/>
          <w:szCs w:val="22"/>
        </w:rPr>
      </w:pPr>
      <w:r>
        <w:rPr>
          <w:rFonts w:hint="eastAsia" w:ascii="宋体" w:hAnsi="宋体" w:eastAsia="宋体" w:cs="宋体"/>
          <w:sz w:val="22"/>
          <w:szCs w:val="22"/>
        </w:rPr>
        <w:t>注：本表反映部门本年度国有资本经营预算财政拨款支出情况。本部门本年度无相关支出情况，按要求以空表列示。</w:t>
      </w:r>
      <w:r>
        <w:rPr>
          <w:rFonts w:hint="eastAsia" w:ascii="宋体" w:hAnsi="宋体" w:eastAsia="宋体" w:cs="宋体"/>
          <w:sz w:val="22"/>
          <w:szCs w:val="22"/>
        </w:rPr>
        <w:br w:type="page"/>
      </w:r>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4" w:type="first"/>
      <w:headerReference r:id="rId23" w:type="default"/>
      <w:footerReference r:id="rId25" w:type="default"/>
      <w:pgSz w:w="11906" w:h="16838"/>
      <w:pgMar w:top="1701" w:right="1417" w:bottom="1281" w:left="1417"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41510"/>
    <w:rsid w:val="0024475E"/>
    <w:rsid w:val="002650EC"/>
    <w:rsid w:val="00275D1E"/>
    <w:rsid w:val="002A6C46"/>
    <w:rsid w:val="002C19B5"/>
    <w:rsid w:val="003A4EE8"/>
    <w:rsid w:val="00442CC2"/>
    <w:rsid w:val="00446244"/>
    <w:rsid w:val="00461B3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A1C38"/>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4107B0"/>
    <w:rsid w:val="01C86D61"/>
    <w:rsid w:val="02F05ECD"/>
    <w:rsid w:val="03060C8B"/>
    <w:rsid w:val="03302978"/>
    <w:rsid w:val="03B5187C"/>
    <w:rsid w:val="03EE243F"/>
    <w:rsid w:val="05B00A30"/>
    <w:rsid w:val="06B951E3"/>
    <w:rsid w:val="07E833B3"/>
    <w:rsid w:val="084C41E3"/>
    <w:rsid w:val="0B011416"/>
    <w:rsid w:val="0B0A60A2"/>
    <w:rsid w:val="0BE21000"/>
    <w:rsid w:val="0D0468B2"/>
    <w:rsid w:val="0D782DF9"/>
    <w:rsid w:val="0DE5155E"/>
    <w:rsid w:val="0F872001"/>
    <w:rsid w:val="125B2BF4"/>
    <w:rsid w:val="18FB3731"/>
    <w:rsid w:val="1975513B"/>
    <w:rsid w:val="19A1371F"/>
    <w:rsid w:val="1B2D4C66"/>
    <w:rsid w:val="1BB220B3"/>
    <w:rsid w:val="1D474690"/>
    <w:rsid w:val="1EF2794B"/>
    <w:rsid w:val="2161487E"/>
    <w:rsid w:val="22907D02"/>
    <w:rsid w:val="22D377B7"/>
    <w:rsid w:val="22E129DE"/>
    <w:rsid w:val="26C77FCF"/>
    <w:rsid w:val="27931C72"/>
    <w:rsid w:val="28043C25"/>
    <w:rsid w:val="2A754532"/>
    <w:rsid w:val="2CBC18F9"/>
    <w:rsid w:val="2D084531"/>
    <w:rsid w:val="2E207650"/>
    <w:rsid w:val="2EB412DE"/>
    <w:rsid w:val="31C2036A"/>
    <w:rsid w:val="320D02A5"/>
    <w:rsid w:val="324E4DEF"/>
    <w:rsid w:val="325947E7"/>
    <w:rsid w:val="32FC12E5"/>
    <w:rsid w:val="33B672FE"/>
    <w:rsid w:val="348E566F"/>
    <w:rsid w:val="349144FD"/>
    <w:rsid w:val="34BC312A"/>
    <w:rsid w:val="354A4708"/>
    <w:rsid w:val="36076269"/>
    <w:rsid w:val="371038D6"/>
    <w:rsid w:val="390C54E1"/>
    <w:rsid w:val="396477FA"/>
    <w:rsid w:val="3A226944"/>
    <w:rsid w:val="3AEE6A48"/>
    <w:rsid w:val="3B227A29"/>
    <w:rsid w:val="3B2D3ACC"/>
    <w:rsid w:val="3C1620AA"/>
    <w:rsid w:val="3CEB1536"/>
    <w:rsid w:val="3D0730CA"/>
    <w:rsid w:val="3D8F080F"/>
    <w:rsid w:val="3E0E54CF"/>
    <w:rsid w:val="3FEC47BD"/>
    <w:rsid w:val="415B1275"/>
    <w:rsid w:val="419079A5"/>
    <w:rsid w:val="41FD4E5D"/>
    <w:rsid w:val="435D3C0E"/>
    <w:rsid w:val="44A95C75"/>
    <w:rsid w:val="44CE1FA4"/>
    <w:rsid w:val="45E350D3"/>
    <w:rsid w:val="46383A5E"/>
    <w:rsid w:val="47080A48"/>
    <w:rsid w:val="47191C45"/>
    <w:rsid w:val="4793070A"/>
    <w:rsid w:val="47C41732"/>
    <w:rsid w:val="487F73ED"/>
    <w:rsid w:val="49263BD2"/>
    <w:rsid w:val="4A347EAE"/>
    <w:rsid w:val="4A605ECF"/>
    <w:rsid w:val="4A790454"/>
    <w:rsid w:val="4BFE35F7"/>
    <w:rsid w:val="4DAC0C52"/>
    <w:rsid w:val="4F2A4967"/>
    <w:rsid w:val="50E97BDF"/>
    <w:rsid w:val="52600405"/>
    <w:rsid w:val="529B4319"/>
    <w:rsid w:val="530D1677"/>
    <w:rsid w:val="54E8095D"/>
    <w:rsid w:val="55415F9C"/>
    <w:rsid w:val="56AF4471"/>
    <w:rsid w:val="56F10707"/>
    <w:rsid w:val="57773DD6"/>
    <w:rsid w:val="578B79AB"/>
    <w:rsid w:val="5CCD3FD5"/>
    <w:rsid w:val="5E5D7168"/>
    <w:rsid w:val="5EBE5440"/>
    <w:rsid w:val="5EDD1584"/>
    <w:rsid w:val="5F1070DF"/>
    <w:rsid w:val="606430D3"/>
    <w:rsid w:val="60D96930"/>
    <w:rsid w:val="60EF0F18"/>
    <w:rsid w:val="61FA5F9D"/>
    <w:rsid w:val="628072D7"/>
    <w:rsid w:val="637E735F"/>
    <w:rsid w:val="6458374B"/>
    <w:rsid w:val="64CD6910"/>
    <w:rsid w:val="650B55E6"/>
    <w:rsid w:val="65D96001"/>
    <w:rsid w:val="66243EE2"/>
    <w:rsid w:val="6789158D"/>
    <w:rsid w:val="67D81BA4"/>
    <w:rsid w:val="681765E5"/>
    <w:rsid w:val="69F92F46"/>
    <w:rsid w:val="6AAF1C96"/>
    <w:rsid w:val="6B35232B"/>
    <w:rsid w:val="6D510884"/>
    <w:rsid w:val="6D5E61B1"/>
    <w:rsid w:val="6D657CF7"/>
    <w:rsid w:val="6EB24CB9"/>
    <w:rsid w:val="6F7B7A25"/>
    <w:rsid w:val="6FEA12CC"/>
    <w:rsid w:val="70194CEC"/>
    <w:rsid w:val="7198231A"/>
    <w:rsid w:val="73D77BEB"/>
    <w:rsid w:val="755619A3"/>
    <w:rsid w:val="75681757"/>
    <w:rsid w:val="75A346A8"/>
    <w:rsid w:val="76C943F2"/>
    <w:rsid w:val="77CD6CA0"/>
    <w:rsid w:val="78A17E2F"/>
    <w:rsid w:val="79B9382C"/>
    <w:rsid w:val="79D41B3D"/>
    <w:rsid w:val="7B043B76"/>
    <w:rsid w:val="7C041A6A"/>
    <w:rsid w:val="7C9B2E0D"/>
    <w:rsid w:val="7E327570"/>
    <w:rsid w:val="7E5A2D03"/>
    <w:rsid w:val="7EB57976"/>
    <w:rsid w:val="7EB85C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customStyle="1" w:styleId="2">
    <w:name w:val="_Style 1"/>
    <w:qFormat/>
    <w:uiPriority w:val="99"/>
    <w:pPr>
      <w:widowControl w:val="0"/>
      <w:jc w:val="both"/>
    </w:pPr>
    <w:rPr>
      <w:rFonts w:ascii="宋体" w:hAnsi="Times New Roman" w:eastAsia="宋体" w:cs="Times New Roman"/>
      <w:kern w:val="2"/>
      <w:sz w:val="32"/>
      <w:szCs w:val="22"/>
      <w:lang w:val="en-US" w:eastAsia="zh-CN" w:bidi="ar-SA"/>
    </w:r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Char"/>
    <w:basedOn w:val="7"/>
    <w:link w:val="6"/>
    <w:qFormat/>
    <w:uiPriority w:val="99"/>
    <w:rPr>
      <w:rFonts w:asciiTheme="minorHAnsi" w:hAnsiTheme="minorHAnsi" w:eastAsiaTheme="minorEastAsia"/>
      <w:sz w:val="18"/>
      <w:szCs w:val="18"/>
    </w:rPr>
  </w:style>
  <w:style w:type="character" w:customStyle="1" w:styleId="11">
    <w:name w:val="页脚 Char"/>
    <w:basedOn w:val="7"/>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5.xml"/><Relationship Id="rId31" Type="http://schemas.openxmlformats.org/officeDocument/2006/relationships/chart" Target="charts/chart4.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1.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D:\&#39044;&#31639;&#12289;&#20915;&#31639;\2019\&#20915;&#31639;\2018&#20915;&#31639;&#25209;&#22797;\&#20844;&#24320;\&#39292;&#2227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D:\&#39044;&#31639;&#12289;&#20915;&#31639;\2019\&#20915;&#31639;\2018&#20915;&#31639;&#25209;&#22797;\&#20844;&#24320;\&#39292;&#2227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D:\&#39044;&#31639;&#12289;&#20915;&#31639;\2019\&#20915;&#31639;\2018&#20915;&#31639;&#25209;&#22797;\&#20844;&#24320;\&#39292;&#22270;.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D:\&#39044;&#31639;&#12289;&#20915;&#31639;\2019\&#20915;&#31639;\2018&#20915;&#31639;&#25209;&#22797;\&#20844;&#24320;\&#39292;&#22270;.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D:\&#39044;&#31639;&#12289;&#20915;&#31639;\2019\&#20915;&#31639;\2018&#20915;&#31639;&#25209;&#22797;\&#20844;&#24320;\&#39292;&#2227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6260762247276"/>
          <c:y val="0.0967518921095009"/>
          <c:w val="0.474222222222222"/>
          <c:h val="0.79037037037037"/>
        </c:manualLayout>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[饼图.xlsx]Sheet1!$K$14:$K$15</c:f>
              <c:strCache>
                <c:ptCount val="2"/>
                <c:pt idx="0">
                  <c:v>财政拨款收入</c:v>
                </c:pt>
                <c:pt idx="1">
                  <c:v>其他收入</c:v>
                </c:pt>
              </c:strCache>
            </c:strRef>
          </c:cat>
          <c:val>
            <c:numRef>
              <c:f>[饼图.xlsx]Sheet1!$L$14:$L$15</c:f>
              <c:numCache>
                <c:formatCode>General</c:formatCode>
                <c:ptCount val="2"/>
                <c:pt idx="0">
                  <c:v>32841.02</c:v>
                </c:pt>
                <c:pt idx="1">
                  <c:v>309.95</c:v>
                </c:pt>
              </c:numCache>
            </c:numRef>
          </c:val>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[饼图.xlsx]Sheet1!$A$1:$A$2</c:f>
              <c:strCache>
                <c:ptCount val="2"/>
                <c:pt idx="0">
                  <c:v>基本支出</c:v>
                </c:pt>
                <c:pt idx="1">
                  <c:v>项目支出</c:v>
                </c:pt>
              </c:strCache>
            </c:strRef>
          </c:cat>
          <c:val>
            <c:numRef>
              <c:f>[饼图.xlsx]Sheet1!$B$1:$B$2</c:f>
              <c:numCache>
                <c:formatCode>General</c:formatCode>
                <c:ptCount val="2"/>
                <c:pt idx="0">
                  <c:v>3235.48</c:v>
                </c:pt>
                <c:pt idx="1">
                  <c:v>31773.35</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1086997989584"/>
          <c:y val="0.195784664727381"/>
          <c:w val="0.894638888888889"/>
          <c:h val="0.711666666666667"/>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[饼图.xlsx]Sheet1!$A$16:$A$20</c:f>
              <c:strCache>
                <c:ptCount val="5"/>
                <c:pt idx="0">
                  <c:v>2018年度收入</c:v>
                </c:pt>
                <c:pt idx="1">
                  <c:v>2019年度收入</c:v>
                </c:pt>
                <c:pt idx="3">
                  <c:v>2018年度支出</c:v>
                </c:pt>
                <c:pt idx="4">
                  <c:v>2019年度支出</c:v>
                </c:pt>
              </c:strCache>
            </c:strRef>
          </c:cat>
          <c:val>
            <c:numRef>
              <c:f>[饼图.xlsx]Sheet1!$B$16:$B$20</c:f>
              <c:numCache>
                <c:formatCode>General</c:formatCode>
                <c:ptCount val="5"/>
                <c:pt idx="0">
                  <c:v>41387.99</c:v>
                </c:pt>
                <c:pt idx="1">
                  <c:v>33150.97</c:v>
                </c:pt>
                <c:pt idx="3">
                  <c:v>48756.57</c:v>
                </c:pt>
                <c:pt idx="4">
                  <c:v>35008.83</c:v>
                </c:pt>
              </c:numCache>
            </c:numRef>
          </c:val>
        </c:ser>
        <c:dLbls>
          <c:showLegendKey val="0"/>
          <c:showVal val="1"/>
          <c:showCatName val="0"/>
          <c:showSerName val="0"/>
          <c:showPercent val="0"/>
          <c:showBubbleSize val="0"/>
        </c:dLbls>
        <c:gapWidth val="61"/>
        <c:overlap val="-27"/>
        <c:axId val="813577556"/>
        <c:axId val="176056576"/>
      </c:barChart>
      <c:catAx>
        <c:axId val="8135775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76056576"/>
        <c:crosses val="autoZero"/>
        <c:auto val="1"/>
        <c:lblAlgn val="ctr"/>
        <c:lblOffset val="100"/>
        <c:noMultiLvlLbl val="0"/>
      </c:catAx>
      <c:valAx>
        <c:axId val="176056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35775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087301587302"/>
          <c:y val="0.063657407407407"/>
          <c:w val="0.894638888888889"/>
          <c:h val="0.837592592592593"/>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[饼图.xlsx]Sheet1!$A$28:$A$32</c:f>
              <c:strCache>
                <c:ptCount val="5"/>
                <c:pt idx="0">
                  <c:v>收入预算数</c:v>
                </c:pt>
                <c:pt idx="1">
                  <c:v>收入决算数</c:v>
                </c:pt>
                <c:pt idx="3">
                  <c:v>支出预算数</c:v>
                </c:pt>
                <c:pt idx="4">
                  <c:v>支出决算数</c:v>
                </c:pt>
              </c:strCache>
            </c:strRef>
          </c:cat>
          <c:val>
            <c:numRef>
              <c:f>[饼图.xlsx]Sheet1!$B$28:$B$32</c:f>
              <c:numCache>
                <c:formatCode>General</c:formatCode>
                <c:ptCount val="5"/>
                <c:pt idx="0">
                  <c:v>22721.04</c:v>
                </c:pt>
                <c:pt idx="1">
                  <c:v>33150.97</c:v>
                </c:pt>
                <c:pt idx="3">
                  <c:v>22721.04</c:v>
                </c:pt>
                <c:pt idx="4">
                  <c:v>35008.83</c:v>
                </c:pt>
              </c:numCache>
            </c:numRef>
          </c:val>
        </c:ser>
        <c:dLbls>
          <c:showLegendKey val="0"/>
          <c:showVal val="1"/>
          <c:showCatName val="0"/>
          <c:showSerName val="0"/>
          <c:showPercent val="0"/>
          <c:showBubbleSize val="0"/>
        </c:dLbls>
        <c:gapWidth val="66"/>
        <c:overlap val="-27"/>
        <c:axId val="560575340"/>
        <c:axId val="569223886"/>
      </c:barChart>
      <c:catAx>
        <c:axId val="5605753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9223886"/>
        <c:crosses val="autoZero"/>
        <c:auto val="1"/>
        <c:lblAlgn val="ctr"/>
        <c:lblOffset val="100"/>
        <c:noMultiLvlLbl val="0"/>
      </c:catAx>
      <c:valAx>
        <c:axId val="56922388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05753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Lbls>
            <c:numFmt formatCode="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[饼图.xlsx]Sheet1!$K$5:$K$10</c:f>
              <c:strCache>
                <c:ptCount val="6"/>
                <c:pt idx="0">
                  <c:v>一般公共服务（类）支出</c:v>
                </c:pt>
                <c:pt idx="1">
                  <c:v>社会保障和就业（类）支出</c:v>
                </c:pt>
                <c:pt idx="2">
                  <c:v>卫生健康支出</c:v>
                </c:pt>
                <c:pt idx="3">
                  <c:v>节能环保支出</c:v>
                </c:pt>
                <c:pt idx="4">
                  <c:v>城乡社区支出</c:v>
                </c:pt>
                <c:pt idx="5">
                  <c:v>住房保障（类）支出</c:v>
                </c:pt>
              </c:strCache>
            </c:strRef>
          </c:cat>
          <c:val>
            <c:numRef>
              <c:f>[饼图.xlsx]Sheet1!$L$5:$L$10</c:f>
              <c:numCache>
                <c:formatCode>General</c:formatCode>
                <c:ptCount val="6"/>
                <c:pt idx="0">
                  <c:v>34.71</c:v>
                </c:pt>
                <c:pt idx="1">
                  <c:v>401.96</c:v>
                </c:pt>
                <c:pt idx="2">
                  <c:v>163.82</c:v>
                </c:pt>
                <c:pt idx="3">
                  <c:v>16422.84</c:v>
                </c:pt>
                <c:pt idx="4">
                  <c:v>14130.34</c:v>
                </c:pt>
                <c:pt idx="5">
                  <c:v>3544.91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0</TotalTime>
  <ScaleCrop>false</ScaleCrop>
  <LinksUpToDate>false</LinksUpToDate>
  <CharactersWithSpaces>11119</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2023-06-28T03:33:13Z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