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-760730</wp:posOffset>
            </wp:positionH>
            <wp:positionV relativeFrom="paragraph">
              <wp:posOffset>-1790700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科协</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w:t>
      </w:r>
      <w:r>
        <w:rPr>
          <w:rFonts w:hint="eastAsia" w:ascii="楷体_GB2312" w:hAnsi="楷体" w:eastAsia="楷体_GB2312" w:cs="楷体"/>
          <w:b/>
          <w:sz w:val="40"/>
          <w:szCs w:val="40"/>
          <w:lang w:val="en-US" w:eastAsia="zh-CN"/>
        </w:rPr>
        <w:t>五</w:t>
      </w:r>
      <w:r>
        <w:rPr>
          <w:rFonts w:hint="eastAsia" w:ascii="楷体_GB2312" w:hAnsi="楷体" w:eastAsia="楷体_GB2312" w:cs="楷体"/>
          <w:b/>
          <w:sz w:val="40"/>
          <w:szCs w:val="40"/>
        </w:rPr>
        <w:t>日</w:t>
      </w:r>
    </w:p>
    <w:p>
      <w:pPr>
        <w:spacing w:beforeLines="200" w:after="0" w:line="1000" w:lineRule="exact"/>
        <w:jc w:val="center"/>
        <w:rPr>
          <w:rFonts w:ascii="黑体" w:eastAsia="黑体"/>
          <w:sz w:val="48"/>
          <w:szCs w:val="48"/>
        </w:rPr>
      </w:pPr>
      <w:r>
        <w:rPr>
          <w:sz w:val="48"/>
          <w:szCs w:val="28"/>
        </w:rPr>
        <w:pict>
          <v:group id="_x0000_s1095" o:spid="_x0000_s1095" o:spt="203" style="position:absolute;left:0pt;margin-left:-80.8pt;margin-top:39.95pt;height:46.7pt;width:250.05pt;mso-position-vertical-relative:page;z-index:25165516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097"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科协</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092" o:spid="_x0000_s1092" o:spt="203" style="position:absolute;left:0pt;margin-left:-76.45pt;margin-top:38.95pt;height:53.6pt;width:469pt;mso-position-vertical-relative:page;z-index:251654144;mso-width-relative:page;mso-height-relative:page;" coordorigin="-4892,52615" coordsize="17989,1604203" o:gfxdata="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C/17eTZAAAACwEAAA8AAAAAAAAAAQAgAAAAIgAAAGRycy9kb3ducmV2LnhtbFBLAQIUABQAAAAI&#10;AIdO4kBIw1OOQgMAAPUIAAAOAAAAAAAAAAEAIAAAACgBAABkcnMvZTJvRG9jLnhtbFBLBQYAAAAA&#10;BgAGAFkBAADcBgAAAAA=&#10;">
            <o:lock v:ext="edit"/>
            <v:rect id="矩形 13" o:spid="_x0000_s1094"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93" o:spt="1" style="position:absolute;left:-4892;top:53096;height:1123;width:8323;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091" o:spid="_x0000_s1091"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088" o:spid="_x0000_s1088" o:spt="203" style="position:absolute;left:0pt;margin-left:-80.8pt;margin-top:39.5pt;height:46.7pt;width:245.25pt;mso-position-vertical-relative:page;z-index:25164083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090" o:spid="_x0000_s1090"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89" o:spid="_x0000_s1089"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widowControl/>
        <w:ind w:firstLine="640"/>
        <w:jc w:val="left"/>
        <w:rPr>
          <w:rFonts w:ascii="仿宋" w:hAnsi="仿宋" w:eastAsia="仿宋" w:cs="仿宋"/>
          <w:color w:val="000000"/>
          <w:kern w:val="1"/>
          <w:sz w:val="32"/>
          <w:szCs w:val="32"/>
        </w:rPr>
      </w:pPr>
      <w:r>
        <w:rPr>
          <w:rFonts w:ascii="仿宋" w:hAnsi="仿宋" w:eastAsia="仿宋" w:cs="仿宋"/>
          <w:color w:val="000000"/>
          <w:kern w:val="1"/>
          <w:sz w:val="32"/>
          <w:szCs w:val="32"/>
        </w:rPr>
        <w:t>1指导有关学会、协会、研究会及各企业科协、科协社会团体的科普工作，面向农民、社区居民、青少年、城镇劳动者、领导干部和公务员等重点人群，开展科技培训、科普惠农、科普益民等重点科普活动；开展科普日、科技周、减灾日、三下乡等系列科普活动；加强全民科学素质教育基地和科普教育基地建设，加强科普工作典型创建工作，加强科普设施建设，通过多种形式开展科普知识宣传活动。</w:t>
      </w:r>
    </w:p>
    <w:p>
      <w:pPr>
        <w:widowControl/>
        <w:ind w:firstLine="640"/>
        <w:jc w:val="left"/>
      </w:pPr>
      <w:r>
        <w:rPr>
          <w:rFonts w:ascii="仿宋" w:hAnsi="仿宋" w:eastAsia="仿宋" w:cs="仿宋"/>
          <w:color w:val="000000"/>
          <w:kern w:val="1"/>
          <w:sz w:val="32"/>
          <w:szCs w:val="32"/>
        </w:rPr>
        <w:t>2、开展反邪教、反对伪科学的活动。</w:t>
      </w:r>
    </w:p>
    <w:p>
      <w:pPr>
        <w:widowControl/>
        <w:ind w:firstLine="640"/>
        <w:jc w:val="left"/>
      </w:pPr>
      <w:r>
        <w:rPr>
          <w:rFonts w:ascii="仿宋" w:hAnsi="仿宋" w:eastAsia="仿宋" w:cs="仿宋"/>
          <w:color w:val="000000"/>
          <w:kern w:val="1"/>
          <w:sz w:val="32"/>
          <w:szCs w:val="32"/>
        </w:rPr>
        <w:t>3、发展我区同外界科学技术团体、科学技术工作者的交往和联系，改进运行机制：一是坚持民主办会的原则，认真做好服务工作。二是发挥优势，广泛调动有关学会的积极性，加强集成，形成整体合力，做好涉及全局的重要工作。三是完善建设科技工作者之家的各项举措，全心全意为科技工作者服务。</w:t>
      </w:r>
    </w:p>
    <w:p>
      <w:pPr>
        <w:widowControl/>
        <w:ind w:firstLine="640"/>
        <w:jc w:val="left"/>
        <w:rPr>
          <w:rFonts w:ascii="仿宋" w:hAnsi="仿宋" w:eastAsia="仿宋" w:cs="仿宋"/>
          <w:color w:val="000000"/>
          <w:kern w:val="1"/>
          <w:sz w:val="32"/>
          <w:szCs w:val="32"/>
        </w:rPr>
      </w:pPr>
    </w:p>
    <w:p>
      <w:pPr>
        <w:widowControl/>
        <w:ind w:firstLine="640"/>
        <w:jc w:val="left"/>
        <w:rPr>
          <w:rFonts w:ascii="仿宋" w:hAnsi="仿宋" w:eastAsia="仿宋" w:cs="仿宋"/>
          <w:color w:val="000000"/>
          <w:kern w:val="1"/>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cs="ArialUnicodeMS" w:hAnsiTheme="minorHAnsi" w:eastAsiaTheme="minorEastAsia"/>
          <w:kern w:val="0"/>
          <w:sz w:val="32"/>
          <w:szCs w:val="32"/>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cs="ArialUnicodeMS" w:hAnsiTheme="minorHAnsi" w:eastAsiaTheme="minorEastAsia"/>
                <w:kern w:val="0"/>
                <w:sz w:val="28"/>
                <w:szCs w:val="28"/>
              </w:rPr>
              <w:t>鹿泉区科学技术协会</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cs="ArialUnicodeMS" w:hAnsiTheme="minorHAnsi" w:eastAsiaTheme="minorEastAsia"/>
                <w:kern w:val="0"/>
                <w:sz w:val="28"/>
                <w:szCs w:val="28"/>
              </w:rPr>
              <w:t>参公事业单位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cs="ArialUnicodeMS" w:hAnsiTheme="minorHAnsi" w:eastAsiaTheme="minorEastAsia"/>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87" o:spid="_x0000_s1087"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084" o:spid="_x0000_s1084" o:spt="203" style="position:absolute;left:0pt;margin-left:-70.25pt;margin-top:-81.85pt;height:41.2pt;width:243.2pt;mso-position-vertical-relative:page;z-index:251656192;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086"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5"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hint="eastAsia" w:ascii="宋体" w:hAnsi="宋体" w:eastAsia="宋体" w:cs="宋体"/>
                <w:color w:val="000000"/>
                <w:sz w:val="20"/>
                <w:szCs w:val="20"/>
                <w:lang w:val="en-US"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val="en-US" w:eastAsia="zh-CN"/>
              </w:rPr>
              <w:t>科协</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166.38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124.56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25.94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5.63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168.38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173.23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15.22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10.37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183.60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183.60</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081" o:spid="_x0000_s1081" o:spt="203" style="position:absolute;left:0pt;margin-left:-82.75pt;margin-top:-81.1pt;height:41.2pt;width:243.2pt;mso-position-vertical-relative:page;z-index:25165721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083"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82"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val="en-US" w:eastAsia="zh-CN"/>
              </w:rPr>
              <w:t>科协</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168.38</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166.38</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党委办公厅（室）及相关机构事务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科学技术普及</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科普活动</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其他科学技术普及支出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2069999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szCs w:val="21"/>
              </w:rPr>
              <w:t>5.98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szCs w:val="21"/>
              </w:rPr>
              <w:t>5.98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住房公积金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szCs w:val="21"/>
              </w:rPr>
              <w:t>5.98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szCs w:val="21"/>
              </w:rPr>
              <w:t>5.98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078" o:spid="_x0000_s1078" o:spt="203" style="position:absolute;left:0pt;margin-left:-80.9pt;margin-top:-81.1pt;height:41.2pt;width:243.2pt;mso-position-vertical-relative:page;z-index:25165824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080"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9"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val="en-US" w:eastAsia="zh-CN"/>
              </w:rPr>
              <w:t>科协</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173.23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150.64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22.58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党委办公厅（室）及相关机构事务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25.94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科学技术普及</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科普活动</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其他科学技术普及支出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2069999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075" o:spid="_x0000_s1075" o:spt="203" style="position:absolute;left:0pt;margin-left:-80.9pt;margin-top:-81.1pt;height:41.2pt;width:243.2pt;mso-position-vertical-relative:page;z-index:25165926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077"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val="en-US" w:eastAsia="zh-CN"/>
              </w:rPr>
              <w:t>科协</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166.38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124.56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23.94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23.94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10.10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10.10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166.38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15.22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10.37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15.22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181.60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181.60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72" o:spid="_x0000_s1072" o:spt="203" style="position:absolute;left:0pt;margin-left:-80.9pt;margin-top:-81.1pt;height:41.2pt;width:243.2pt;mso-position-vertical-relative:page;z-index:25166028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074"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3"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val="en-US" w:eastAsia="zh-CN"/>
              </w:rPr>
              <w:t>科协</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452"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173.23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150.64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22.58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党委办公厅（室）及相关机构事务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124.56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25.94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科学技术普及</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科普活动</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2060799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其他科学技术普及支出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2069999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其他科学技术支出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lang w:val="en-US" w:eastAsia="zh-CN"/>
              </w:rPr>
              <w:t>科协</w:t>
            </w:r>
            <w:r>
              <w:rPr>
                <w:sz w:val="44"/>
              </w:rPr>
              <w:pict>
                <v:group id="_x0000_s1069" o:spid="_x0000_s1069" o:spt="203" style="position:absolute;left:0pt;margin-left:-73.25pt;margin-top:-129.4pt;height:41.2pt;width:243.2pt;mso-position-vertical-relative:page;z-index:251661312;mso-width-relative:page;mso-height-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71"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70"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132.96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15.63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27.45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32.99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41.24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15.30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7.61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0.02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4.80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66" o:spid="_x0000_s1066" o:spt="203" style="position:absolute;left:0pt;margin-left:-82.75pt;margin-top:-81.1pt;height:41.2pt;width:243.2pt;mso-position-vertical-relative:page;z-index:25166233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68"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7"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val="en-US" w:eastAsia="zh-CN"/>
              </w:rPr>
              <w:t>科协</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0.49</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0.49</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63" o:spid="_x0000_s1063" o:spt="203" style="position:absolute;left:0pt;margin-left:-80.9pt;margin-top:-81.1pt;height:41.2pt;width:243.2pt;mso-position-vertical-relative:page;z-index:25166336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65"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4"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lang w:val="en-US" w:eastAsia="zh-CN"/>
              </w:rPr>
              <w:t>科协</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kern w:val="0"/>
                <w:szCs w:val="21"/>
              </w:rPr>
            </w:pPr>
            <w:r>
              <w:rPr>
                <w:rFonts w:hint="eastAsia" w:ascii="楷体" w:hAnsi="楷体" w:eastAsia="楷体" w:cs="楷体"/>
                <w:sz w:val="32"/>
                <w:szCs w:val="3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60" o:spid="_x0000_s1060" o:spt="203" style="position:absolute;left:0pt;margin-left:-80.9pt;margin-top:-81.1pt;height:41.2pt;width:243.2pt;mso-position-vertical-relative:page;z-index:25166438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62"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1"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lang w:val="en-US" w:eastAsia="zh-CN"/>
              </w:rPr>
              <w:t>科协</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kern w:val="0"/>
                <w:sz w:val="22"/>
                <w:szCs w:val="22"/>
              </w:rPr>
            </w:pPr>
            <w:r>
              <w:rPr>
                <w:rFonts w:hint="eastAsia" w:ascii="楷体" w:hAnsi="楷体" w:eastAsia="楷体" w:cs="楷体"/>
                <w:sz w:val="32"/>
                <w:szCs w:val="3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57" o:spid="_x0000_s1057" o:spt="203" style="position:absolute;left:0pt;margin-left:-80.9pt;margin-top:-81.1pt;height:41.2pt;width:243.2pt;mso-position-vertical-relative:page;z-index:25166540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59"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58"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lang w:val="en-US" w:eastAsia="zh-CN"/>
              </w:rPr>
              <w:t>科协</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楷体" w:hAnsi="楷体" w:eastAsia="楷体" w:cs="楷体"/>
                <w:sz w:val="32"/>
                <w:szCs w:val="3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56" o:spid="_x0000_s105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53" o:spid="_x0000_s1053"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55"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5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本部门2018年度收支总计（含结转和结余）183.6万元。与2017年度决算相比，收支各增加34.74万元，增长23.34%，主要原因是</w:t>
      </w:r>
      <w:r>
        <w:rPr>
          <w:rFonts w:hint="eastAsia" w:ascii="仿宋" w:hAnsi="仿宋" w:eastAsia="仿宋" w:cs="仿宋"/>
          <w:sz w:val="32"/>
          <w:szCs w:val="32"/>
        </w:rPr>
        <w:t>保险、工资以及人员增加</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本部门2018年度本年收入合计168.38万元，其中：财政拨款收入166.38万元，占</w:t>
      </w:r>
      <w:r>
        <w:rPr>
          <w:rFonts w:hint="eastAsia" w:ascii="宋体" w:hAnsi="宋体" w:cs="宋体"/>
          <w:sz w:val="32"/>
          <w:szCs w:val="32"/>
        </w:rPr>
        <w:t>98</w:t>
      </w:r>
      <w:r>
        <w:rPr>
          <w:rFonts w:hint="eastAsia" w:ascii="仿宋_GB2312" w:eastAsia="仿宋_GB2312" w:cs="DengXian-Regular"/>
          <w:sz w:val="32"/>
          <w:szCs w:val="32"/>
        </w:rPr>
        <w:t>.81%；事业收入0万元，占0%；经营收入0万元，占0%；其他收入2万元，占1.1</w:t>
      </w:r>
      <w:r>
        <w:rPr>
          <w:rFonts w:hint="eastAsia" w:ascii="宋体" w:hAnsi="宋体" w:cs="宋体"/>
          <w:sz w:val="32"/>
          <w:szCs w:val="32"/>
        </w:rPr>
        <w:t>9</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r>
        <w:rPr>
          <w:sz w:val="32"/>
        </w:rPr>
        <w:pict>
          <v:shape id="_x0000_s1052" o:spid="_x0000_s1052" o:spt="202" type="#_x0000_t202" style="position:absolute;left:0pt;margin-left:69.1pt;margin-top:330.15pt;height:58.3pt;width:309.4pt;mso-wrap-distance-bottom:0pt;mso-wrap-distance-left:9pt;mso-wrap-distance-right:9pt;mso-wrap-distance-top:0pt;z-index:251679744;mso-width-relative:page;mso-height-relative:page;" fillcolor="#FFFFFF" filled="t" coordsize="21600,21600" o:gfxdata="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feh4idYAAAALAQAADwAAAAAAAAAB&#10;ACAAAAAiAAAAZHJzL2Rvd25yZXYueG1sUEsBAhQAFAAAAAgAh07iQDhNlf9LAgAAdwQAAA4AAAAA&#10;AAAAAQAgAAAAJQEAAGRycy9lMm9Eb2MueG1sUEsFBgAAAAAGAAYAWQEAAOIFAAAAAA==&#10;">
            <v:path/>
            <v:fill on="t" focussize="0,0"/>
            <v:stroke weight="0.5pt" joinstyle="round"/>
            <v:imagedata o:title=""/>
            <o:lock v:ext="edit"/>
            <v:textbox>
              <w:txbxContent>
                <w:p>
                  <w:pPr>
                    <w:adjustRightInd w:val="0"/>
                    <w:snapToGrid w:val="0"/>
                    <w:spacing w:line="560" w:lineRule="exact"/>
                    <w:jc w:val="center"/>
                    <w:rPr>
                      <w:rFonts w:ascii="仿宋_GB2312" w:eastAsia="仿宋_GB2312" w:cs="DengXian-Regular"/>
                      <w:sz w:val="44"/>
                      <w:szCs w:val="44"/>
                    </w:rPr>
                  </w:pPr>
                  <w:r>
                    <w:rPr>
                      <w:rFonts w:hint="eastAsia" w:ascii="仿宋_GB2312" w:eastAsia="仿宋_GB2312" w:cs="DengXian-Regular"/>
                      <w:sz w:val="44"/>
                      <w:szCs w:val="44"/>
                    </w:rPr>
                    <w:t>图1：收入构成情况</w:t>
                  </w:r>
                </w:p>
                <w:p/>
              </w:txbxContent>
            </v:textbox>
            <w10:wrap type="square"/>
          </v:shape>
        </w:pict>
      </w:r>
      <w:r>
        <w:rPr>
          <w:rFonts w:hint="eastAsia" w:ascii="仿宋_GB2312" w:eastAsia="仿宋_GB2312" w:cs="DengXian-Regular"/>
          <w:sz w:val="32"/>
          <w:szCs w:val="32"/>
        </w:rPr>
        <w:drawing>
          <wp:anchor distT="0" distB="0" distL="114300" distR="114300" simplePos="0" relativeHeight="251678720" behindDoc="0" locked="0" layoutInCell="1" allowOverlap="1">
            <wp:simplePos x="0" y="0"/>
            <wp:positionH relativeFrom="column">
              <wp:posOffset>320040</wp:posOffset>
            </wp:positionH>
            <wp:positionV relativeFrom="paragraph">
              <wp:posOffset>228600</wp:posOffset>
            </wp:positionV>
            <wp:extent cx="5080000" cy="3810000"/>
            <wp:effectExtent l="19050" t="0" r="25400" b="0"/>
            <wp:wrapSquare wrapText="bothSides"/>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本部门2018年度本年支出合计173.23万元，其中：基本支出150.64万元，占86.</w:t>
      </w:r>
      <w:r>
        <w:rPr>
          <w:rFonts w:hint="eastAsia" w:ascii="宋体" w:hAnsi="宋体" w:cs="宋体"/>
          <w:sz w:val="32"/>
          <w:szCs w:val="32"/>
        </w:rPr>
        <w:t>9</w:t>
      </w:r>
      <w:r>
        <w:rPr>
          <w:rFonts w:hint="eastAsia" w:ascii="仿宋_GB2312" w:eastAsia="仿宋_GB2312" w:cs="DengXian-Regular"/>
          <w:sz w:val="32"/>
          <w:szCs w:val="32"/>
        </w:rPr>
        <w:t>6%；项目支出22.58万元，占13.03%；经营支出0万元，占0%。如图所示：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rPr>
          <w:rFonts w:hint="eastAsia" w:ascii="黑体" w:eastAsia="黑体"/>
        </w:rPr>
        <w:drawing>
          <wp:anchor distT="0" distB="0" distL="114300" distR="114300" simplePos="0" relativeHeight="251680768" behindDoc="0" locked="0" layoutInCell="1" allowOverlap="1">
            <wp:simplePos x="0" y="0"/>
            <wp:positionH relativeFrom="column">
              <wp:posOffset>411480</wp:posOffset>
            </wp:positionH>
            <wp:positionV relativeFrom="paragraph">
              <wp:posOffset>180975</wp:posOffset>
            </wp:positionV>
            <wp:extent cx="5025390" cy="4026535"/>
            <wp:effectExtent l="19050" t="0" r="22860" b="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49" o:spid="_x0000_s1049" o:spt="203" style="position:absolute;left:0pt;margin-left:-0.55pt;margin-top:29.3pt;height:43.95pt;width:301.85pt;mso-position-horizontal-relative:page;mso-position-vertical-relative:page;z-index:25166643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51"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 w:hAnsi="仿宋" w:eastAsia="仿宋" w:cs="仿宋"/>
          <w:color w:val="000000"/>
          <w:sz w:val="32"/>
          <w:szCs w:val="32"/>
        </w:rPr>
        <w:t>166.38</w:t>
      </w:r>
      <w:r>
        <w:rPr>
          <w:rFonts w:hint="eastAsia" w:ascii="仿宋_GB2312" w:eastAsia="仿宋_GB2312" w:cs="DengXian-Regular"/>
          <w:sz w:val="32"/>
          <w:szCs w:val="32"/>
        </w:rPr>
        <w:t>万元,比2017年度</w:t>
      </w:r>
      <w:r>
        <w:rPr>
          <w:rFonts w:hint="eastAsia" w:ascii="仿宋" w:hAnsi="仿宋" w:eastAsia="仿宋" w:cs="仿宋"/>
          <w:color w:val="000000"/>
          <w:sz w:val="32"/>
          <w:szCs w:val="32"/>
        </w:rPr>
        <w:t>增加25.3</w:t>
      </w:r>
      <w:r>
        <w:rPr>
          <w:rFonts w:hint="eastAsia" w:ascii="仿宋_GB2312" w:eastAsia="仿宋_GB2312" w:cs="DengXian-Regular"/>
          <w:sz w:val="32"/>
          <w:szCs w:val="32"/>
        </w:rPr>
        <w:t>万元，增长17.</w:t>
      </w:r>
      <w:r>
        <w:rPr>
          <w:rFonts w:hint="eastAsia" w:ascii="宋体" w:hAnsi="宋体" w:cs="宋体"/>
          <w:sz w:val="32"/>
          <w:szCs w:val="32"/>
        </w:rPr>
        <w:t>9</w:t>
      </w:r>
      <w:r>
        <w:rPr>
          <w:rFonts w:hint="eastAsia" w:ascii="仿宋_GB2312" w:eastAsia="仿宋_GB2312" w:cs="DengXian-Regular"/>
          <w:sz w:val="32"/>
          <w:szCs w:val="32"/>
        </w:rPr>
        <w:t>3%，主要是工资增加；本年支出</w:t>
      </w:r>
      <w:r>
        <w:rPr>
          <w:rFonts w:hint="eastAsia" w:ascii="仿宋" w:hAnsi="仿宋" w:eastAsia="仿宋" w:cs="仿宋"/>
          <w:color w:val="000000"/>
          <w:sz w:val="32"/>
          <w:szCs w:val="32"/>
        </w:rPr>
        <w:t>171.23</w:t>
      </w:r>
      <w:r>
        <w:rPr>
          <w:rFonts w:hint="eastAsia" w:ascii="仿宋_GB2312" w:eastAsia="仿宋_GB2312" w:cs="DengXian-Regular"/>
          <w:sz w:val="32"/>
          <w:szCs w:val="32"/>
        </w:rPr>
        <w:t>万元，增加</w:t>
      </w:r>
      <w:r>
        <w:rPr>
          <w:rFonts w:hint="eastAsia" w:ascii="仿宋" w:hAnsi="仿宋" w:eastAsia="仿宋" w:cs="仿宋"/>
          <w:color w:val="000000"/>
          <w:sz w:val="32"/>
          <w:szCs w:val="32"/>
        </w:rPr>
        <w:t>34.14</w:t>
      </w:r>
      <w:r>
        <w:rPr>
          <w:rFonts w:hint="eastAsia" w:ascii="仿宋_GB2312" w:eastAsia="仿宋_GB2312" w:cs="DengXian-Regular"/>
          <w:sz w:val="32"/>
          <w:szCs w:val="32"/>
        </w:rPr>
        <w:t>万元，增长24.</w:t>
      </w:r>
      <w:r>
        <w:rPr>
          <w:rFonts w:hint="eastAsia" w:ascii="宋体" w:hAnsi="宋体" w:cs="宋体"/>
          <w:sz w:val="32"/>
          <w:szCs w:val="32"/>
        </w:rPr>
        <w:t>9</w:t>
      </w:r>
      <w:r>
        <w:rPr>
          <w:rFonts w:hint="eastAsia" w:ascii="仿宋_GB2312" w:eastAsia="仿宋_GB2312" w:cs="DengXian-Regular"/>
          <w:sz w:val="32"/>
          <w:szCs w:val="32"/>
        </w:rPr>
        <w:t>0%，主要是工资增加。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81792" behindDoc="0" locked="0" layoutInCell="1" allowOverlap="1">
            <wp:simplePos x="0" y="0"/>
            <wp:positionH relativeFrom="column">
              <wp:posOffset>367030</wp:posOffset>
            </wp:positionH>
            <wp:positionV relativeFrom="paragraph">
              <wp:posOffset>215900</wp:posOffset>
            </wp:positionV>
            <wp:extent cx="5243195" cy="3615055"/>
            <wp:effectExtent l="4445" t="4445" r="10160" b="7620"/>
            <wp:wrapSquare wrapText="bothSides"/>
            <wp:docPr id="67" name="图表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 w:hAnsi="仿宋" w:eastAsia="仿宋" w:cs="仿宋"/>
          <w:color w:val="000000"/>
          <w:sz w:val="32"/>
          <w:szCs w:val="32"/>
        </w:rPr>
        <w:t>166.38</w:t>
      </w:r>
      <w:r>
        <w:rPr>
          <w:rFonts w:hint="eastAsia" w:ascii="仿宋_GB2312" w:eastAsia="仿宋_GB2312" w:cs="DengXian-Regular"/>
          <w:sz w:val="32"/>
          <w:szCs w:val="32"/>
        </w:rPr>
        <w:t>万元，完成年初预算的118.23%,比年初预算增加25.65万元，决算数大于预算数主要原因是人员增加，工资增加；本年支出</w:t>
      </w:r>
      <w:r>
        <w:rPr>
          <w:rFonts w:hint="eastAsia" w:ascii="仿宋" w:hAnsi="仿宋" w:eastAsia="仿宋" w:cs="仿宋"/>
          <w:sz w:val="32"/>
          <w:szCs w:val="32"/>
        </w:rPr>
        <w:t>171.23</w:t>
      </w:r>
      <w:r>
        <w:rPr>
          <w:rFonts w:hint="eastAsia" w:ascii="仿宋_GB2312" w:eastAsia="仿宋_GB2312" w:cs="DengXian-Regular"/>
          <w:sz w:val="32"/>
          <w:szCs w:val="32"/>
        </w:rPr>
        <w:t>万元，完成年初预算的121.67%,比年初预算增加30.5万元，决算数大于预算数主要原因是人员增加，工资增加。</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rPr>
        <w:drawing>
          <wp:anchor distT="0" distB="0" distL="114300" distR="114300" simplePos="0" relativeHeight="251682816" behindDoc="0" locked="0" layoutInCell="1" allowOverlap="1">
            <wp:simplePos x="0" y="0"/>
            <wp:positionH relativeFrom="column">
              <wp:posOffset>509270</wp:posOffset>
            </wp:positionH>
            <wp:positionV relativeFrom="paragraph">
              <wp:posOffset>288290</wp:posOffset>
            </wp:positionV>
            <wp:extent cx="4667885" cy="2994025"/>
            <wp:effectExtent l="4445" t="5080" r="6350" b="18415"/>
            <wp:wrapSquare wrapText="bothSides"/>
            <wp:docPr id="68" name="图表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年度财政拨款支出171.23万元，其他支出2万元，主要用于以下方面：一般公共服务（类）支出124.56万元，占71.</w:t>
      </w:r>
      <w:r>
        <w:rPr>
          <w:rFonts w:hint="eastAsia" w:ascii="宋体" w:hAnsi="宋体" w:cs="宋体"/>
          <w:sz w:val="32"/>
          <w:szCs w:val="32"/>
        </w:rPr>
        <w:t>9</w:t>
      </w:r>
      <w:r>
        <w:rPr>
          <w:rFonts w:hint="eastAsia" w:ascii="仿宋_GB2312" w:eastAsia="仿宋_GB2312" w:cs="DengXian-Regular"/>
          <w:sz w:val="32"/>
          <w:szCs w:val="32"/>
        </w:rPr>
        <w:t>0%；科学技术（类）支出25.</w:t>
      </w:r>
      <w:r>
        <w:rPr>
          <w:rFonts w:hint="eastAsia" w:ascii="宋体" w:hAnsi="宋体" w:cs="宋体"/>
          <w:sz w:val="32"/>
          <w:szCs w:val="32"/>
        </w:rPr>
        <w:t>9</w:t>
      </w:r>
      <w:r>
        <w:rPr>
          <w:rFonts w:hint="eastAsia" w:ascii="仿宋_GB2312" w:eastAsia="仿宋_GB2312" w:cs="DengXian-Regular"/>
          <w:sz w:val="32"/>
          <w:szCs w:val="32"/>
        </w:rPr>
        <w:t>4万元，占 14.</w:t>
      </w:r>
      <w:r>
        <w:rPr>
          <w:rFonts w:hint="eastAsia" w:ascii="宋体" w:hAnsi="宋体" w:cs="宋体"/>
          <w:sz w:val="32"/>
          <w:szCs w:val="32"/>
        </w:rPr>
        <w:t>9</w:t>
      </w:r>
      <w:r>
        <w:rPr>
          <w:rFonts w:hint="eastAsia" w:ascii="仿宋_GB2312" w:eastAsia="仿宋_GB2312" w:cs="DengXian-Regular"/>
          <w:sz w:val="32"/>
          <w:szCs w:val="32"/>
        </w:rPr>
        <w:t>7%；社会保障和就业（类）支出 10.10万元，占5.83%；住房保障（类）支出5.63万元，占 3.25%;医疗保障与计划生育支出（类）支出7.00万元，占 4.04%。</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firstLine="440" w:firstLineChars="100"/>
        <w:rPr>
          <w:rFonts w:ascii="楷体_GB2312" w:eastAsia="楷体_GB2312" w:cs="DengXian-Bold"/>
          <w:b/>
          <w:bCs/>
          <w:sz w:val="32"/>
          <w:szCs w:val="32"/>
        </w:rPr>
      </w:pPr>
      <w:r>
        <w:rPr>
          <w:sz w:val="44"/>
        </w:rPr>
        <w:pict>
          <v:group id="_x0000_s1046" o:spid="_x0000_s1046" o:spt="203" style="position:absolute;left:0pt;margin-left:-0.55pt;margin-top:29.3pt;height:43.95pt;width:301.85pt;mso-position-horizontal-relative:page;mso-position-vertical-relative:page;z-index:25166950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48"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150.64万元，其中：人员经费135.01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15.63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“三公”经费支出共计0.75万元，</w:t>
      </w:r>
      <w:r>
        <w:rPr>
          <w:rFonts w:hint="eastAsia" w:ascii="仿宋_GB2312" w:eastAsia="仿宋_GB2312" w:cs="DengXian-Regular"/>
          <w:b/>
          <w:bCs/>
          <w:sz w:val="32"/>
          <w:szCs w:val="32"/>
        </w:rPr>
        <w:t>较年初预算减少1.</w:t>
      </w:r>
      <w:r>
        <w:rPr>
          <w:rFonts w:hint="eastAsia" w:ascii="宋体" w:hAnsi="宋体" w:cs="宋体"/>
          <w:b/>
          <w:bCs/>
          <w:sz w:val="32"/>
          <w:szCs w:val="32"/>
        </w:rPr>
        <w:t>9</w:t>
      </w:r>
      <w:r>
        <w:rPr>
          <w:rFonts w:hint="eastAsia" w:ascii="仿宋_GB2312" w:eastAsia="仿宋_GB2312" w:cs="DengXian-Regular"/>
          <w:b/>
          <w:bCs/>
          <w:sz w:val="32"/>
          <w:szCs w:val="32"/>
        </w:rPr>
        <w:t>5万元，降低72.22%，</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3" o:spid="_x0000_s1043" o:spt="203" style="position:absolute;left:0pt;margin-left:-0.55pt;margin-top:29.3pt;height:43.95pt;width:301.85pt;mso-position-horizontal-relative:page;mso-position-vertical-relative:page;z-index:251694080;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FvHpBPZAAAACQEAAA8AAAAA&#10;AAAAAQAgAAAAIgAAAGRycy9kb3ducmV2LnhtbFBLAQIUABQAAAAIAIdO4kAMlMnuMAMAABgJAAAO&#10;AAAAAAAAAAEAIAAAACgBAABkcnMvZTJvRG9jLnhtbFBLBQYAAAAABgAGAFkBAADKBgAAAAA=&#10;">
            <o:lock v:ext="edit"/>
            <v:rect id="矩形 13" o:spid="_x0000_s1045"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cs="DengXian-Bold" w:eastAsiaTheme="minorEastAsia"/>
          <w:b/>
          <w:bCs/>
          <w:sz w:val="32"/>
          <w:szCs w:val="32"/>
        </w:rPr>
        <w:t>0</w:t>
      </w:r>
      <w:r>
        <w:rPr>
          <w:rFonts w:hint="eastAsia" w:ascii="宋体" w:hAnsi="宋体" w:cs="宋体"/>
          <w:b/>
          <w:bCs/>
          <w:sz w:val="32"/>
          <w:szCs w:val="32"/>
        </w:rPr>
        <w:t>.75</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本部门2018年度公务用车购置及运行维护费较年初预算减少1.</w:t>
      </w:r>
      <w:r>
        <w:rPr>
          <w:rFonts w:hint="eastAsia" w:ascii="宋体" w:hAnsi="宋体" w:cs="宋体"/>
          <w:sz w:val="32"/>
          <w:szCs w:val="32"/>
        </w:rPr>
        <w:t>9</w:t>
      </w:r>
      <w:r>
        <w:rPr>
          <w:rFonts w:hint="eastAsia" w:ascii="仿宋_GB2312" w:eastAsia="仿宋_GB2312" w:cs="DengXian-Regular"/>
          <w:sz w:val="32"/>
          <w:szCs w:val="32"/>
        </w:rPr>
        <w:t>5万元，降低72.22%,主要是认真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本部门2018年度单位公务用车保有量1辆。公车运行维护费支出较年初预算减少</w:t>
      </w:r>
      <w:r>
        <w:rPr>
          <w:rFonts w:hint="eastAsia" w:ascii="仿宋_GB2312" w:cs="DengXian-Regular" w:eastAsiaTheme="minorEastAsia"/>
          <w:sz w:val="32"/>
          <w:szCs w:val="32"/>
        </w:rPr>
        <w:t>1.</w:t>
      </w:r>
      <w:r>
        <w:rPr>
          <w:rFonts w:hint="eastAsia" w:ascii="宋体" w:hAnsi="宋体" w:cs="宋体"/>
          <w:sz w:val="32"/>
          <w:szCs w:val="32"/>
        </w:rPr>
        <w:t>95</w:t>
      </w:r>
      <w:r>
        <w:rPr>
          <w:rFonts w:hint="eastAsia" w:ascii="仿宋_GB2312" w:eastAsia="仿宋_GB2312" w:cs="DengXian-Regular"/>
          <w:sz w:val="32"/>
          <w:szCs w:val="32"/>
        </w:rPr>
        <w:t>万元，降低72.22%,主要是认真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0" o:spid="_x0000_s1040" o:spt="203" style="position:absolute;left:0pt;margin-left:-0.55pt;margin-top:29.3pt;height:43.95pt;width:301.85pt;mso-position-horizontal-relative:page;mso-position-vertical-relative:page;z-index:251695104;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FvHpBPZAAAACQEAAA8A&#10;AAAAAAAAAQAgAAAAIgAAAGRycy9kb3ducmV2LnhtbFBLAQIUABQAAAAIAIdO4kAqr5hjMwMAABgJ&#10;AAAOAAAAAAAAAAEAIAAAACgBAABkcnMvZTJvRG9jLnhtbFBLBQYAAAAABgAGAFkBAADNBgAAAAA=&#10;">
            <o:lock v:ext="edit"/>
            <v:rect id="矩形 13" o:spid="_x0000_s1042"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w:t>
      </w:r>
    </w:p>
    <w:p>
      <w:pPr>
        <w:pStyle w:val="3"/>
        <w:spacing w:before="0" w:after="0" w:line="500" w:lineRule="exact"/>
        <w:ind w:firstLine="643" w:firstLineChars="200"/>
        <w:rPr>
          <w:rFonts w:hint="eastAsia" w:ascii="仿宋_GB2312" w:hAnsi="Times New Roman" w:eastAsia="仿宋_GB2312" w:cs="DengXian-Regular"/>
          <w:b w:val="0"/>
          <w:bCs w:val="0"/>
          <w:kern w:val="2"/>
          <w:sz w:val="32"/>
          <w:szCs w:val="32"/>
          <w:lang w:val="en-US" w:eastAsia="zh-CN" w:bidi="ar-SA"/>
        </w:rPr>
      </w:pPr>
      <w:r>
        <w:rPr>
          <w:rFonts w:hint="eastAsia" w:ascii="黑体" w:eastAsia="黑体"/>
          <w:szCs w:val="40"/>
        </w:rPr>
        <w:t>六、</w:t>
      </w:r>
      <w:r>
        <w:rPr>
          <w:rFonts w:hint="eastAsia" w:ascii="仿宋_GB2312" w:hAnsi="Times New Roman" w:eastAsia="仿宋_GB2312" w:cs="DengXian-Regular"/>
          <w:b/>
          <w:bCs/>
          <w:kern w:val="2"/>
          <w:sz w:val="32"/>
          <w:szCs w:val="32"/>
          <w:lang w:val="en-US" w:eastAsia="zh-CN" w:bidi="ar-SA"/>
        </w:rPr>
        <w:t>绩效预算情况说明</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（一）绩效管理工作开展情况。</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（二）预算项目绩效评价开展情况</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根据预算绩效管理要求，本单位组织对2018年度一般公共预算项目支出全面开展绩效自评，涉及科普经费、老科协活动经费、等2个项目，涉及资金20万元。从评价情况看，评价结果为优秀的项目有1个，良好的项目有1个。</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（三）预算项目绩效自评选例</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本单位科普经费项目绩效自评：根据年初设定的绩效目标，科普经费项目绩效自评结果为优秀。项目全年预算数为12万元，执行数为12万元，完成预算的100%。主要产出和效果是普及科学知识，提高全民科学素质，弘扬科学精神，激励爱国奋斗。</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本部门2018年度机关运行经费支出15.63万元，比年初预算数增加8.55万元，增长120.76%。主要原因是人员工资增加。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无变化。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hint="eastAsia" w:ascii="仿宋_GB2312" w:cs="DengXian-Regular" w:eastAsiaTheme="minorEastAsia"/>
          <w:sz w:val="32"/>
          <w:szCs w:val="32"/>
        </w:rPr>
      </w:pPr>
      <w:r>
        <w:rPr>
          <w:rFonts w:hint="eastAsia" w:ascii="仿宋_GB2312" w:eastAsia="仿宋_GB2312" w:cs="DengXian-Regular"/>
          <w:sz w:val="32"/>
          <w:szCs w:val="32"/>
        </w:rPr>
        <w:t>1、本部门2018年度</w:t>
      </w:r>
      <w:r>
        <w:rPr>
          <w:rFonts w:hint="eastAsia" w:ascii="仿宋_GB2312" w:hAnsi="仿宋_GB2312" w:eastAsia="仿宋_GB2312" w:cs="仿宋_GB2312"/>
          <w:color w:val="000000"/>
          <w:kern w:val="0"/>
          <w:sz w:val="32"/>
          <w:szCs w:val="32"/>
        </w:rPr>
        <w:t>政府性基金预算财政拨款、国有资本经营预算财政拨</w:t>
      </w:r>
      <w:r>
        <w:rPr>
          <w:rFonts w:ascii="仿宋_GB2312" w:hAnsi="仿宋_GB2312" w:eastAsia="仿宋_GB2312" w:cs="仿宋_GB2312"/>
          <w:sz w:val="32"/>
          <w:szCs w:val="32"/>
        </w:rPr>
        <w:pict>
          <v:group id="_x0000_s1099" o:spid="_x0000_s1099" o:spt="203" style="position:absolute;left:0pt;margin-left:-80.9pt;margin-top:-81.1pt;height:41.2pt;width:243.2pt;mso-position-vertical-relative:page;z-index:25171148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DdApe8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shrXC74AAADb&#10;AAAADwAAAGRycy9kb3ducmV2LnhtbEWPS2vDMBCE74H+B7GF3hLJgTzqRskhNLTklBf0urG2tmtr&#10;ZSTl0X8fBQI5DjPzDTNbXG0rzuRD7VhDNlAgiAtnai41HPar/hREiMgGW8ek4Z8CLOYvvRnmxl14&#10;S+ddLEWCcMhRQxVjl0sZiooshoHriJP367zFmKQvpfF4SXDbyqFSY2mx5rRQYUfLiopmd7IamsNk&#10;U6vl19/PuhmP/Gd2nIz8Ueu310x9gIh0jc/wo/1tNAzf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hrXC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1" o:spt="1" style="position:absolute;left:4577;top:52890;height:1123;width:8324;v-text-anchor:middle;" fillcolor="#AD002D" filled="t" stroked="t" coordsize="21600,21600" o:gfxdata="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DOl5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仿宋_GB2312" w:hAnsi="仿宋_GB2312" w:eastAsia="仿宋_GB2312" w:cs="仿宋_GB2312"/>
          <w:color w:val="000000"/>
          <w:kern w:val="0"/>
          <w:sz w:val="32"/>
          <w:szCs w:val="32"/>
        </w:rPr>
        <w:t>款、政府采购</w:t>
      </w:r>
      <w:r>
        <w:rPr>
          <w:rFonts w:ascii="仿宋_GB2312" w:hAnsi="仿宋_GB2312" w:eastAsia="仿宋_GB2312" w:cs="仿宋_GB2312"/>
          <w:sz w:val="32"/>
          <w:szCs w:val="32"/>
        </w:rPr>
        <w:pict>
          <v:group id="_x0000_s1102" o:spid="_x0000_s1102" o:spt="203" style="position:absolute;left:0pt;margin-left:-68.9pt;margin-top:-69.1pt;height:41.2pt;width:243.2pt;mso-position-vertical-relative:page;z-index:251712512;mso-width-relative:page;mso-height-relative:page;" coordorigin="4551,52615" coordsize="8546,1398203"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DCnIIH3AAAAA0BAAAPAAAAAAAAAAEAIAAA&#10;ACIAAABkcnMvZG93bnJldi54bWxQSwECFAAUAAAACACHTuJAQSxLtSUDAADuCAAADgAAAAAAAAAB&#10;ACAAAAArAQAAZHJzL2Uyb0RvYy54bWxQSwUGAAAAAAYABgBZAQAAwgYAAAAA&#10;">
            <o:lock v:ext="edit"/>
            <v:rect id="矩形 13" o:spid="_x0000_s1103" o:spt="1" style="position:absolute;left:4551;top:52615;height:1175;width:8546;v-text-anchor:middle;" fillcolor="#D9D9D9" filled="t" stroked="f" coordsize="21600,21600" o:gfxdata="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PMtQ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104" o:spt="1" style="position:absolute;left:4577;top:52890;height:1123;width:8324;v-text-anchor:middle;" fillcolor="#AD002D" filled="t" stroked="t" coordsize="21600,21600" o:gfxdata="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3ZKv2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仿宋_GB2312" w:hAnsi="仿宋_GB2312" w:eastAsia="仿宋_GB2312" w:cs="仿宋_GB2312"/>
          <w:color w:val="000000"/>
          <w:kern w:val="0"/>
          <w:sz w:val="32"/>
          <w:szCs w:val="32"/>
        </w:rPr>
        <w:t>情况</w:t>
      </w:r>
      <w:r>
        <w:rPr>
          <w:rFonts w:hint="eastAsia" w:ascii="仿宋_GB2312" w:eastAsia="仿宋_GB2312" w:cs="DengXian-Regular"/>
          <w:sz w:val="32"/>
          <w:szCs w:val="32"/>
        </w:rPr>
        <w:t>无收支及结转结余情况，故08、0</w:t>
      </w:r>
      <w:r>
        <w:rPr>
          <w:rFonts w:hint="eastAsia" w:ascii="宋体" w:hAnsi="宋体" w:cs="宋体"/>
          <w:sz w:val="32"/>
          <w:szCs w:val="32"/>
        </w:rPr>
        <w:t>9</w:t>
      </w:r>
      <w:r>
        <w:rPr>
          <w:rFonts w:hint="eastAsia" w:ascii="仿宋_GB2312" w:eastAsia="仿宋_GB2312" w:cs="DengXian-Regular"/>
          <w:sz w:val="32"/>
          <w:szCs w:val="32"/>
        </w:rPr>
        <w:t>、10表以空表列示</w:t>
      </w:r>
      <w:r>
        <w:rPr>
          <w:rFonts w:hint="eastAsia" w:ascii="仿宋_GB2312" w:cs="DengXian-Regular" w:eastAsiaTheme="minorEastAsia"/>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709440;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h1QCry4DAAAYCQAADgAA&#10;AAAAAAABACAAAAAoAQAAZHJzL2Uyb0RvYy54bWxQSwUGAAAAAAYABgBZAQAAyAYAAAAA&#10;">
            <o:lock v:ext="edit"/>
            <v:rect id="矩形 13" o:spid="_x0000_s1039"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adjustRightInd w:val="0"/>
        <w:snapToGrid w:val="0"/>
        <w:spacing w:after="0" w:line="580" w:lineRule="exact"/>
        <w:ind w:firstLine="640" w:firstLineChars="200"/>
        <w:rPr>
          <w:rFonts w:ascii="仿宋_GB2312" w:eastAsia="仿宋_GB2312" w:cs="DengXian-Regular"/>
          <w:sz w:val="32"/>
          <w:szCs w:val="32"/>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312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462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564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0"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0CD893A-2843-44A2-A0B3-B0C2E2A4B8A0}"/>
  </w:font>
  <w:font w:name="黑体">
    <w:panose1 w:val="02010609060101010101"/>
    <w:charset w:val="86"/>
    <w:family w:val="auto"/>
    <w:pitch w:val="default"/>
    <w:sig w:usb0="800002BF" w:usb1="38CF7CFA" w:usb2="00000016" w:usb3="00000000" w:csb0="00040001" w:csb1="00000000"/>
    <w:embedRegular r:id="rId2" w:fontKey="{66B57333-5A69-45B2-BA24-EF7A4ADFC62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75B63692-B520-4549-A9B1-0A691E6B61F8}"/>
  </w:font>
  <w:font w:name="楷体">
    <w:panose1 w:val="02010609060101010101"/>
    <w:charset w:val="86"/>
    <w:family w:val="modern"/>
    <w:pitch w:val="default"/>
    <w:sig w:usb0="800002BF" w:usb1="38CF7CFA" w:usb2="00000016" w:usb3="00000000" w:csb0="00040001" w:csb1="00000000"/>
    <w:embedRegular r:id="rId4" w:fontKey="{1AB5745E-9698-4DA6-9010-00A5FF10BAC6}"/>
  </w:font>
  <w:font w:name="楷体_GB2312">
    <w:panose1 w:val="02010609030101010101"/>
    <w:charset w:val="86"/>
    <w:family w:val="swiss"/>
    <w:pitch w:val="default"/>
    <w:sig w:usb0="00000000" w:usb1="00000000" w:usb2="00000000" w:usb3="00000000" w:csb0="00000000" w:csb1="00000000"/>
    <w:embedRegular r:id="rId5" w:fontKey="{29ABBD30-5BA4-43BB-847A-637446FBAE07}"/>
  </w:font>
  <w:font w:name="仿宋_GB2312">
    <w:panose1 w:val="02010609030101010101"/>
    <w:charset w:val="86"/>
    <w:family w:val="swiss"/>
    <w:pitch w:val="default"/>
    <w:sig w:usb0="00000000" w:usb1="00000000" w:usb2="00000000" w:usb3="00000000" w:csb0="00000000" w:csb1="00000000"/>
    <w:embedRegular r:id="rId6" w:fontKey="{0FE01348-051F-4631-836D-86112092B4FF}"/>
  </w:font>
  <w:font w:name="ArialUnicodeMS">
    <w:altName w:val="Malgun Gothic"/>
    <w:panose1 w:val="00000000000000000000"/>
    <w:charset w:val="81"/>
    <w:family w:val="auto"/>
    <w:pitch w:val="default"/>
    <w:sig w:usb0="00000000" w:usb1="00000000" w:usb2="00000010" w:usb3="00000000" w:csb0="00080001" w:csb1="00000000"/>
    <w:embedRegular r:id="rId7" w:fontKey="{BDEC9642-9B6B-4CF9-A8B4-4D38A540DF48}"/>
  </w:font>
  <w:font w:name="仿宋">
    <w:panose1 w:val="02010609060101010101"/>
    <w:charset w:val="86"/>
    <w:family w:val="modern"/>
    <w:pitch w:val="default"/>
    <w:sig w:usb0="800002BF" w:usb1="38CF7CFA" w:usb2="00000016" w:usb3="00000000" w:csb0="00040001" w:csb1="00000000"/>
    <w:embedRegular r:id="rId8" w:fontKey="{40166401-AB4F-4E3D-A29F-D2408F98BAEF}"/>
  </w:font>
  <w:font w:name="MS-UIGothic,Bold">
    <w:altName w:val="Malgun Gothic"/>
    <w:panose1 w:val="00000000000000000000"/>
    <w:charset w:val="81"/>
    <w:family w:val="auto"/>
    <w:pitch w:val="default"/>
    <w:sig w:usb0="00000000" w:usb1="00000000" w:usb2="00000010" w:usb3="00000000" w:csb0="00080000" w:csb1="00000000"/>
    <w:embedRegular r:id="rId9" w:fontKey="{3F92B648-B996-4F4A-8B37-243FB2B8F4AD}"/>
  </w:font>
  <w:font w:name="DengXian-Regular">
    <w:altName w:val="宋体"/>
    <w:panose1 w:val="00000000000000000000"/>
    <w:charset w:val="86"/>
    <w:family w:val="auto"/>
    <w:pitch w:val="default"/>
    <w:sig w:usb0="00000000" w:usb1="00000000" w:usb2="00000010" w:usb3="00000000" w:csb0="00040001" w:csb1="00000000"/>
    <w:embedRegular r:id="rId10" w:fontKey="{A163F7A0-657C-455C-B379-876C4669780A}"/>
  </w:font>
  <w:font w:name="DengXian-Bold">
    <w:altName w:val="宋体"/>
    <w:panose1 w:val="00000000000000000000"/>
    <w:charset w:val="86"/>
    <w:family w:val="auto"/>
    <w:pitch w:val="default"/>
    <w:sig w:usb0="00000000" w:usb1="00000000" w:usb2="00000010" w:usb3="00000000" w:csb0="00040001" w:csb1="00000000"/>
    <w:embedRegular r:id="rId11" w:fontKey="{740FC983-E0F3-4E1C-B1E8-1DB75BE98AFC}"/>
  </w:font>
  <w:font w:name="TimesNewRomanPSMT">
    <w:altName w:val="Arial"/>
    <w:panose1 w:val="00000000000000000000"/>
    <w:charset w:val="00"/>
    <w:family w:val="decorative"/>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291A"/>
    <w:rsid w:val="000475A0"/>
    <w:rsid w:val="000838C3"/>
    <w:rsid w:val="000A3E92"/>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1244F"/>
    <w:rsid w:val="00341C8F"/>
    <w:rsid w:val="0035463A"/>
    <w:rsid w:val="00391D9D"/>
    <w:rsid w:val="00391E1D"/>
    <w:rsid w:val="003B6C51"/>
    <w:rsid w:val="003C1413"/>
    <w:rsid w:val="003C549F"/>
    <w:rsid w:val="003D5A16"/>
    <w:rsid w:val="003E7DB3"/>
    <w:rsid w:val="003F7EC9"/>
    <w:rsid w:val="00431175"/>
    <w:rsid w:val="004B6E37"/>
    <w:rsid w:val="004C32BA"/>
    <w:rsid w:val="00534222"/>
    <w:rsid w:val="00563DE4"/>
    <w:rsid w:val="00575922"/>
    <w:rsid w:val="005A6C90"/>
    <w:rsid w:val="005E3FB0"/>
    <w:rsid w:val="005F4B66"/>
    <w:rsid w:val="005F5208"/>
    <w:rsid w:val="00626288"/>
    <w:rsid w:val="00641318"/>
    <w:rsid w:val="0064405D"/>
    <w:rsid w:val="006705C6"/>
    <w:rsid w:val="00685302"/>
    <w:rsid w:val="00695557"/>
    <w:rsid w:val="006D0801"/>
    <w:rsid w:val="006D4EA7"/>
    <w:rsid w:val="0070012A"/>
    <w:rsid w:val="0070664B"/>
    <w:rsid w:val="007071B8"/>
    <w:rsid w:val="007414DE"/>
    <w:rsid w:val="007905A9"/>
    <w:rsid w:val="007C30DB"/>
    <w:rsid w:val="007E5500"/>
    <w:rsid w:val="007F055B"/>
    <w:rsid w:val="0080644C"/>
    <w:rsid w:val="008078E8"/>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AF1888"/>
    <w:rsid w:val="00B1751F"/>
    <w:rsid w:val="00B56722"/>
    <w:rsid w:val="00B74D39"/>
    <w:rsid w:val="00B91DA4"/>
    <w:rsid w:val="00B9245D"/>
    <w:rsid w:val="00C12630"/>
    <w:rsid w:val="00C34562"/>
    <w:rsid w:val="00C3774E"/>
    <w:rsid w:val="00C57456"/>
    <w:rsid w:val="00C65387"/>
    <w:rsid w:val="00C87FAB"/>
    <w:rsid w:val="00C91FF7"/>
    <w:rsid w:val="00C94E53"/>
    <w:rsid w:val="00CC21A7"/>
    <w:rsid w:val="00CE0B0C"/>
    <w:rsid w:val="00D0048E"/>
    <w:rsid w:val="00D23E7A"/>
    <w:rsid w:val="00D61063"/>
    <w:rsid w:val="00D61166"/>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C03C1"/>
    <w:rsid w:val="00FD3BD5"/>
    <w:rsid w:val="00FE3DC8"/>
    <w:rsid w:val="00FF208B"/>
    <w:rsid w:val="04073F84"/>
    <w:rsid w:val="09295896"/>
    <w:rsid w:val="0B60750A"/>
    <w:rsid w:val="10686488"/>
    <w:rsid w:val="10DF728A"/>
    <w:rsid w:val="1264200E"/>
    <w:rsid w:val="12767EEC"/>
    <w:rsid w:val="14183B16"/>
    <w:rsid w:val="141C5B77"/>
    <w:rsid w:val="18D8339D"/>
    <w:rsid w:val="1A21388F"/>
    <w:rsid w:val="1A4E1D40"/>
    <w:rsid w:val="1A570D2F"/>
    <w:rsid w:val="28FB0B8D"/>
    <w:rsid w:val="291101C0"/>
    <w:rsid w:val="2A9870FC"/>
    <w:rsid w:val="2D2B7942"/>
    <w:rsid w:val="2D46481D"/>
    <w:rsid w:val="2E733B28"/>
    <w:rsid w:val="31852B5A"/>
    <w:rsid w:val="32D01238"/>
    <w:rsid w:val="37C65E27"/>
    <w:rsid w:val="3DFC59A8"/>
    <w:rsid w:val="3ECF245E"/>
    <w:rsid w:val="3FB96314"/>
    <w:rsid w:val="4AA11B8C"/>
    <w:rsid w:val="4C2676F2"/>
    <w:rsid w:val="53A44FAF"/>
    <w:rsid w:val="594329EC"/>
    <w:rsid w:val="5BEE1540"/>
    <w:rsid w:val="5DE61A5D"/>
    <w:rsid w:val="63C04243"/>
    <w:rsid w:val="649C01C7"/>
    <w:rsid w:val="67A43186"/>
    <w:rsid w:val="699A3F60"/>
    <w:rsid w:val="72902E62"/>
    <w:rsid w:val="73C61104"/>
    <w:rsid w:val="776452EA"/>
    <w:rsid w:val="7A684FBD"/>
    <w:rsid w:val="7DC663B9"/>
    <w:rsid w:val="7FD21032"/>
    <w:rsid w:val="7FE060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3.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rPr lang="zh-CN" altLang="en-US"/>
              <a:t>本年收入情况说明</a:t>
            </a:r>
            <a:endParaRPr altLang="en-US"/>
          </a:p>
        </c:rich>
      </c:tx>
      <c:layout/>
      <c:overlay val="0"/>
      <c:spPr>
        <a:noFill/>
        <a:ln>
          <a:noFill/>
        </a:ln>
        <a:effectLst/>
      </c:spPr>
    </c:title>
    <c:autoTitleDeleted val="0"/>
    <c:plotArea>
      <c:layout/>
      <c:pieChart>
        <c:varyColors val="1"/>
        <c:ser>
          <c:idx val="0"/>
          <c:order val="0"/>
          <c:tx>
            <c:strRef>
              <c:f>Sheet1!$B$1</c:f>
              <c:strCache>
                <c:ptCount val="1"/>
                <c:pt idx="0">
                  <c:v>本年收入情况说明</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9</a:t>
                    </a:r>
                    <a:r>
                      <a:rPr lang="en-US" altLang="en-US"/>
                      <a:t>8.81</a:t>
                    </a:r>
                    <a:r>
                      <a:rPr altLang="en-US"/>
                      <a:t>%</a:t>
                    </a:r>
                    <a:endParaRPr altLang="en-US"/>
                  </a:p>
                </c:rich>
              </c:tx>
              <c:dLblPos val="bestFit"/>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1</a:t>
                    </a:r>
                    <a:r>
                      <a:rPr lang="en-US" altLang="en-US"/>
                      <a:t>.19</a:t>
                    </a:r>
                    <a:r>
                      <a:rPr altLang="en-US"/>
                      <a:t>%</a:t>
                    </a:r>
                    <a:endParaRPr altLang="en-US"/>
                  </a:p>
                </c:rich>
              </c:tx>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财政拨款收入</c:v>
                </c:pt>
                <c:pt idx="1">
                  <c:v>其他收入</c:v>
                </c:pt>
              </c:strCache>
            </c:strRef>
          </c:cat>
          <c:val>
            <c:numRef>
              <c:f>Sheet1!$B$2:$B$3</c:f>
              <c:numCache>
                <c:formatCode>General</c:formatCode>
                <c:ptCount val="2"/>
                <c:pt idx="0">
                  <c:v>166.38</c:v>
                </c:pt>
                <c:pt idx="1">
                  <c:v>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rPr lang="zh-CN" altLang="en-US"/>
              <a:t>本年支出情况说明</a:t>
            </a:r>
            <a:endParaRPr altLang="en-US"/>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r>
                      <a:t>8</a:t>
                    </a:r>
                    <a:r>
                      <a:rPr lang="en-US" altLang="zh-CN"/>
                      <a:t>6.96</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r>
                      <a:t>1</a:t>
                    </a:r>
                    <a:r>
                      <a:rPr lang="en-US" altLang="zh-CN"/>
                      <a:t>3.03</a:t>
                    </a:r>
                    <a:r>
                      <a:t>%</a:t>
                    </a:r>
                  </a:p>
                </c:rich>
              </c:tx>
              <c:dLblPos val="ctr"/>
              <c:showLegendKey val="0"/>
              <c:showVal val="0"/>
              <c:showCatName val="0"/>
              <c:showSerName val="0"/>
              <c:showPercent val="1"/>
              <c:showBubbleSize val="0"/>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86.96</c:v>
                </c:pt>
                <c:pt idx="1">
                  <c:v>13.04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2017-2018</a:t>
            </a:r>
            <a:r>
              <a:rPr altLang="en-US"/>
              <a:t>年财政拨款收支情况</a:t>
            </a:r>
            <a:endParaRPr altLang="en-US"/>
          </a:p>
        </c:rich>
      </c:tx>
      <c:layout/>
      <c:overlay val="0"/>
      <c:spPr>
        <a:noFill/>
        <a:ln>
          <a:noFill/>
        </a:ln>
        <a:effectLst/>
      </c:spPr>
    </c:title>
    <c:autoTitleDeleted val="0"/>
    <c:plotArea>
      <c:layout>
        <c:manualLayout>
          <c:layoutTarget val="inner"/>
          <c:xMode val="edge"/>
          <c:yMode val="edge"/>
          <c:x val="0.0528270042194094"/>
          <c:y val="0.277975484381178"/>
          <c:w val="0.889507735583685"/>
          <c:h val="0.66437327006722"/>
        </c:manualLayout>
      </c:layout>
      <c:barChart>
        <c:barDir val="col"/>
        <c:grouping val="clustered"/>
        <c:varyColors val="0"/>
        <c:ser>
          <c:idx val="0"/>
          <c:order val="0"/>
          <c:tx>
            <c:strRef>
              <c:f>Sheet1!$B$1</c:f>
              <c:strCache>
                <c:ptCount val="1"/>
                <c:pt idx="0">
                  <c:v>2018年</c:v>
                </c:pt>
              </c:strCache>
            </c:strRef>
          </c:tx>
          <c:spPr>
            <a:solidFill>
              <a:schemeClr val="accent1">
                <a:tint val="100000"/>
                <a:shade val="100000"/>
                <a:hueMod val="100000"/>
                <a:satMod val="100000"/>
              </a:schemeClr>
            </a:solidFill>
            <a:ln>
              <a:noFill/>
            </a:ln>
            <a:effectLst/>
          </c:spPr>
          <c:invertIfNegative val="0"/>
          <c:dLbls>
            <c:delete val="1"/>
          </c:dLbls>
          <c:cat>
            <c:strRef>
              <c:f>Sheet1!$A$2:$A$3</c:f>
              <c:strCache>
                <c:ptCount val="2"/>
                <c:pt idx="0">
                  <c:v>2018年度收入  2017年度收入</c:v>
                </c:pt>
                <c:pt idx="1">
                  <c:v>2018年度支出  2017年度支出</c:v>
                </c:pt>
              </c:strCache>
            </c:strRef>
          </c:cat>
          <c:val>
            <c:numRef>
              <c:f>Sheet1!$B$2:$B$3</c:f>
              <c:numCache>
                <c:formatCode>General</c:formatCode>
                <c:ptCount val="2"/>
                <c:pt idx="0">
                  <c:v>166.38</c:v>
                </c:pt>
                <c:pt idx="1">
                  <c:v>171.23</c:v>
                </c:pt>
              </c:numCache>
            </c:numRef>
          </c:val>
        </c:ser>
        <c:ser>
          <c:idx val="1"/>
          <c:order val="1"/>
          <c:tx>
            <c:strRef>
              <c:f>Sheet1!$C$1</c:f>
              <c:strCache>
                <c:ptCount val="1"/>
                <c:pt idx="0">
                  <c:v>2017年</c:v>
                </c:pt>
              </c:strCache>
            </c:strRef>
          </c:tx>
          <c:spPr>
            <a:solidFill>
              <a:schemeClr val="accent2">
                <a:tint val="100000"/>
                <a:shade val="100000"/>
                <a:hueMod val="100000"/>
                <a:satMod val="100000"/>
              </a:schemeClr>
            </a:solidFill>
            <a:ln>
              <a:noFill/>
            </a:ln>
            <a:effectLst/>
          </c:spPr>
          <c:invertIfNegative val="0"/>
          <c:dLbls>
            <c:delete val="1"/>
          </c:dLbls>
          <c:cat>
            <c:strRef>
              <c:f>Sheet1!$A$2:$A$3</c:f>
              <c:strCache>
                <c:ptCount val="2"/>
                <c:pt idx="0">
                  <c:v>2018年度收入  2017年度收入</c:v>
                </c:pt>
                <c:pt idx="1">
                  <c:v>2018年度支出  2017年度支出</c:v>
                </c:pt>
              </c:strCache>
            </c:strRef>
          </c:cat>
          <c:val>
            <c:numRef>
              <c:f>Sheet1!$C$2:$C$3</c:f>
              <c:numCache>
                <c:formatCode>General</c:formatCode>
                <c:ptCount val="2"/>
                <c:pt idx="0">
                  <c:v>141.08</c:v>
                </c:pt>
                <c:pt idx="1">
                  <c:v>137.09</c:v>
                </c:pt>
              </c:numCache>
            </c:numRef>
          </c:val>
        </c:ser>
        <c:dLbls>
          <c:showLegendKey val="0"/>
          <c:showVal val="0"/>
          <c:showCatName val="0"/>
          <c:showSerName val="0"/>
          <c:showPercent val="0"/>
          <c:showBubbleSize val="0"/>
        </c:dLbls>
        <c:gapWidth val="219"/>
        <c:overlap val="-27"/>
        <c:axId val="56571008"/>
        <c:axId val="56572544"/>
      </c:barChart>
      <c:catAx>
        <c:axId val="5657100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572544"/>
        <c:crosses val="autoZero"/>
        <c:auto val="1"/>
        <c:lblAlgn val="ctr"/>
        <c:lblOffset val="100"/>
        <c:noMultiLvlLbl val="0"/>
      </c:catAx>
      <c:valAx>
        <c:axId val="5657254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571008"/>
        <c:crosses val="autoZero"/>
        <c:crossBetween val="between"/>
      </c:valAx>
      <c:spPr>
        <a:noFill/>
        <a:ln>
          <a:noFill/>
        </a:ln>
        <a:effectLst/>
      </c:spPr>
    </c:plotArea>
    <c:legend>
      <c:legendPos val="b"/>
      <c:layout>
        <c:manualLayout>
          <c:xMode val="edge"/>
          <c:yMode val="edge"/>
          <c:x val="0.791813007145452"/>
          <c:y val="0.13121377129808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财政拨款收支预决算对比情况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预算数</c:v>
                </c:pt>
              </c:strCache>
            </c:strRef>
          </c:tx>
          <c:spPr>
            <a:solidFill>
              <a:schemeClr val="accent1">
                <a:tint val="100000"/>
                <a:shade val="100000"/>
                <a:hueMod val="100000"/>
                <a:satMod val="100000"/>
              </a:schemeClr>
            </a:solidFill>
            <a:ln>
              <a:noFill/>
            </a:ln>
            <a:effectLst/>
          </c:spPr>
          <c:invertIfNegative val="0"/>
          <c:dLbls>
            <c:delete val="1"/>
          </c:dLbls>
          <c:cat>
            <c:strRef>
              <c:f>Sheet1!$A$2:$A$3</c:f>
              <c:strCache>
                <c:ptCount val="2"/>
                <c:pt idx="0">
                  <c:v>收入预算数   收入决算数</c:v>
                </c:pt>
                <c:pt idx="1">
                  <c:v>支出预算数   支出决算数</c:v>
                </c:pt>
              </c:strCache>
            </c:strRef>
          </c:cat>
          <c:val>
            <c:numRef>
              <c:f>Sheet1!$B$2:$B$3</c:f>
              <c:numCache>
                <c:formatCode>General</c:formatCode>
                <c:ptCount val="2"/>
                <c:pt idx="0">
                  <c:v>166.38</c:v>
                </c:pt>
                <c:pt idx="1">
                  <c:v>171.23</c:v>
                </c:pt>
              </c:numCache>
            </c:numRef>
          </c:val>
        </c:ser>
        <c:ser>
          <c:idx val="1"/>
          <c:order val="1"/>
          <c:tx>
            <c:strRef>
              <c:f>Sheet1!$C$1</c:f>
              <c:strCache>
                <c:ptCount val="1"/>
                <c:pt idx="0">
                  <c:v>支出数</c:v>
                </c:pt>
              </c:strCache>
            </c:strRef>
          </c:tx>
          <c:spPr>
            <a:solidFill>
              <a:schemeClr val="accent2">
                <a:tint val="100000"/>
                <a:shade val="100000"/>
                <a:hueMod val="100000"/>
                <a:satMod val="100000"/>
              </a:schemeClr>
            </a:solidFill>
            <a:ln>
              <a:noFill/>
            </a:ln>
            <a:effectLst/>
          </c:spPr>
          <c:invertIfNegative val="0"/>
          <c:dLbls>
            <c:delete val="1"/>
          </c:dLbls>
          <c:cat>
            <c:strRef>
              <c:f>Sheet1!$A$2:$A$3</c:f>
              <c:strCache>
                <c:ptCount val="2"/>
                <c:pt idx="0">
                  <c:v>收入预算数   收入决算数</c:v>
                </c:pt>
                <c:pt idx="1">
                  <c:v>支出预算数   支出决算数</c:v>
                </c:pt>
              </c:strCache>
            </c:strRef>
          </c:cat>
          <c:val>
            <c:numRef>
              <c:f>Sheet1!$C$2:$C$3</c:f>
              <c:numCache>
                <c:formatCode>General</c:formatCode>
                <c:ptCount val="2"/>
                <c:pt idx="0">
                  <c:v>140.73</c:v>
                </c:pt>
                <c:pt idx="1">
                  <c:v>140.73</c:v>
                </c:pt>
              </c:numCache>
            </c:numRef>
          </c:val>
        </c:ser>
        <c:dLbls>
          <c:showLegendKey val="0"/>
          <c:showVal val="0"/>
          <c:showCatName val="0"/>
          <c:showSerName val="0"/>
          <c:showPercent val="0"/>
          <c:showBubbleSize val="0"/>
        </c:dLbls>
        <c:gapWidth val="219"/>
        <c:overlap val="-27"/>
        <c:axId val="56585216"/>
        <c:axId val="56595200"/>
      </c:barChart>
      <c:catAx>
        <c:axId val="5658521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595200"/>
        <c:crosses val="autoZero"/>
        <c:auto val="1"/>
        <c:lblAlgn val="ctr"/>
        <c:lblOffset val="100"/>
        <c:noMultiLvlLbl val="0"/>
      </c:catAx>
      <c:valAx>
        <c:axId val="5659520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58521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9"/>
    <customShpInfo spid="_x0000_s1068"/>
    <customShpInfo spid="_x0000_s1067"/>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100"/>
    <customShpInfo spid="_x0000_s1101"/>
    <customShpInfo spid="_x0000_s1099"/>
    <customShpInfo spid="_x0000_s1103"/>
    <customShpInfo spid="_x0000_s1104"/>
    <customShpInfo spid="_x0000_s1102"/>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FF3A04-C5AF-4A16-AFBD-28D63C277BCA}">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1737</Words>
  <Characters>9907</Characters>
  <Lines>82</Lines>
  <Paragraphs>23</Paragraphs>
  <TotalTime>23</TotalTime>
  <ScaleCrop>false</ScaleCrop>
  <LinksUpToDate>false</LinksUpToDate>
  <CharactersWithSpaces>11621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2023-06-28T03:08:47Z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