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pPr>
      <w:r>
        <w:rPr>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t>鹿泉区社会治安服务中心</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AcM8NU2wAAAAwBAAAPAAAAAAAA&#10;AAEAIAAAACIAAABkcnMvZG93bnJldi54bWxQSwECFAAUAAAACACHTuJA3FEqAUgCAABzBAAADgAA&#10;AAAAAAABACAAAAAqAQAAZHJzL2Uyb0RvYy54bWxQSwUGAAAAAAYABgBZAQAA5AUAAAAA&#10;">
                <v:fill on="f" focussize="0,0"/>
                <v:stroke on="f" weight="0.5pt"/>
                <v:imagedata o:title=""/>
                <o:lock v:ext="edit" aspectratio="f"/>
                <v:textbox>
                  <w:txbxContent>
                    <w:p>
                      <w:pPr>
                        <w:widowControl/>
                        <w:spacing w:line="1200" w:lineRule="exact"/>
                        <w:jc w:val="cente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t>鹿泉区社会治安服务中心</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hint="eastAsia"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w:t>
      </w:r>
      <w:r>
        <w:rPr>
          <w:rFonts w:hint="eastAsia" w:ascii="楷体_GB2312" w:hAnsi="楷体" w:eastAsia="楷体_GB2312" w:cs="楷体"/>
          <w:b/>
          <w:sz w:val="40"/>
          <w:szCs w:val="40"/>
          <w:lang w:eastAsia="zh-CN"/>
        </w:rPr>
        <w:t>二十四</w:t>
      </w:r>
      <w:r>
        <w:rPr>
          <w:rFonts w:hint="eastAsia" w:ascii="楷体_GB2312" w:hAnsi="楷体" w:eastAsia="楷体_GB2312" w:cs="楷体"/>
          <w:b/>
          <w:sz w:val="40"/>
          <w:szCs w:val="40"/>
        </w:rPr>
        <w:t>日</w:t>
      </w:r>
    </w:p>
    <w:p>
      <w:pPr>
        <w:widowControl/>
        <w:spacing w:after="0" w:line="600" w:lineRule="exact"/>
        <w:ind w:firstLine="640" w:firstLineChars="200"/>
        <w:jc w:val="left"/>
        <w:rPr>
          <w:rFonts w:ascii="楷体" w:hAnsi="楷体" w:eastAsia="楷体" w:cs="楷体"/>
          <w:sz w:val="32"/>
          <w:szCs w:val="32"/>
          <w:highlight w:val="yellow"/>
        </w:rPr>
      </w:pPr>
    </w:p>
    <w:p>
      <w:pPr>
        <w:spacing w:before="624" w:beforeLines="200" w:after="0" w:line="1000" w:lineRule="exact"/>
        <w:jc w:val="center"/>
        <w:rPr>
          <w:rFonts w:ascii="黑体" w:eastAsia="黑体"/>
          <w:sz w:val="48"/>
          <w:szCs w:val="48"/>
        </w:rPr>
      </w:pPr>
      <w:r>
        <w:rPr>
          <w:sz w:val="48"/>
          <w:szCs w:val="28"/>
        </w:rPr>
        <mc:AlternateContent>
          <mc:Choice Requires="wpg">
            <w:drawing>
              <wp:anchor distT="0" distB="0" distL="114300" distR="114300" simplePos="0" relativeHeight="251673600"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179" name="组合 179"/>
                <wp:cNvGraphicFramePr/>
                <a:graphic xmlns:a="http://schemas.openxmlformats.org/drawingml/2006/main">
                  <a:graphicData uri="http://schemas.microsoft.com/office/word/2010/wordprocessingGroup">
                    <wpg:wgp>
                      <wpg:cNvGrpSpPr/>
                      <wpg:grpSpPr>
                        <a:xfrm>
                          <a:off x="0" y="0"/>
                          <a:ext cx="3175635" cy="593090"/>
                          <a:chOff x="4551" y="52615"/>
                          <a:chExt cx="8546" cy="1398"/>
                        </a:xfrm>
                      </wpg:grpSpPr>
                      <wps:wsp>
                        <wps:cNvPr id="1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95pt;height:46.7pt;width:250.05pt;mso-position-vertical-relative:page;z-index:251673600;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YPMNU2wAAAAsBAAAPAAAAAAAAAAEAIAAAACIAAABkcnMvZG93bnJldi54bWxQSwECFAAU&#10;AAAACACHTuJAvbfrIEQDAABACQAADgAAAAAAAAABACAAAAAq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v:textbox>
                </v:rect>
                <w10:anchorlock/>
              </v:group>
            </w:pict>
          </mc:Fallback>
        </mc:AlternateConten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  XX部门201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72576"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176" name="组合 176"/>
                <wp:cNvGraphicFramePr/>
                <a:graphic xmlns:a="http://schemas.openxmlformats.org/drawingml/2006/main">
                  <a:graphicData uri="http://schemas.microsoft.com/office/word/2010/wordprocessingGroup">
                    <wpg:wgp>
                      <wpg:cNvGrpSpPr/>
                      <wpg:grpSpPr>
                        <a:xfrm>
                          <a:off x="0" y="0"/>
                          <a:ext cx="2829560" cy="593090"/>
                          <a:chOff x="4551" y="52615"/>
                          <a:chExt cx="8546" cy="1398"/>
                        </a:xfrm>
                      </wpg:grpSpPr>
                      <wps:wsp>
                        <wps:cNvPr id="17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8.95pt;height:46.7pt;width:222.8pt;mso-position-vertical-relative:page;z-index:251672576;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ezVw+2wAAAAsBAAAPAAAAAAAAAAEAIAAAACIAAABkcnMvZG93bnJldi54bWxQSwECFAAU&#10;AAAACACHTuJAIRuBe0QDAABACQAADgAAAAAAAAABACAAAAAq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pPr>
                          <w:jc w:val="center"/>
                        </w:pPr>
                      </w:p>
                    </w:txbxContent>
                  </v:textbox>
                </v:rect>
                <w10:anchorlock/>
              </v:group>
            </w:pict>
          </mc:Fallback>
        </mc:AlternateConten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70528"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70528;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yaRGbkACAABr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xcMEYig2SbFf9RtkK6ruAMzTMB3ByfMWyS9EiFfCYxyABQsTL3HUmpCENhJnDflv&#10;/9Inf3QJVs46jFfJw9e18Ioz/cGif0fjg4M0j/lyMJ3t4+KfWlZPLXZtTgkTPMZqOpnF5B/1Vqw9&#10;mS/Yq2XKCpOwErlLHrfiaRyGHnsp1XKZnTCBTsQLe+1kCj3QuVxHqtvMdKJp4GbDHmYwN2CzL2nI&#10;n96z1+M/YvE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qIrDqd4AAAANAQAADwAAAAAAAAABACAA&#10;AAAiAAAAZHJzL2Rvd25yZXYueG1sUEsBAhQAFAAAAAgAh07iQMmkRm5AAgAAawQAAA4AAAAAAAAA&#10;AQAgAAAALQEAAGRycy9lMm9Eb2MueG1sUEsFBgAAAAAGAAYAWQEAAN8FAAAAAA==&#10;">
                <v:fill on="f" focussize="0,0"/>
                <v:stroke on="f" weight="0.5pt"/>
                <v:imagedata o:title=""/>
                <o:lock v:ext="edit" aspectratio="f"/>
                <v:textbo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v:textbox>
              </v:shape>
            </w:pict>
          </mc:Fallback>
        </mc:AlternateConten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62336"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5" name="组合 15"/>
                <wp:cNvGraphicFramePr/>
                <a:graphic xmlns:a="http://schemas.openxmlformats.org/drawingml/2006/main">
                  <a:graphicData uri="http://schemas.microsoft.com/office/word/2010/wordprocessingGroup">
                    <wpg:wgp>
                      <wpg:cNvGrpSpPr/>
                      <wpg:grpSpPr>
                        <a:xfrm>
                          <a:off x="0" y="0"/>
                          <a:ext cx="3114675" cy="592957"/>
                          <a:chOff x="4551" y="52615"/>
                          <a:chExt cx="8546" cy="1398"/>
                        </a:xfrm>
                      </wpg:grpSpPr>
                      <wps:wsp>
                        <wps:cNvPr id="1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5pt;height:46.7pt;width:245.25pt;mso-position-vertical-relative:page;z-index:251662336;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">
                <o:lock v:ext="edit" aspectratio="f"/>
                <v:rect id="_x0000_s1026" o:spid="_x0000_s1026" o:spt="1" style="position:absolute;left:4551;top:52615;height:1175;width:8546;v-text-anchor:middle;" fillcolor="#D9D9D9 [2732]"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_x0000_s1026" o:spid="_x0000_s1026"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v:textbox>
                </v:rect>
                <w10:anchorlock/>
              </v:group>
            </w:pict>
          </mc:Fallback>
        </mc:AlternateContent>
      </w:r>
      <w:r>
        <w:rPr>
          <w:rFonts w:hint="eastAsia" w:ascii="黑体" w:eastAsia="黑体" w:cs="黑体" w:hAnsiTheme="minorHAnsi"/>
          <w:b w:val="0"/>
          <w:bCs w:val="0"/>
          <w:kern w:val="0"/>
          <w:sz w:val="32"/>
          <w:szCs w:val="32"/>
        </w:rPr>
        <w:t>一、部门职责</w:t>
      </w:r>
    </w:p>
    <w:p>
      <w:pPr>
        <w:widowControl/>
        <w:spacing w:line="360" w:lineRule="atLeast"/>
        <w:ind w:firstLine="640"/>
        <w:jc w:val="left"/>
        <w:rPr>
          <w:rFonts w:hint="eastAsia" w:ascii="仿宋" w:hAnsi="仿宋" w:eastAsia="仿宋" w:cs="宋体"/>
          <w:kern w:val="0"/>
          <w:sz w:val="32"/>
          <w:szCs w:val="32"/>
        </w:rPr>
      </w:pPr>
      <w:r>
        <w:rPr>
          <w:rFonts w:hint="eastAsia" w:ascii="仿宋" w:hAnsi="仿宋" w:eastAsia="仿宋" w:cs="宋体"/>
          <w:kern w:val="0"/>
          <w:sz w:val="32"/>
          <w:szCs w:val="32"/>
        </w:rPr>
        <w:t>1、预防打击危害国家安全和区（县）级社会稳定的案件及事件。</w:t>
      </w:r>
    </w:p>
    <w:p>
      <w:pPr>
        <w:widowControl/>
        <w:spacing w:line="36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2、组织开展巡逻防控、人口户籍管理、治安管理和出入境及外国人管理。</w:t>
      </w:r>
    </w:p>
    <w:p>
      <w:pPr>
        <w:widowControl/>
        <w:spacing w:line="360" w:lineRule="atLeast"/>
        <w:ind w:firstLine="640"/>
        <w:jc w:val="left"/>
        <w:rPr>
          <w:rFonts w:hint="eastAsia" w:ascii="仿宋" w:hAnsi="仿宋" w:eastAsia="仿宋" w:cs="宋体"/>
          <w:kern w:val="0"/>
        </w:rPr>
      </w:pPr>
      <w:r>
        <w:rPr>
          <w:rFonts w:hint="eastAsia" w:ascii="仿宋" w:hAnsi="仿宋" w:eastAsia="仿宋" w:cs="宋体"/>
          <w:kern w:val="0"/>
          <w:sz w:val="32"/>
          <w:szCs w:val="32"/>
        </w:rPr>
        <w:t>3、指导、协调和督导各级各部门排查、化解影响社会稳定的重大不稳定隐患、群体性事件和突发事件。贯彻实施国家安全战略，推进国家安全法制建设，贯彻落实国家安全工作方针，研究解决涉及国家安全工作的重大问题。</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 xml:space="preserve">从决算编报单位构成看，纳入2018 年度本部门决算汇编范围的独立核算单位（以下简称“单位”）共 </w:t>
      </w:r>
      <w:r>
        <w:rPr>
          <w:rFonts w:hint="eastAsia" w:ascii="仿宋_GB2312" w:eastAsia="仿宋_GB2312" w:cs="ArialUnicodeMS" w:hAnsiTheme="minorHAnsi"/>
          <w:kern w:val="0"/>
          <w:sz w:val="32"/>
          <w:szCs w:val="32"/>
          <w:lang w:val="en-US" w:eastAsia="zh-CN"/>
        </w:rPr>
        <w:t>1</w:t>
      </w:r>
      <w:r>
        <w:rPr>
          <w:rFonts w:hint="eastAsia" w:ascii="仿宋_GB2312" w:eastAsia="仿宋_GB2312" w:cs="ArialUnicodeMS" w:hAnsiTheme="minorHAnsi"/>
          <w:kern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lang w:eastAsia="zh-CN"/>
              </w:rPr>
              <w:t>鹿泉区社会治安服务中心</w:t>
            </w:r>
          </w:p>
        </w:tc>
        <w:tc>
          <w:tcPr>
            <w:tcW w:w="2445" w:type="dxa"/>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经费自理事业</w:t>
            </w:r>
          </w:p>
        </w:tc>
        <w:tc>
          <w:tcPr>
            <w:tcW w:w="2665" w:type="dxa"/>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3360"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AZRl+A9AgAAaQ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ls8TCDGYpMUh/WwRbam+hbAPI2zEZw865D8XIR4KTyGAQVjXeIFjkYTktBW4qwl//Vf+uSP&#10;HsHKWY/hqnj4shFecabfW3TvzeQw8RDz5XA2n+LiH1rWDy12Y04I8zvBYjqZxeQf9U5sPJnP2KpV&#10;ygqTsBK5Kx534kkcRx5bKdVqlZ0wf07Ec3vlZAo90rnaRGq6zHSiaeRmyx4mMDdguy1pxB/es9f9&#10;H2L5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E5rPdDcAAAADQEAAA8AAAAAAAAAAQAgAAAAIgAA&#10;AGRycy9kb3ducmV2LnhtbFBLAQIUABQAAAAIAIdO4kAGUZfgPQIAAGkEAAAOAAAAAAAAAAEAIAAA&#10;ACsBAABkcnMvZTJvRG9jLnhtbFBLBQYAAAAABgAGAFkBAADa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v:textbox>
              </v:shape>
            </w:pict>
          </mc:Fallback>
        </mc:AlternateConten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sz w:val="44"/>
              </w:rPr>
              <mc:AlternateContent>
                <mc:Choice Requires="wpg">
                  <w:drawing>
                    <wp:anchor distT="0" distB="0" distL="114300" distR="114300" simplePos="0" relativeHeight="251674624" behindDoc="0" locked="1" layoutInCell="1" allowOverlap="1">
                      <wp:simplePos x="0" y="0"/>
                      <wp:positionH relativeFrom="column">
                        <wp:posOffset>-892175</wp:posOffset>
                      </wp:positionH>
                      <wp:positionV relativeFrom="page">
                        <wp:posOffset>-1039495</wp:posOffset>
                      </wp:positionV>
                      <wp:extent cx="3088640" cy="523240"/>
                      <wp:effectExtent l="3175" t="0" r="13335" b="29210"/>
                      <wp:wrapNone/>
                      <wp:docPr id="10" name="组合 10"/>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1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70.25pt;margin-top:-81.85pt;height:41.2pt;width:243.2pt;mso-position-vertical-relative:page;z-index:251674624;mso-width-relative:page;mso-height-relative:page;" coordorigin="4551,52615" coordsize="8546,1398"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DgrxUj3AAAAA0BAAAPAAAAAAAAAAEAIAAAACIAAABkcnMvZG93bnJldi54bWxQSwECFAAUAAAA&#10;CACHTuJAZ8bpU0ADAAA8CQAADgAAAAAAAAABACAAAAArAQAAZHJzL2Uyb0RvYy54bWxQSwUGAAAA&#10;AAYABgBZAQAA3Q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396"/>
              </w:tabs>
              <w:spacing w:after="0" w:line="200" w:lineRule="exac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eastAsia="zh-CN"/>
              </w:rPr>
              <w:tab/>
            </w:r>
            <w:r>
              <w:rPr>
                <w:rFonts w:hint="eastAsia" w:ascii="宋体" w:hAnsi="宋体" w:cs="宋体"/>
                <w:color w:val="000000"/>
                <w:sz w:val="20"/>
                <w:szCs w:val="20"/>
                <w:lang w:val="en-US" w:eastAsia="zh-CN"/>
              </w:rPr>
              <w:t>2141.27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1672.16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355"/>
              </w:tabs>
              <w:spacing w:after="0" w:line="200" w:lineRule="exac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eastAsia="zh-CN"/>
              </w:rPr>
              <w:tab/>
            </w:r>
            <w:r>
              <w:rPr>
                <w:rFonts w:hint="eastAsia" w:ascii="宋体" w:hAnsi="宋体" w:cs="宋体"/>
                <w:color w:val="000000"/>
                <w:sz w:val="20"/>
                <w:szCs w:val="20"/>
                <w:lang w:val="en-US" w:eastAsia="zh-CN"/>
              </w:rPr>
              <w:t>167.42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562"/>
              </w:tabs>
              <w:spacing w:after="0" w:line="200" w:lineRule="exac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eastAsia="zh-CN"/>
              </w:rPr>
              <w:tab/>
            </w:r>
            <w:r>
              <w:rPr>
                <w:rFonts w:hint="eastAsia" w:ascii="宋体" w:hAnsi="宋体" w:cs="宋体"/>
                <w:color w:val="000000"/>
                <w:sz w:val="20"/>
                <w:szCs w:val="20"/>
                <w:lang w:val="en-US" w:eastAsia="zh-CN"/>
              </w:rPr>
              <w:t>125.83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406"/>
              </w:tabs>
              <w:spacing w:after="0" w:line="200" w:lineRule="exac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eastAsia="zh-CN"/>
              </w:rPr>
              <w:tab/>
            </w:r>
            <w:r>
              <w:rPr>
                <w:rFonts w:hint="eastAsia" w:ascii="宋体" w:hAnsi="宋体" w:cs="宋体"/>
                <w:color w:val="000000"/>
                <w:sz w:val="20"/>
                <w:szCs w:val="20"/>
                <w:lang w:val="en-US" w:eastAsia="zh-CN"/>
              </w:rPr>
              <w:t>99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209"/>
              </w:tabs>
              <w:spacing w:after="0" w:line="200" w:lineRule="exact"/>
              <w:jc w:val="left"/>
              <w:rPr>
                <w:rFonts w:hint="default" w:ascii="宋体" w:hAnsi="宋体" w:eastAsia="宋体" w:cs="宋体"/>
                <w:color w:val="000000"/>
                <w:sz w:val="18"/>
                <w:szCs w:val="18"/>
                <w:lang w:val="en-US" w:eastAsia="zh-CN"/>
              </w:rPr>
            </w:pPr>
            <w:r>
              <w:rPr>
                <w:rFonts w:hint="eastAsia" w:ascii="宋体" w:hAnsi="宋体" w:cs="宋体"/>
                <w:color w:val="000000"/>
                <w:sz w:val="18"/>
                <w:szCs w:val="18"/>
                <w:lang w:eastAsia="zh-CN"/>
              </w:rPr>
              <w:tab/>
            </w:r>
            <w:r>
              <w:rPr>
                <w:rFonts w:hint="eastAsia" w:ascii="宋体" w:hAnsi="宋体" w:cs="宋体"/>
                <w:color w:val="000000"/>
                <w:sz w:val="18"/>
                <w:szCs w:val="18"/>
                <w:lang w:val="en-US" w:eastAsia="zh-CN"/>
              </w:rPr>
              <w:t>2141.27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262"/>
              </w:tabs>
              <w:spacing w:after="0" w:line="200" w:lineRule="exac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eastAsia="zh-CN"/>
              </w:rPr>
              <w:tab/>
            </w:r>
            <w:r>
              <w:rPr>
                <w:rFonts w:hint="eastAsia" w:ascii="宋体" w:hAnsi="宋体" w:cs="宋体"/>
                <w:color w:val="000000"/>
                <w:sz w:val="20"/>
                <w:szCs w:val="20"/>
                <w:lang w:val="en-US" w:eastAsia="zh-CN"/>
              </w:rPr>
              <w:t>2064.41</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323"/>
              </w:tabs>
              <w:spacing w:after="0" w:line="200" w:lineRule="exact"/>
              <w:jc w:val="left"/>
              <w:rPr>
                <w:rFonts w:hint="default" w:ascii="宋体" w:hAnsi="宋体" w:eastAsia="宋体" w:cs="宋体"/>
                <w:color w:val="000000"/>
                <w:sz w:val="18"/>
                <w:szCs w:val="18"/>
                <w:lang w:val="en-US" w:eastAsia="zh-CN"/>
              </w:rPr>
            </w:pPr>
            <w:r>
              <w:rPr>
                <w:rFonts w:hint="eastAsia" w:ascii="宋体" w:hAnsi="宋体" w:cs="宋体"/>
                <w:color w:val="000000"/>
                <w:sz w:val="18"/>
                <w:szCs w:val="18"/>
                <w:lang w:eastAsia="zh-CN"/>
              </w:rPr>
              <w:tab/>
            </w:r>
            <w:r>
              <w:rPr>
                <w:rFonts w:hint="eastAsia" w:ascii="宋体" w:hAnsi="宋体" w:cs="宋体"/>
                <w:color w:val="000000"/>
                <w:sz w:val="18"/>
                <w:szCs w:val="18"/>
                <w:lang w:val="en-US" w:eastAsia="zh-CN"/>
              </w:rPr>
              <w:t>120.44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231"/>
              </w:tabs>
              <w:spacing w:after="0" w:line="200" w:lineRule="exac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eastAsia="zh-CN"/>
              </w:rPr>
              <w:tab/>
            </w:r>
            <w:r>
              <w:rPr>
                <w:rFonts w:hint="eastAsia" w:ascii="宋体" w:hAnsi="宋体" w:cs="宋体"/>
                <w:color w:val="000000"/>
                <w:sz w:val="20"/>
                <w:szCs w:val="20"/>
                <w:lang w:val="en-US" w:eastAsia="zh-CN"/>
              </w:rPr>
              <w:t>197.30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16" w:type="dxa"/>
        <w:jc w:val="center"/>
        <w:tblLayout w:type="fixed"/>
        <w:tblCellMar>
          <w:top w:w="0" w:type="dxa"/>
          <w:left w:w="0" w:type="dxa"/>
          <w:bottom w:w="0" w:type="dxa"/>
          <w:right w:w="0" w:type="dxa"/>
        </w:tblCellMar>
      </w:tblPr>
      <w:tblGrid>
        <w:gridCol w:w="335"/>
        <w:gridCol w:w="179"/>
        <w:gridCol w:w="462"/>
        <w:gridCol w:w="1917"/>
        <w:gridCol w:w="308"/>
        <w:gridCol w:w="602"/>
        <w:gridCol w:w="157"/>
        <w:gridCol w:w="11"/>
        <w:gridCol w:w="305"/>
        <w:gridCol w:w="500"/>
        <w:gridCol w:w="316"/>
        <w:gridCol w:w="21"/>
        <w:gridCol w:w="478"/>
        <w:gridCol w:w="316"/>
        <w:gridCol w:w="126"/>
        <w:gridCol w:w="373"/>
        <w:gridCol w:w="316"/>
        <w:gridCol w:w="232"/>
        <w:gridCol w:w="920"/>
        <w:gridCol w:w="926"/>
        <w:gridCol w:w="316"/>
      </w:tblGrid>
      <w:tr>
        <w:tblPrEx>
          <w:tblCellMar>
            <w:top w:w="0" w:type="dxa"/>
            <w:left w:w="0" w:type="dxa"/>
            <w:bottom w:w="0" w:type="dxa"/>
            <w:right w:w="0" w:type="dxa"/>
          </w:tblCellMar>
        </w:tblPrEx>
        <w:trPr>
          <w:gridAfter w:val="1"/>
          <w:wAfter w:w="316" w:type="dxa"/>
          <w:trHeight w:val="770" w:hRule="atLeast"/>
          <w:jc w:val="center"/>
        </w:trPr>
        <w:tc>
          <w:tcPr>
            <w:tcW w:w="8800" w:type="dxa"/>
            <w:gridSpan w:val="20"/>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收入决</w:t>
            </w:r>
            <w:r>
              <w:rPr>
                <w:sz w:val="44"/>
              </w:rPr>
              <mc:AlternateContent>
                <mc:Choice Requires="wpg">
                  <w:drawing>
                    <wp:anchor distT="0" distB="0" distL="114300" distR="114300" simplePos="0" relativeHeight="251675648"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34" name="组合 34"/>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2.75pt;margin-top:-81.1pt;height:41.2pt;width:243.2pt;mso-position-vertical-relative:page;z-index:251675648;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CebiNwAAAANAQAADwAAAAAAAAABACAAAAAiAAAAZHJzL2Rvd25yZXYueG1sUEsBAhQA&#10;FAAAAAgAh07iQHfJ2XFEAwAAPAkAAA4AAAAAAAAAAQAgAAAAKw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46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9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70"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0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公开02表</w:t>
            </w:r>
          </w:p>
        </w:tc>
      </w:tr>
      <w:tr>
        <w:tblPrEx>
          <w:tblCellMar>
            <w:top w:w="0" w:type="dxa"/>
            <w:left w:w="0" w:type="dxa"/>
            <w:bottom w:w="0" w:type="dxa"/>
            <w:right w:w="0" w:type="dxa"/>
          </w:tblCellMar>
        </w:tblPrEx>
        <w:trPr>
          <w:gridAfter w:val="1"/>
          <w:wAfter w:w="316" w:type="dxa"/>
          <w:trHeight w:val="362" w:hRule="atLeast"/>
          <w:jc w:val="center"/>
        </w:trPr>
        <w:tc>
          <w:tcPr>
            <w:tcW w:w="2893"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w:t>
            </w:r>
          </w:p>
        </w:tc>
        <w:tc>
          <w:tcPr>
            <w:tcW w:w="91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gridAfter w:val="1"/>
          <w:wAfter w:w="316" w:type="dxa"/>
          <w:trHeight w:val="325" w:hRule="atLeast"/>
          <w:jc w:val="center"/>
        </w:trPr>
        <w:tc>
          <w:tcPr>
            <w:tcW w:w="2893"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项目</w:t>
            </w:r>
          </w:p>
        </w:tc>
        <w:tc>
          <w:tcPr>
            <w:tcW w:w="910" w:type="dxa"/>
            <w:gridSpan w:val="2"/>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973" w:type="dxa"/>
            <w:gridSpan w:val="4"/>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财政拨款收入</w:t>
            </w:r>
          </w:p>
        </w:tc>
        <w:tc>
          <w:tcPr>
            <w:tcW w:w="337"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上级补助收入</w:t>
            </w:r>
          </w:p>
        </w:tc>
        <w:tc>
          <w:tcPr>
            <w:tcW w:w="920" w:type="dxa"/>
            <w:gridSpan w:val="3"/>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事业收入</w:t>
            </w:r>
          </w:p>
        </w:tc>
        <w:tc>
          <w:tcPr>
            <w:tcW w:w="921" w:type="dxa"/>
            <w:gridSpan w:val="3"/>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经营收入</w:t>
            </w:r>
          </w:p>
        </w:tc>
        <w:tc>
          <w:tcPr>
            <w:tcW w:w="920"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附属单位上缴收入</w:t>
            </w:r>
          </w:p>
        </w:tc>
        <w:tc>
          <w:tcPr>
            <w:tcW w:w="926" w:type="dxa"/>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其他收入</w:t>
            </w:r>
          </w:p>
        </w:tc>
      </w:tr>
      <w:tr>
        <w:tblPrEx>
          <w:tblCellMar>
            <w:top w:w="0" w:type="dxa"/>
            <w:left w:w="0" w:type="dxa"/>
            <w:bottom w:w="0" w:type="dxa"/>
            <w:right w:w="0" w:type="dxa"/>
          </w:tblCellMar>
        </w:tblPrEx>
        <w:trPr>
          <w:gridAfter w:val="1"/>
          <w:wAfter w:w="316" w:type="dxa"/>
          <w:trHeight w:val="626" w:hRule="atLeast"/>
          <w:jc w:val="center"/>
        </w:trPr>
        <w:tc>
          <w:tcPr>
            <w:tcW w:w="97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功能分类科目编码</w:t>
            </w:r>
          </w:p>
        </w:tc>
        <w:tc>
          <w:tcPr>
            <w:tcW w:w="1917"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科目名称</w:t>
            </w:r>
          </w:p>
        </w:tc>
        <w:tc>
          <w:tcPr>
            <w:tcW w:w="910" w:type="dxa"/>
            <w:gridSpan w:val="2"/>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73" w:type="dxa"/>
            <w:gridSpan w:val="4"/>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337"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0"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1"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0"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6" w:type="dxa"/>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r>
      <w:tr>
        <w:tblPrEx>
          <w:tblCellMar>
            <w:top w:w="0" w:type="dxa"/>
            <w:left w:w="0" w:type="dxa"/>
            <w:bottom w:w="0" w:type="dxa"/>
            <w:right w:w="0" w:type="dxa"/>
          </w:tblCellMar>
        </w:tblPrEx>
        <w:trPr>
          <w:gridAfter w:val="1"/>
          <w:wAfter w:w="316" w:type="dxa"/>
          <w:trHeight w:val="391" w:hRule="atLeast"/>
          <w:jc w:val="center"/>
        </w:trPr>
        <w:tc>
          <w:tcPr>
            <w:tcW w:w="289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9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97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33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92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r>
      <w:tr>
        <w:tblPrEx>
          <w:tblCellMar>
            <w:top w:w="0" w:type="dxa"/>
            <w:left w:w="0" w:type="dxa"/>
            <w:bottom w:w="0" w:type="dxa"/>
            <w:right w:w="0" w:type="dxa"/>
          </w:tblCellMar>
        </w:tblPrEx>
        <w:trPr>
          <w:gridAfter w:val="1"/>
          <w:wAfter w:w="316" w:type="dxa"/>
          <w:trHeight w:val="90" w:hRule="atLeast"/>
          <w:jc w:val="center"/>
        </w:trPr>
        <w:tc>
          <w:tcPr>
            <w:tcW w:w="289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91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 w:val="18"/>
                <w:szCs w:val="18"/>
                <w:lang w:val="en-US" w:eastAsia="zh-CN"/>
              </w:rPr>
            </w:pPr>
            <w:r>
              <w:rPr>
                <w:rFonts w:hint="eastAsia" w:ascii="宋体" w:hAnsi="宋体" w:cs="宋体"/>
                <w:b/>
                <w:color w:val="000000"/>
                <w:sz w:val="18"/>
                <w:szCs w:val="18"/>
                <w:lang w:val="en-US" w:eastAsia="zh-CN"/>
              </w:rPr>
              <w:t>2141.27</w:t>
            </w:r>
          </w:p>
        </w:tc>
        <w:tc>
          <w:tcPr>
            <w:tcW w:w="973" w:type="dxa"/>
            <w:gridSpan w:val="4"/>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 w:val="18"/>
                <w:szCs w:val="18"/>
                <w:lang w:val="en-US" w:eastAsia="zh-CN"/>
              </w:rPr>
            </w:pPr>
            <w:r>
              <w:rPr>
                <w:rFonts w:hint="eastAsia" w:ascii="宋体" w:hAnsi="宋体" w:cs="宋体"/>
                <w:b/>
                <w:color w:val="000000"/>
                <w:sz w:val="18"/>
                <w:szCs w:val="18"/>
                <w:lang w:val="en-US" w:eastAsia="zh-CN"/>
              </w:rPr>
              <w:t>2141.27</w:t>
            </w:r>
          </w:p>
        </w:tc>
        <w:tc>
          <w:tcPr>
            <w:tcW w:w="337"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gridAfter w:val="1"/>
          <w:wAfter w:w="316" w:type="dxa"/>
          <w:trHeight w:val="494" w:hRule="atLeast"/>
          <w:jc w:val="center"/>
        </w:trPr>
        <w:tc>
          <w:tcPr>
            <w:tcW w:w="9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204</w:t>
            </w:r>
          </w:p>
        </w:tc>
        <w:tc>
          <w:tcPr>
            <w:tcW w:w="19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公共安全支出</w:t>
            </w:r>
          </w:p>
        </w:tc>
        <w:tc>
          <w:tcPr>
            <w:tcW w:w="9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1682.71</w:t>
            </w:r>
          </w:p>
        </w:tc>
        <w:tc>
          <w:tcPr>
            <w:tcW w:w="9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1682.71</w:t>
            </w:r>
          </w:p>
        </w:tc>
        <w:tc>
          <w:tcPr>
            <w:tcW w:w="33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316" w:type="dxa"/>
          <w:trHeight w:val="371" w:hRule="atLeast"/>
          <w:jc w:val="center"/>
        </w:trPr>
        <w:tc>
          <w:tcPr>
            <w:tcW w:w="9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20402</w:t>
            </w:r>
          </w:p>
        </w:tc>
        <w:tc>
          <w:tcPr>
            <w:tcW w:w="19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公安</w:t>
            </w:r>
          </w:p>
        </w:tc>
        <w:tc>
          <w:tcPr>
            <w:tcW w:w="9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1682.71</w:t>
            </w:r>
          </w:p>
        </w:tc>
        <w:tc>
          <w:tcPr>
            <w:tcW w:w="9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1682.71</w:t>
            </w:r>
          </w:p>
        </w:tc>
        <w:tc>
          <w:tcPr>
            <w:tcW w:w="33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316" w:type="dxa"/>
          <w:trHeight w:val="371" w:hRule="atLeast"/>
          <w:jc w:val="center"/>
        </w:trPr>
        <w:tc>
          <w:tcPr>
            <w:tcW w:w="9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2040250</w:t>
            </w:r>
          </w:p>
        </w:tc>
        <w:tc>
          <w:tcPr>
            <w:tcW w:w="19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事业运行</w:t>
            </w:r>
          </w:p>
        </w:tc>
        <w:tc>
          <w:tcPr>
            <w:tcW w:w="9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1682.71</w:t>
            </w:r>
          </w:p>
        </w:tc>
        <w:tc>
          <w:tcPr>
            <w:tcW w:w="9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1682.71</w:t>
            </w:r>
          </w:p>
        </w:tc>
        <w:tc>
          <w:tcPr>
            <w:tcW w:w="33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316" w:type="dxa"/>
          <w:trHeight w:val="371" w:hRule="atLeast"/>
          <w:jc w:val="center"/>
        </w:trPr>
        <w:tc>
          <w:tcPr>
            <w:tcW w:w="9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208</w:t>
            </w:r>
          </w:p>
        </w:tc>
        <w:tc>
          <w:tcPr>
            <w:tcW w:w="19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 w:val="15"/>
                <w:szCs w:val="15"/>
                <w:lang w:eastAsia="zh-CN"/>
              </w:rPr>
              <w:t>社会保障和就业支出</w:t>
            </w:r>
          </w:p>
        </w:tc>
        <w:tc>
          <w:tcPr>
            <w:tcW w:w="9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233.90</w:t>
            </w:r>
          </w:p>
        </w:tc>
        <w:tc>
          <w:tcPr>
            <w:tcW w:w="9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233.90</w:t>
            </w:r>
          </w:p>
        </w:tc>
        <w:tc>
          <w:tcPr>
            <w:tcW w:w="33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316" w:type="dxa"/>
          <w:trHeight w:val="371" w:hRule="atLeast"/>
          <w:jc w:val="center"/>
        </w:trPr>
        <w:tc>
          <w:tcPr>
            <w:tcW w:w="9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20805</w:t>
            </w:r>
          </w:p>
        </w:tc>
        <w:tc>
          <w:tcPr>
            <w:tcW w:w="19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行政事业单位离退休</w:t>
            </w:r>
          </w:p>
        </w:tc>
        <w:tc>
          <w:tcPr>
            <w:tcW w:w="9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233.90</w:t>
            </w:r>
          </w:p>
        </w:tc>
        <w:tc>
          <w:tcPr>
            <w:tcW w:w="9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233.90</w:t>
            </w:r>
          </w:p>
        </w:tc>
        <w:tc>
          <w:tcPr>
            <w:tcW w:w="33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316" w:type="dxa"/>
          <w:trHeight w:val="371" w:hRule="atLeast"/>
          <w:jc w:val="center"/>
        </w:trPr>
        <w:tc>
          <w:tcPr>
            <w:tcW w:w="9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2080505</w:t>
            </w:r>
          </w:p>
        </w:tc>
        <w:tc>
          <w:tcPr>
            <w:tcW w:w="19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1"/>
                <w:szCs w:val="11"/>
                <w:lang w:eastAsia="zh-CN"/>
              </w:rPr>
            </w:pPr>
            <w:r>
              <w:rPr>
                <w:rFonts w:hint="eastAsia" w:ascii="宋体" w:hAnsi="宋体" w:cs="宋体"/>
                <w:color w:val="000000"/>
                <w:sz w:val="11"/>
                <w:szCs w:val="11"/>
                <w:lang w:eastAsia="zh-CN"/>
              </w:rPr>
              <w:t>机关事业单位基本养老保险缴费支出</w:t>
            </w:r>
          </w:p>
        </w:tc>
        <w:tc>
          <w:tcPr>
            <w:tcW w:w="9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167.07</w:t>
            </w:r>
          </w:p>
        </w:tc>
        <w:tc>
          <w:tcPr>
            <w:tcW w:w="9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167.07</w:t>
            </w:r>
          </w:p>
        </w:tc>
        <w:tc>
          <w:tcPr>
            <w:tcW w:w="33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316" w:type="dxa"/>
          <w:trHeight w:val="371" w:hRule="atLeast"/>
          <w:jc w:val="center"/>
        </w:trPr>
        <w:tc>
          <w:tcPr>
            <w:tcW w:w="9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2080506</w:t>
            </w:r>
          </w:p>
        </w:tc>
        <w:tc>
          <w:tcPr>
            <w:tcW w:w="19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3"/>
                <w:szCs w:val="13"/>
                <w:lang w:eastAsia="zh-CN"/>
              </w:rPr>
              <w:t>机关事业单位职业年金缴费支出</w:t>
            </w:r>
          </w:p>
        </w:tc>
        <w:tc>
          <w:tcPr>
            <w:tcW w:w="9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66.83</w:t>
            </w:r>
          </w:p>
        </w:tc>
        <w:tc>
          <w:tcPr>
            <w:tcW w:w="9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66.83</w:t>
            </w:r>
          </w:p>
        </w:tc>
        <w:tc>
          <w:tcPr>
            <w:tcW w:w="33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316" w:type="dxa"/>
          <w:trHeight w:val="371" w:hRule="atLeast"/>
          <w:jc w:val="center"/>
        </w:trPr>
        <w:tc>
          <w:tcPr>
            <w:tcW w:w="9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210</w:t>
            </w:r>
          </w:p>
        </w:tc>
        <w:tc>
          <w:tcPr>
            <w:tcW w:w="19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医疗卫生与计划生育支出</w:t>
            </w:r>
          </w:p>
        </w:tc>
        <w:tc>
          <w:tcPr>
            <w:tcW w:w="9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124.44</w:t>
            </w:r>
          </w:p>
        </w:tc>
        <w:tc>
          <w:tcPr>
            <w:tcW w:w="9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124.44</w:t>
            </w:r>
          </w:p>
        </w:tc>
        <w:tc>
          <w:tcPr>
            <w:tcW w:w="33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316" w:type="dxa"/>
          <w:trHeight w:val="371" w:hRule="atLeast"/>
          <w:jc w:val="center"/>
        </w:trPr>
        <w:tc>
          <w:tcPr>
            <w:tcW w:w="9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21011</w:t>
            </w:r>
          </w:p>
        </w:tc>
        <w:tc>
          <w:tcPr>
            <w:tcW w:w="19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行政事业单位医疗</w:t>
            </w:r>
          </w:p>
        </w:tc>
        <w:tc>
          <w:tcPr>
            <w:tcW w:w="9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124.44</w:t>
            </w:r>
          </w:p>
        </w:tc>
        <w:tc>
          <w:tcPr>
            <w:tcW w:w="9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124.44</w:t>
            </w:r>
          </w:p>
        </w:tc>
        <w:tc>
          <w:tcPr>
            <w:tcW w:w="33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316" w:type="dxa"/>
          <w:trHeight w:val="371" w:hRule="atLeast"/>
          <w:jc w:val="center"/>
        </w:trPr>
        <w:tc>
          <w:tcPr>
            <w:tcW w:w="9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2101101</w:t>
            </w:r>
          </w:p>
        </w:tc>
        <w:tc>
          <w:tcPr>
            <w:tcW w:w="19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行政单位医疗</w:t>
            </w:r>
          </w:p>
        </w:tc>
        <w:tc>
          <w:tcPr>
            <w:tcW w:w="9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124.44</w:t>
            </w:r>
          </w:p>
        </w:tc>
        <w:tc>
          <w:tcPr>
            <w:tcW w:w="9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124.44</w:t>
            </w:r>
          </w:p>
        </w:tc>
        <w:tc>
          <w:tcPr>
            <w:tcW w:w="33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316" w:type="dxa"/>
          <w:trHeight w:val="371" w:hRule="atLeast"/>
          <w:jc w:val="center"/>
        </w:trPr>
        <w:tc>
          <w:tcPr>
            <w:tcW w:w="9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221</w:t>
            </w:r>
          </w:p>
        </w:tc>
        <w:tc>
          <w:tcPr>
            <w:tcW w:w="19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住房保障支出</w:t>
            </w:r>
          </w:p>
        </w:tc>
        <w:tc>
          <w:tcPr>
            <w:tcW w:w="9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100.22</w:t>
            </w:r>
          </w:p>
        </w:tc>
        <w:tc>
          <w:tcPr>
            <w:tcW w:w="9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100.22</w:t>
            </w:r>
          </w:p>
        </w:tc>
        <w:tc>
          <w:tcPr>
            <w:tcW w:w="33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316" w:type="dxa"/>
          <w:trHeight w:val="371" w:hRule="atLeast"/>
          <w:jc w:val="center"/>
        </w:trPr>
        <w:tc>
          <w:tcPr>
            <w:tcW w:w="9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22102</w:t>
            </w:r>
          </w:p>
        </w:tc>
        <w:tc>
          <w:tcPr>
            <w:tcW w:w="19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住房改革支出</w:t>
            </w:r>
          </w:p>
        </w:tc>
        <w:tc>
          <w:tcPr>
            <w:tcW w:w="9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100.22</w:t>
            </w:r>
          </w:p>
        </w:tc>
        <w:tc>
          <w:tcPr>
            <w:tcW w:w="9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100.22</w:t>
            </w:r>
          </w:p>
        </w:tc>
        <w:tc>
          <w:tcPr>
            <w:tcW w:w="33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316" w:type="dxa"/>
          <w:trHeight w:val="371" w:hRule="atLeast"/>
          <w:jc w:val="center"/>
        </w:trPr>
        <w:tc>
          <w:tcPr>
            <w:tcW w:w="9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2210201</w:t>
            </w:r>
          </w:p>
        </w:tc>
        <w:tc>
          <w:tcPr>
            <w:tcW w:w="19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15"/>
                <w:szCs w:val="15"/>
                <w:lang w:eastAsia="zh-CN"/>
              </w:rPr>
            </w:pPr>
            <w:r>
              <w:rPr>
                <w:rFonts w:hint="eastAsia" w:ascii="宋体" w:hAnsi="宋体" w:cs="宋体"/>
                <w:color w:val="000000"/>
                <w:sz w:val="15"/>
                <w:szCs w:val="15"/>
                <w:lang w:eastAsia="zh-CN"/>
              </w:rPr>
              <w:t>住房公积金</w:t>
            </w:r>
          </w:p>
        </w:tc>
        <w:tc>
          <w:tcPr>
            <w:tcW w:w="9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100.22</w:t>
            </w:r>
          </w:p>
        </w:tc>
        <w:tc>
          <w:tcPr>
            <w:tcW w:w="9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100.22</w:t>
            </w:r>
          </w:p>
        </w:tc>
        <w:tc>
          <w:tcPr>
            <w:tcW w:w="33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316" w:type="dxa"/>
          <w:trHeight w:val="371" w:hRule="atLeast"/>
          <w:jc w:val="center"/>
        </w:trPr>
        <w:tc>
          <w:tcPr>
            <w:tcW w:w="97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7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33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316" w:type="dxa"/>
          <w:trHeight w:val="481" w:hRule="atLeast"/>
          <w:jc w:val="center"/>
        </w:trPr>
        <w:tc>
          <w:tcPr>
            <w:tcW w:w="8800" w:type="dxa"/>
            <w:gridSpan w:val="20"/>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74" w:type="dxa"/>
        <w:tblInd w:w="0" w:type="dxa"/>
        <w:tblLayout w:type="fixed"/>
        <w:tblCellMar>
          <w:top w:w="0" w:type="dxa"/>
          <w:left w:w="0" w:type="dxa"/>
          <w:bottom w:w="0" w:type="dxa"/>
          <w:right w:w="0" w:type="dxa"/>
        </w:tblCellMar>
      </w:tblPr>
      <w:tblGrid>
        <w:gridCol w:w="286"/>
        <w:gridCol w:w="285"/>
        <w:gridCol w:w="458"/>
        <w:gridCol w:w="1929"/>
        <w:gridCol w:w="144"/>
        <w:gridCol w:w="1283"/>
        <w:gridCol w:w="1118"/>
        <w:gridCol w:w="474"/>
        <w:gridCol w:w="434"/>
        <w:gridCol w:w="327"/>
        <w:gridCol w:w="777"/>
        <w:gridCol w:w="291"/>
        <w:gridCol w:w="1068"/>
      </w:tblGrid>
      <w:tr>
        <w:tblPrEx>
          <w:tblCellMar>
            <w:top w:w="0" w:type="dxa"/>
            <w:left w:w="0" w:type="dxa"/>
            <w:bottom w:w="0" w:type="dxa"/>
            <w:right w:w="0" w:type="dxa"/>
          </w:tblCellMar>
        </w:tblPrEx>
        <w:trPr>
          <w:trHeight w:val="798" w:hRule="atLeast"/>
        </w:trPr>
        <w:tc>
          <w:tcPr>
            <w:tcW w:w="8874" w:type="dxa"/>
            <w:gridSpan w:val="1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支出决算</w:t>
            </w:r>
            <w:r>
              <w:rPr>
                <w:sz w:val="44"/>
              </w:rPr>
              <mc:AlternateContent>
                <mc:Choice Requires="wpg">
                  <w:drawing>
                    <wp:anchor distT="0" distB="0" distL="114300" distR="114300" simplePos="0" relativeHeight="251676672"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38" name="组合 3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76672;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JpSytwAAAANAQAADwAAAAAAAAABACAAAAAiAAAAZHJzL2Rvd25yZXYueG1sUEsBAhQA&#10;FAAAAAgAh07iQAUJ5FtEAwAAPAkAAA4AAAAAAAAAAQAgAAAAKw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表</w:t>
            </w:r>
          </w:p>
        </w:tc>
      </w:tr>
      <w:tr>
        <w:tblPrEx>
          <w:tblCellMar>
            <w:top w:w="0" w:type="dxa"/>
            <w:left w:w="0" w:type="dxa"/>
            <w:bottom w:w="0" w:type="dxa"/>
            <w:right w:w="0" w:type="dxa"/>
          </w:tblCellMar>
        </w:tblPrEx>
        <w:trPr>
          <w:trHeight w:val="404" w:hRule="atLeast"/>
        </w:trPr>
        <w:tc>
          <w:tcPr>
            <w:tcW w:w="28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4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92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4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28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90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0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59"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公开03表</w:t>
            </w:r>
          </w:p>
        </w:tc>
      </w:tr>
      <w:tr>
        <w:tblPrEx>
          <w:tblCellMar>
            <w:top w:w="0" w:type="dxa"/>
            <w:left w:w="0" w:type="dxa"/>
            <w:bottom w:w="0" w:type="dxa"/>
            <w:right w:w="0" w:type="dxa"/>
          </w:tblCellMar>
        </w:tblPrEx>
        <w:trPr>
          <w:trHeight w:val="380" w:hRule="atLeast"/>
        </w:trPr>
        <w:tc>
          <w:tcPr>
            <w:tcW w:w="3102"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w:t>
            </w:r>
          </w:p>
        </w:tc>
        <w:tc>
          <w:tcPr>
            <w:tcW w:w="128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90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63"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837" w:hRule="atLeast"/>
        </w:trPr>
        <w:tc>
          <w:tcPr>
            <w:tcW w:w="295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1427" w:type="dxa"/>
            <w:gridSpan w:val="2"/>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本年支出合计</w:t>
            </w:r>
          </w:p>
        </w:tc>
        <w:tc>
          <w:tcPr>
            <w:tcW w:w="1118" w:type="dxa"/>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474" w:type="dxa"/>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761" w:type="dxa"/>
            <w:gridSpan w:val="2"/>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上缴上级支出</w:t>
            </w:r>
          </w:p>
        </w:tc>
        <w:tc>
          <w:tcPr>
            <w:tcW w:w="1068" w:type="dxa"/>
            <w:gridSpan w:val="2"/>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经营支出</w:t>
            </w:r>
          </w:p>
        </w:tc>
        <w:tc>
          <w:tcPr>
            <w:tcW w:w="1068" w:type="dxa"/>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对附属单位补助支出</w:t>
            </w:r>
          </w:p>
        </w:tc>
      </w:tr>
      <w:tr>
        <w:tblPrEx>
          <w:tblCellMar>
            <w:top w:w="0" w:type="dxa"/>
            <w:left w:w="0" w:type="dxa"/>
            <w:bottom w:w="0" w:type="dxa"/>
            <w:right w:w="0" w:type="dxa"/>
          </w:tblCellMar>
        </w:tblPrEx>
        <w:trPr>
          <w:trHeight w:val="782" w:hRule="atLeast"/>
        </w:trPr>
        <w:tc>
          <w:tcPr>
            <w:tcW w:w="102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19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427"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118" w:type="dxa"/>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474" w:type="dxa"/>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761"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68"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68" w:type="dxa"/>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95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42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76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06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0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440" w:hRule="atLeast"/>
        </w:trPr>
        <w:tc>
          <w:tcPr>
            <w:tcW w:w="295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4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440"/>
              </w:tabs>
              <w:spacing w:after="0" w:line="240" w:lineRule="atLeast"/>
              <w:jc w:val="left"/>
              <w:rPr>
                <w:rFonts w:hint="default" w:ascii="宋体" w:hAnsi="宋体" w:eastAsia="宋体" w:cs="宋体"/>
                <w:b/>
                <w:color w:val="000000"/>
                <w:szCs w:val="21"/>
                <w:lang w:val="en-US" w:eastAsia="zh-CN"/>
              </w:rPr>
            </w:pPr>
            <w:r>
              <w:rPr>
                <w:rFonts w:hint="eastAsia" w:ascii="宋体" w:hAnsi="宋体" w:cs="宋体"/>
                <w:b/>
                <w:color w:val="000000"/>
                <w:szCs w:val="21"/>
                <w:lang w:eastAsia="zh-CN"/>
              </w:rPr>
              <w:tab/>
            </w:r>
            <w:r>
              <w:rPr>
                <w:rFonts w:hint="eastAsia" w:ascii="宋体" w:hAnsi="宋体" w:cs="宋体"/>
                <w:b/>
                <w:color w:val="000000"/>
                <w:szCs w:val="21"/>
                <w:lang w:val="en-US" w:eastAsia="zh-CN"/>
              </w:rPr>
              <w:t>2064.41</w:t>
            </w:r>
          </w:p>
        </w:tc>
        <w:tc>
          <w:tcPr>
            <w:tcW w:w="11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251"/>
              </w:tabs>
              <w:spacing w:after="0" w:line="240" w:lineRule="atLeast"/>
              <w:jc w:val="left"/>
              <w:rPr>
                <w:rFonts w:hint="default" w:ascii="宋体" w:hAnsi="宋体" w:eastAsia="宋体" w:cs="宋体"/>
                <w:b/>
                <w:color w:val="000000"/>
                <w:szCs w:val="21"/>
                <w:lang w:val="en-US" w:eastAsia="zh-CN"/>
              </w:rPr>
            </w:pPr>
            <w:r>
              <w:rPr>
                <w:rFonts w:hint="eastAsia" w:ascii="宋体" w:hAnsi="宋体" w:cs="宋体"/>
                <w:b/>
                <w:color w:val="000000"/>
                <w:szCs w:val="21"/>
                <w:lang w:eastAsia="zh-CN"/>
              </w:rPr>
              <w:tab/>
            </w:r>
            <w:r>
              <w:rPr>
                <w:rFonts w:hint="eastAsia" w:ascii="宋体" w:hAnsi="宋体" w:cs="宋体"/>
                <w:b/>
                <w:color w:val="000000"/>
                <w:szCs w:val="21"/>
                <w:lang w:val="en-US" w:eastAsia="zh-CN"/>
              </w:rPr>
              <w:t>2064.41</w:t>
            </w:r>
          </w:p>
        </w:tc>
        <w:tc>
          <w:tcPr>
            <w:tcW w:w="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7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02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204</w:t>
            </w:r>
          </w:p>
        </w:tc>
        <w:tc>
          <w:tcPr>
            <w:tcW w:w="19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公共安全支出</w:t>
            </w:r>
          </w:p>
        </w:tc>
        <w:tc>
          <w:tcPr>
            <w:tcW w:w="14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492"/>
              </w:tabs>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eastAsia="zh-CN"/>
              </w:rPr>
              <w:tab/>
            </w:r>
            <w:r>
              <w:rPr>
                <w:rFonts w:hint="eastAsia" w:ascii="宋体" w:hAnsi="宋体" w:cs="宋体"/>
                <w:color w:val="000000"/>
                <w:szCs w:val="21"/>
                <w:lang w:val="en-US" w:eastAsia="zh-CN"/>
              </w:rPr>
              <w:t>1672.16</w:t>
            </w:r>
          </w:p>
        </w:tc>
        <w:tc>
          <w:tcPr>
            <w:tcW w:w="11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1672.16</w:t>
            </w:r>
          </w:p>
        </w:tc>
        <w:tc>
          <w:tcPr>
            <w:tcW w:w="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2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20402</w:t>
            </w:r>
          </w:p>
        </w:tc>
        <w:tc>
          <w:tcPr>
            <w:tcW w:w="19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公安</w:t>
            </w:r>
          </w:p>
        </w:tc>
        <w:tc>
          <w:tcPr>
            <w:tcW w:w="14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1672.16</w:t>
            </w:r>
          </w:p>
        </w:tc>
        <w:tc>
          <w:tcPr>
            <w:tcW w:w="11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1672.16</w:t>
            </w:r>
          </w:p>
        </w:tc>
        <w:tc>
          <w:tcPr>
            <w:tcW w:w="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2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2040250</w:t>
            </w:r>
          </w:p>
        </w:tc>
        <w:tc>
          <w:tcPr>
            <w:tcW w:w="19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事业运行</w:t>
            </w:r>
          </w:p>
        </w:tc>
        <w:tc>
          <w:tcPr>
            <w:tcW w:w="14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1672.16</w:t>
            </w:r>
          </w:p>
        </w:tc>
        <w:tc>
          <w:tcPr>
            <w:tcW w:w="11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1672.16</w:t>
            </w:r>
          </w:p>
        </w:tc>
        <w:tc>
          <w:tcPr>
            <w:tcW w:w="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2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w:t>
            </w:r>
          </w:p>
        </w:tc>
        <w:tc>
          <w:tcPr>
            <w:tcW w:w="19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5"/>
                <w:szCs w:val="15"/>
                <w:lang w:eastAsia="zh-CN"/>
              </w:rPr>
              <w:t>社会保障和就业支出</w:t>
            </w:r>
          </w:p>
        </w:tc>
        <w:tc>
          <w:tcPr>
            <w:tcW w:w="14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167.42</w:t>
            </w:r>
          </w:p>
        </w:tc>
        <w:tc>
          <w:tcPr>
            <w:tcW w:w="11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167.42</w:t>
            </w:r>
          </w:p>
        </w:tc>
        <w:tc>
          <w:tcPr>
            <w:tcW w:w="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2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20805</w:t>
            </w:r>
          </w:p>
        </w:tc>
        <w:tc>
          <w:tcPr>
            <w:tcW w:w="19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5"/>
                <w:szCs w:val="15"/>
                <w:lang w:eastAsia="zh-CN"/>
              </w:rPr>
              <w:t>行政事业单位离退休</w:t>
            </w:r>
          </w:p>
        </w:tc>
        <w:tc>
          <w:tcPr>
            <w:tcW w:w="14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167.42</w:t>
            </w:r>
          </w:p>
        </w:tc>
        <w:tc>
          <w:tcPr>
            <w:tcW w:w="11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167.42</w:t>
            </w:r>
          </w:p>
        </w:tc>
        <w:tc>
          <w:tcPr>
            <w:tcW w:w="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2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2080505</w:t>
            </w:r>
          </w:p>
        </w:tc>
        <w:tc>
          <w:tcPr>
            <w:tcW w:w="19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1"/>
                <w:szCs w:val="11"/>
                <w:lang w:eastAsia="zh-CN"/>
              </w:rPr>
              <w:t>机关事业单位基本养老保险缴费支出</w:t>
            </w:r>
          </w:p>
        </w:tc>
        <w:tc>
          <w:tcPr>
            <w:tcW w:w="14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120.03</w:t>
            </w:r>
          </w:p>
        </w:tc>
        <w:tc>
          <w:tcPr>
            <w:tcW w:w="11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120.03</w:t>
            </w:r>
          </w:p>
        </w:tc>
        <w:tc>
          <w:tcPr>
            <w:tcW w:w="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2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2080506</w:t>
            </w:r>
          </w:p>
        </w:tc>
        <w:tc>
          <w:tcPr>
            <w:tcW w:w="19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3"/>
                <w:szCs w:val="13"/>
                <w:lang w:eastAsia="zh-CN"/>
              </w:rPr>
              <w:t>机关事业单位职业年金缴费支出</w:t>
            </w:r>
          </w:p>
        </w:tc>
        <w:tc>
          <w:tcPr>
            <w:tcW w:w="142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47.39</w:t>
            </w:r>
          </w:p>
        </w:tc>
        <w:tc>
          <w:tcPr>
            <w:tcW w:w="11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47.39</w:t>
            </w:r>
          </w:p>
        </w:tc>
        <w:tc>
          <w:tcPr>
            <w:tcW w:w="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29"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210</w:t>
            </w:r>
          </w:p>
        </w:tc>
        <w:tc>
          <w:tcPr>
            <w:tcW w:w="19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5"/>
                <w:szCs w:val="15"/>
                <w:lang w:eastAsia="zh-CN"/>
              </w:rPr>
              <w:t>医疗卫生与计划生育支出</w:t>
            </w:r>
          </w:p>
        </w:tc>
        <w:tc>
          <w:tcPr>
            <w:tcW w:w="1427"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125.83</w:t>
            </w:r>
          </w:p>
        </w:tc>
        <w:tc>
          <w:tcPr>
            <w:tcW w:w="11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125.83</w:t>
            </w:r>
          </w:p>
        </w:tc>
        <w:tc>
          <w:tcPr>
            <w:tcW w:w="47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1"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29"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21011</w:t>
            </w:r>
          </w:p>
        </w:tc>
        <w:tc>
          <w:tcPr>
            <w:tcW w:w="1929"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5"/>
                <w:szCs w:val="15"/>
                <w:lang w:eastAsia="zh-CN"/>
              </w:rPr>
              <w:t>行政事业单位医疗</w:t>
            </w:r>
          </w:p>
        </w:tc>
        <w:tc>
          <w:tcPr>
            <w:tcW w:w="1427"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125.83</w:t>
            </w:r>
          </w:p>
        </w:tc>
        <w:tc>
          <w:tcPr>
            <w:tcW w:w="11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125.83</w:t>
            </w:r>
          </w:p>
        </w:tc>
        <w:tc>
          <w:tcPr>
            <w:tcW w:w="47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29"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cs="宋体"/>
                <w:color w:val="000000"/>
                <w:szCs w:val="21"/>
                <w:lang w:val="en-US" w:eastAsia="zh-CN"/>
              </w:rPr>
            </w:pPr>
            <w:r>
              <w:rPr>
                <w:rFonts w:hint="eastAsia" w:ascii="宋体" w:hAnsi="宋体" w:cs="宋体"/>
                <w:color w:val="000000"/>
                <w:szCs w:val="21"/>
                <w:lang w:val="en-US" w:eastAsia="zh-CN"/>
              </w:rPr>
              <w:t>2101101</w:t>
            </w:r>
          </w:p>
        </w:tc>
        <w:tc>
          <w:tcPr>
            <w:tcW w:w="1929"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cs="宋体"/>
                <w:color w:val="000000"/>
                <w:sz w:val="15"/>
                <w:szCs w:val="15"/>
                <w:lang w:eastAsia="zh-CN"/>
              </w:rPr>
            </w:pPr>
            <w:r>
              <w:rPr>
                <w:rFonts w:hint="eastAsia" w:ascii="宋体" w:hAnsi="宋体" w:cs="宋体"/>
                <w:color w:val="000000"/>
                <w:sz w:val="15"/>
                <w:szCs w:val="15"/>
                <w:lang w:eastAsia="zh-CN"/>
              </w:rPr>
              <w:t>行政单位医疗</w:t>
            </w:r>
          </w:p>
        </w:tc>
        <w:tc>
          <w:tcPr>
            <w:tcW w:w="1427"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cs="宋体"/>
                <w:color w:val="000000"/>
                <w:szCs w:val="21"/>
                <w:lang w:val="en-US" w:eastAsia="zh-CN"/>
              </w:rPr>
            </w:pPr>
            <w:r>
              <w:rPr>
                <w:rFonts w:hint="eastAsia" w:ascii="宋体" w:hAnsi="宋体" w:cs="宋体"/>
                <w:color w:val="000000"/>
                <w:szCs w:val="21"/>
                <w:lang w:val="en-US" w:eastAsia="zh-CN"/>
              </w:rPr>
              <w:t>123.64</w:t>
            </w:r>
          </w:p>
        </w:tc>
        <w:tc>
          <w:tcPr>
            <w:tcW w:w="11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cs="宋体"/>
                <w:color w:val="000000"/>
                <w:szCs w:val="21"/>
                <w:lang w:val="en-US" w:eastAsia="zh-CN"/>
              </w:rPr>
            </w:pPr>
            <w:r>
              <w:rPr>
                <w:rFonts w:hint="eastAsia" w:ascii="宋体" w:hAnsi="宋体" w:cs="宋体"/>
                <w:color w:val="000000"/>
                <w:szCs w:val="21"/>
                <w:lang w:val="en-US" w:eastAsia="zh-CN"/>
              </w:rPr>
              <w:t>123.64</w:t>
            </w:r>
          </w:p>
        </w:tc>
        <w:tc>
          <w:tcPr>
            <w:tcW w:w="47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29"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cs="宋体"/>
                <w:color w:val="000000"/>
                <w:szCs w:val="21"/>
                <w:lang w:val="en-US" w:eastAsia="zh-CN"/>
              </w:rPr>
            </w:pPr>
            <w:r>
              <w:rPr>
                <w:rFonts w:hint="eastAsia" w:ascii="宋体" w:hAnsi="宋体" w:cs="宋体"/>
                <w:color w:val="000000"/>
                <w:szCs w:val="21"/>
                <w:lang w:val="en-US" w:eastAsia="zh-CN"/>
              </w:rPr>
              <w:t>2101102</w:t>
            </w:r>
          </w:p>
        </w:tc>
        <w:tc>
          <w:tcPr>
            <w:tcW w:w="1929"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cs="宋体"/>
                <w:color w:val="000000"/>
                <w:sz w:val="15"/>
                <w:szCs w:val="15"/>
                <w:lang w:eastAsia="zh-CN"/>
              </w:rPr>
            </w:pPr>
            <w:r>
              <w:rPr>
                <w:rFonts w:hint="eastAsia" w:ascii="宋体" w:hAnsi="宋体" w:cs="宋体"/>
                <w:color w:val="000000"/>
                <w:sz w:val="15"/>
                <w:szCs w:val="15"/>
                <w:lang w:eastAsia="zh-CN"/>
              </w:rPr>
              <w:t>事业单位医疗</w:t>
            </w:r>
          </w:p>
        </w:tc>
        <w:tc>
          <w:tcPr>
            <w:tcW w:w="1427"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cs="宋体"/>
                <w:color w:val="000000"/>
                <w:szCs w:val="21"/>
                <w:lang w:val="en-US" w:eastAsia="zh-CN"/>
              </w:rPr>
            </w:pPr>
            <w:r>
              <w:rPr>
                <w:rFonts w:hint="eastAsia" w:ascii="宋体" w:hAnsi="宋体" w:cs="宋体"/>
                <w:color w:val="000000"/>
                <w:szCs w:val="21"/>
                <w:lang w:val="en-US" w:eastAsia="zh-CN"/>
              </w:rPr>
              <w:t>2.19</w:t>
            </w:r>
          </w:p>
        </w:tc>
        <w:tc>
          <w:tcPr>
            <w:tcW w:w="11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cs="宋体"/>
                <w:color w:val="000000"/>
                <w:szCs w:val="21"/>
                <w:lang w:val="en-US" w:eastAsia="zh-CN"/>
              </w:rPr>
            </w:pPr>
            <w:r>
              <w:rPr>
                <w:rFonts w:hint="eastAsia" w:ascii="宋体" w:hAnsi="宋体" w:cs="宋体"/>
                <w:color w:val="000000"/>
                <w:szCs w:val="21"/>
                <w:lang w:val="en-US" w:eastAsia="zh-CN"/>
              </w:rPr>
              <w:t>2.19</w:t>
            </w:r>
          </w:p>
        </w:tc>
        <w:tc>
          <w:tcPr>
            <w:tcW w:w="47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29"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cs="宋体"/>
                <w:color w:val="000000"/>
                <w:szCs w:val="21"/>
                <w:lang w:val="en-US" w:eastAsia="zh-CN"/>
              </w:rPr>
            </w:pPr>
            <w:r>
              <w:rPr>
                <w:rFonts w:hint="eastAsia" w:ascii="宋体" w:hAnsi="宋体" w:cs="宋体"/>
                <w:color w:val="000000"/>
                <w:szCs w:val="21"/>
                <w:lang w:val="en-US" w:eastAsia="zh-CN"/>
              </w:rPr>
              <w:t>221</w:t>
            </w:r>
          </w:p>
        </w:tc>
        <w:tc>
          <w:tcPr>
            <w:tcW w:w="1929"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cs="宋体"/>
                <w:color w:val="000000"/>
                <w:sz w:val="15"/>
                <w:szCs w:val="15"/>
                <w:lang w:eastAsia="zh-CN"/>
              </w:rPr>
            </w:pPr>
            <w:r>
              <w:rPr>
                <w:rFonts w:hint="eastAsia" w:ascii="宋体" w:hAnsi="宋体" w:cs="宋体"/>
                <w:color w:val="000000"/>
                <w:sz w:val="15"/>
                <w:szCs w:val="15"/>
                <w:lang w:eastAsia="zh-CN"/>
              </w:rPr>
              <w:t>住房保障支出</w:t>
            </w:r>
          </w:p>
        </w:tc>
        <w:tc>
          <w:tcPr>
            <w:tcW w:w="1427"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cs="宋体"/>
                <w:color w:val="000000"/>
                <w:szCs w:val="21"/>
                <w:lang w:val="en-US" w:eastAsia="zh-CN"/>
              </w:rPr>
            </w:pPr>
            <w:r>
              <w:rPr>
                <w:rFonts w:hint="eastAsia" w:ascii="宋体" w:hAnsi="宋体" w:cs="宋体"/>
                <w:color w:val="000000"/>
                <w:szCs w:val="21"/>
                <w:lang w:val="en-US" w:eastAsia="zh-CN"/>
              </w:rPr>
              <w:t>99.00</w:t>
            </w:r>
          </w:p>
        </w:tc>
        <w:tc>
          <w:tcPr>
            <w:tcW w:w="11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cs="宋体"/>
                <w:color w:val="000000"/>
                <w:szCs w:val="21"/>
                <w:lang w:val="en-US" w:eastAsia="zh-CN"/>
              </w:rPr>
            </w:pPr>
            <w:r>
              <w:rPr>
                <w:rFonts w:hint="eastAsia" w:ascii="宋体" w:hAnsi="宋体" w:cs="宋体"/>
                <w:color w:val="000000"/>
                <w:szCs w:val="21"/>
                <w:lang w:val="en-US" w:eastAsia="zh-CN"/>
              </w:rPr>
              <w:t>99.00</w:t>
            </w:r>
          </w:p>
        </w:tc>
        <w:tc>
          <w:tcPr>
            <w:tcW w:w="47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29"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cs="宋体"/>
                <w:color w:val="000000"/>
                <w:szCs w:val="21"/>
                <w:lang w:val="en-US" w:eastAsia="zh-CN"/>
              </w:rPr>
            </w:pPr>
            <w:r>
              <w:rPr>
                <w:rFonts w:hint="eastAsia" w:ascii="宋体" w:hAnsi="宋体" w:cs="宋体"/>
                <w:color w:val="000000"/>
                <w:szCs w:val="21"/>
                <w:lang w:val="en-US" w:eastAsia="zh-CN"/>
              </w:rPr>
              <w:t>22102</w:t>
            </w:r>
          </w:p>
        </w:tc>
        <w:tc>
          <w:tcPr>
            <w:tcW w:w="1929"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cs="宋体"/>
                <w:color w:val="000000"/>
                <w:sz w:val="15"/>
                <w:szCs w:val="15"/>
                <w:lang w:eastAsia="zh-CN"/>
              </w:rPr>
            </w:pPr>
            <w:r>
              <w:rPr>
                <w:rFonts w:hint="eastAsia" w:ascii="宋体" w:hAnsi="宋体" w:cs="宋体"/>
                <w:color w:val="000000"/>
                <w:sz w:val="15"/>
                <w:szCs w:val="15"/>
                <w:lang w:eastAsia="zh-CN"/>
              </w:rPr>
              <w:t>住房改革支出</w:t>
            </w:r>
          </w:p>
        </w:tc>
        <w:tc>
          <w:tcPr>
            <w:tcW w:w="1427"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cs="宋体"/>
                <w:color w:val="000000"/>
                <w:szCs w:val="21"/>
                <w:lang w:val="en-US" w:eastAsia="zh-CN"/>
              </w:rPr>
            </w:pPr>
            <w:r>
              <w:rPr>
                <w:rFonts w:hint="eastAsia" w:ascii="宋体" w:hAnsi="宋体" w:cs="宋体"/>
                <w:color w:val="000000"/>
                <w:szCs w:val="21"/>
                <w:lang w:val="en-US" w:eastAsia="zh-CN"/>
              </w:rPr>
              <w:t>99.00</w:t>
            </w:r>
          </w:p>
        </w:tc>
        <w:tc>
          <w:tcPr>
            <w:tcW w:w="11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cs="宋体"/>
                <w:color w:val="000000"/>
                <w:szCs w:val="21"/>
                <w:lang w:val="en-US" w:eastAsia="zh-CN"/>
              </w:rPr>
            </w:pPr>
            <w:r>
              <w:rPr>
                <w:rFonts w:hint="eastAsia" w:ascii="宋体" w:hAnsi="宋体" w:cs="宋体"/>
                <w:color w:val="000000"/>
                <w:szCs w:val="21"/>
                <w:lang w:val="en-US" w:eastAsia="zh-CN"/>
              </w:rPr>
              <w:t>99.00</w:t>
            </w:r>
          </w:p>
        </w:tc>
        <w:tc>
          <w:tcPr>
            <w:tcW w:w="47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29"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cs="宋体"/>
                <w:color w:val="000000"/>
                <w:szCs w:val="21"/>
                <w:lang w:val="en-US" w:eastAsia="zh-CN"/>
              </w:rPr>
            </w:pPr>
            <w:r>
              <w:rPr>
                <w:rFonts w:hint="eastAsia" w:ascii="宋体" w:hAnsi="宋体" w:cs="宋体"/>
                <w:color w:val="000000"/>
                <w:szCs w:val="21"/>
                <w:lang w:val="en-US" w:eastAsia="zh-CN"/>
              </w:rPr>
              <w:t>2210201</w:t>
            </w:r>
          </w:p>
        </w:tc>
        <w:tc>
          <w:tcPr>
            <w:tcW w:w="1929"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cs="宋体"/>
                <w:color w:val="000000"/>
                <w:sz w:val="15"/>
                <w:szCs w:val="15"/>
                <w:lang w:eastAsia="zh-CN"/>
              </w:rPr>
            </w:pPr>
            <w:r>
              <w:rPr>
                <w:rFonts w:hint="eastAsia" w:ascii="宋体" w:hAnsi="宋体" w:cs="宋体"/>
                <w:color w:val="000000"/>
                <w:sz w:val="15"/>
                <w:szCs w:val="15"/>
                <w:lang w:eastAsia="zh-CN"/>
              </w:rPr>
              <w:t>住房公积金</w:t>
            </w:r>
          </w:p>
        </w:tc>
        <w:tc>
          <w:tcPr>
            <w:tcW w:w="1427"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cs="宋体"/>
                <w:color w:val="000000"/>
                <w:szCs w:val="21"/>
                <w:lang w:val="en-US" w:eastAsia="zh-CN"/>
              </w:rPr>
            </w:pPr>
            <w:r>
              <w:rPr>
                <w:rFonts w:hint="eastAsia" w:ascii="宋体" w:hAnsi="宋体" w:cs="宋体"/>
                <w:color w:val="000000"/>
                <w:szCs w:val="21"/>
                <w:lang w:val="en-US" w:eastAsia="zh-CN"/>
              </w:rPr>
              <w:t>99.00</w:t>
            </w:r>
          </w:p>
        </w:tc>
        <w:tc>
          <w:tcPr>
            <w:tcW w:w="111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cs="宋体"/>
                <w:color w:val="000000"/>
                <w:szCs w:val="21"/>
                <w:lang w:val="en-US" w:eastAsia="zh-CN"/>
              </w:rPr>
            </w:pPr>
            <w:r>
              <w:rPr>
                <w:rFonts w:hint="eastAsia" w:ascii="宋体" w:hAnsi="宋体" w:cs="宋体"/>
                <w:color w:val="000000"/>
                <w:szCs w:val="21"/>
                <w:lang w:val="en-US" w:eastAsia="zh-CN"/>
              </w:rPr>
              <w:t>99.00</w:t>
            </w:r>
          </w:p>
        </w:tc>
        <w:tc>
          <w:tcPr>
            <w:tcW w:w="47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61"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6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1029"/>
        <w:gridCol w:w="1945"/>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财政拨款收入支出决</w:t>
            </w:r>
            <w:r>
              <w:rPr>
                <w:sz w:val="44"/>
              </w:rPr>
              <mc:AlternateContent>
                <mc:Choice Requires="wpg">
                  <w:drawing>
                    <wp:anchor distT="0" distB="0" distL="114300" distR="114300" simplePos="0" relativeHeight="251677696"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3" name="组合 43"/>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4"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5"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77696;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AcmlLK3AAAAA0BAAAPAAAAAAAAAAEAIAAAACIAAABkcnMvZG93bnJldi54bWxQSwECFAAU&#10;AAAACACHTuJAF/Oux0MDAAA8CQAADgAAAAAAAAABACAAAAAr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gcSdNb4AAADb&#10;AAAADwAAAGRycy9kb3ducmV2LnhtbEWPzWsCMRTE7wX/h/AEbzVZ8aNsjR5EsXhqVfD63Lzubnfz&#10;siTxo/+9KRQ8DjPzG2a+vNtWXMmH2rGGbKhAEBfO1FxqOB42r28gQkQ22DomDb8UYLnovcwxN+7G&#10;X3Tdx1IkCIccNVQxdrmUoajIYhi6jjh5385bjEn6UhqPtwS3rRwpNZUWa04LFXa0qqho9heroTnO&#10;Pmu12v6cds104tfZeTbxZ60H/Uy9g4h0j8/wf/vDaBiP4e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Sd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yF8mLsAAADb&#10;AAAADwAAAGRycy9kb3ducmV2LnhtbEWPS4sCMRCE78L+h9ALe9PExdV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F8m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10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金额</w:t>
            </w:r>
          </w:p>
        </w:tc>
        <w:tc>
          <w:tcPr>
            <w:tcW w:w="213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2141.27</w:t>
            </w: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1672.16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1672.16</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8</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167.42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167.42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9</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lang w:bidi="ar"/>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125.83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125.83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10</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11</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12</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13</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14</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15</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16</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17</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18</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19</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20</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21</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22</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23</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24</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2141.27</w:t>
            </w: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2064.41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2064.41</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25</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120.44</w:t>
            </w: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197.30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197.30</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26</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120.44</w:t>
            </w: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27</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28</w:t>
            </w:r>
          </w:p>
        </w:tc>
        <w:tc>
          <w:tcPr>
            <w:tcW w:w="10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13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2261.71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2261.71</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w:t>
            </w:r>
            <w:r>
              <w:rPr>
                <w:sz w:val="44"/>
              </w:rPr>
              <mc:AlternateContent>
                <mc:Choice Requires="wpg">
                  <w:drawing>
                    <wp:anchor distT="0" distB="0" distL="114300" distR="114300" simplePos="0" relativeHeight="25167872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6" name="组合 46"/>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7872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ByaUsrcAAAADQEAAA8AAAAAAAAAAQAgAAAAIgAAAGRycy9kb3ducmV2LnhtbFBLAQIUABQA&#10;AAAIAIdO4kD9E/AsQgMAADwJAAAOAAAAAAAAAAEAIAAAACs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cRYDQr4AAADb&#10;AAAADwAAAGRycy9kb3ducmV2LnhtbEWPzWrDMBCE74G+g9hAb4nk0MTFiZJDaEjpqU0NvW6sje3Y&#10;WhlJ+enbV4VCj8PMfMOsNnfbiyv50DrWkE0VCOLKmZZrDeXnbvIMIkRkg71j0vBNATbrh9EKC+Nu&#10;/EHXQ6xFgnAoUEMT41BIGaqGLIapG4iTd3LeYkzS19J4vCW47eVMqYW02HJaaHCgbUNVd7hYDV2Z&#10;v7dquz9/vXWLuX/JjvncH7V+HGdqCSLSPf6H/9qvRsNTDr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RYDQ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iSDTBrkAAADb&#10;AAAADwAAAGRycy9kb3ducmV2LnhtbEVPy4rCMBTdD/gP4QruxkQZOqUahRGUWWqdx/bSXNsyzU1J&#10;0qp/bxbCLA/nvd7ebCdG8qF1rGExVyCIK2darjV8nfevOYgQkQ12jknDnQJsN5OXNRbGXflEYxlr&#10;kUI4FKihibEvpAxVQxbD3PXEibs4bzEm6GtpPF5TuO3kUqlMWmw5NTTY066h6q8crIbs+LFz1Tk/&#10;/PjfVh3dsL/n799az6YLtQIR6Rb/xU/3p9Hwlsam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kg0wa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440"/>
              </w:tabs>
              <w:spacing w:after="0" w:line="240" w:lineRule="atLeast"/>
              <w:jc w:val="right"/>
              <w:rPr>
                <w:rFonts w:ascii="宋体" w:hAnsi="宋体" w:cs="宋体"/>
                <w:b/>
                <w:color w:val="000000"/>
                <w:szCs w:val="21"/>
              </w:rPr>
            </w:pPr>
            <w:r>
              <w:rPr>
                <w:rFonts w:hint="eastAsia" w:ascii="宋体" w:hAnsi="宋体" w:cs="宋体"/>
                <w:b/>
                <w:color w:val="000000"/>
                <w:szCs w:val="21"/>
                <w:lang w:val="en-US" w:eastAsia="zh-CN"/>
              </w:rPr>
              <w:t>2064.41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251"/>
              </w:tabs>
              <w:spacing w:after="0" w:line="240" w:lineRule="atLeast"/>
              <w:jc w:val="right"/>
              <w:rPr>
                <w:rFonts w:ascii="宋体" w:hAnsi="宋体" w:cs="宋体"/>
                <w:b/>
                <w:color w:val="000000"/>
                <w:szCs w:val="21"/>
              </w:rPr>
            </w:pPr>
            <w:r>
              <w:rPr>
                <w:rFonts w:hint="eastAsia" w:ascii="宋体" w:hAnsi="宋体" w:cs="宋体"/>
                <w:b/>
                <w:color w:val="000000"/>
                <w:szCs w:val="21"/>
                <w:lang w:val="en-US" w:eastAsia="zh-CN"/>
              </w:rPr>
              <w:t>2064.41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公共安全支出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492"/>
              </w:tabs>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1672.16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1672.16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20402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公安</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1672.16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1672.16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2040250</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eastAsia="zh-CN"/>
              </w:rPr>
              <w:t>事业运行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1672.16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1672.16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5"/>
                <w:szCs w:val="15"/>
                <w:lang w:eastAsia="zh-CN"/>
              </w:rPr>
              <w:t>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167.42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167.42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5"/>
                <w:szCs w:val="15"/>
                <w:lang w:eastAsia="zh-CN"/>
              </w:rPr>
              <w:t>行政事业单位离退休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167.42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167.42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2080505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1"/>
                <w:szCs w:val="11"/>
                <w:lang w:eastAsia="zh-CN"/>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120.03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120.03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2080506</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3"/>
                <w:szCs w:val="13"/>
                <w:lang w:eastAsia="zh-CN"/>
              </w:rPr>
              <w:t>机关事业单位职业年金缴费支出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47.39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47.39</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210</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5"/>
                <w:szCs w:val="15"/>
                <w:lang w:eastAsia="zh-CN"/>
              </w:rPr>
              <w:t>医疗卫生与计划生育支出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125.83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125.83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21011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5"/>
                <w:szCs w:val="15"/>
                <w:lang w:eastAsia="zh-CN"/>
              </w:rPr>
              <w:t>行政事业单位医疗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125.83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125.83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2101101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5"/>
                <w:szCs w:val="15"/>
                <w:lang w:eastAsia="zh-CN"/>
              </w:rPr>
              <w:t>行政单位医疗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123.64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123.64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2101102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5"/>
                <w:szCs w:val="15"/>
                <w:lang w:eastAsia="zh-CN"/>
              </w:rPr>
              <w:t>事业单位医疗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2.19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2.19</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221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5"/>
                <w:szCs w:val="15"/>
                <w:lang w:eastAsia="zh-CN"/>
              </w:rPr>
              <w:t>住房保障支出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99.00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99.00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lang w:val="en-US" w:eastAsia="zh-CN"/>
              </w:rPr>
              <w:t>22102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5"/>
                <w:szCs w:val="15"/>
                <w:lang w:eastAsia="zh-CN"/>
              </w:rPr>
              <w:t>住房改革支出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99.00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99.00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cs="宋体"/>
                <w:color w:val="000000"/>
                <w:szCs w:val="21"/>
                <w:lang w:val="en-US" w:eastAsia="zh-CN"/>
              </w:rPr>
            </w:pPr>
            <w:r>
              <w:rPr>
                <w:rFonts w:hint="eastAsia" w:ascii="宋体" w:hAnsi="宋体" w:cs="宋体"/>
                <w:color w:val="000000"/>
                <w:szCs w:val="21"/>
                <w:lang w:val="en-US" w:eastAsia="zh-CN"/>
              </w:rPr>
              <w:t>2210201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cs="宋体"/>
                <w:color w:val="000000"/>
                <w:sz w:val="15"/>
                <w:szCs w:val="15"/>
                <w:lang w:eastAsia="zh-CN"/>
              </w:rPr>
            </w:pPr>
            <w:r>
              <w:rPr>
                <w:rFonts w:hint="eastAsia" w:ascii="宋体" w:hAnsi="宋体" w:cs="宋体"/>
                <w:color w:val="000000"/>
                <w:sz w:val="15"/>
                <w:szCs w:val="15"/>
                <w:lang w:eastAsia="zh-CN"/>
              </w:rPr>
              <w:t>住房公积金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99.00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99.00</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pPr>
          </w:p>
        </w:tc>
        <w:tc>
          <w:tcPr>
            <w:tcW w:w="5758"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pP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部门：</w:t>
            </w:r>
            <w:r>
              <w:rPr>
                <w:sz w:val="44"/>
              </w:rPr>
              <mc:AlternateContent>
                <mc:Choice Requires="wpg">
                  <w:drawing>
                    <wp:anchor distT="0" distB="0" distL="114300" distR="114300" simplePos="0" relativeHeight="251679744" behindDoc="0" locked="1" layoutInCell="1" allowOverlap="1">
                      <wp:simplePos x="0" y="0"/>
                      <wp:positionH relativeFrom="column">
                        <wp:posOffset>-930275</wp:posOffset>
                      </wp:positionH>
                      <wp:positionV relativeFrom="page">
                        <wp:posOffset>-1643380</wp:posOffset>
                      </wp:positionV>
                      <wp:extent cx="3088640" cy="523240"/>
                      <wp:effectExtent l="3175" t="0" r="13335" b="29210"/>
                      <wp:wrapNone/>
                      <wp:docPr id="49" name="组合 49"/>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73.25pt;margin-top:-129.4pt;height:41.2pt;width:243.2pt;mso-position-vertical-relative:page;z-index:251679744;mso-width-relative:page;mso-height-relative:page;" coordorigin="4551,52615" coordsize="8546,1398"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sDI+9N0AAAAOAQAADwAAAAAAAAABACAAAAAiAAAAZHJzL2Rvd25yZXYueG1sUEsBAhQAFAAA&#10;AAgAh07iQK3CBR9AAwAAPAkAAA4AAAAAAAAAAQAgAAAALA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eyYN67oAAADb&#10;AAAADwAAAGRycy9kb3ducmV2LnhtbEVPu27CMBTdK/EP1kXqVuxUCqCAYUCgok4UkFgv8SUJia8j&#10;2zz69/WA1PHovOfLp+3EnXxoHGvIRgoEcelMw5WG42HzMQURIrLBzjFp+KUAy8XgbY6FcQ/+ofs+&#10;ViKFcChQQx1jX0gZyposhpHriRN3cd5iTNBX0nh8pHDbyU+lxtJiw6mhxp5WNZXt/mY1tMfJrlGr&#10;r+vpux3nfp2dJ7k/a/0+zNQMRKRn/Be/3FujIU/r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Jg3r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ncPsRrsAAADb&#10;AAAADwAAAGRycy9kb3ducmV2LnhtbEWPS4sCMRCE7wv+h9CCtzUZQ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PsR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1848.17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207.48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432.98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19.74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128.71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11.53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483.11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0.02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404.09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3.29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120.03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0.70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47.39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132.65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125.83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7.02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99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12.35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2.12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0.58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0.91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0.52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12.7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2.63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0.12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11.85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214.13</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w:t>
            </w:r>
            <w:r>
              <w:rPr>
                <w:sz w:val="44"/>
              </w:rPr>
              <mc:AlternateContent>
                <mc:Choice Requires="wpg">
                  <w:drawing>
                    <wp:anchor distT="0" distB="0" distL="114300" distR="114300" simplePos="0" relativeHeight="251680768"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52" name="组合 52"/>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2.75pt;margin-top:-81.1pt;height:41.2pt;width:243.2pt;mso-position-vertical-relative:page;z-index:251680768;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wnm4jcAAAADQEAAA8AAAAAAAAAAQAgAAAAIgAAAGRycy9kb3ducmV2LnhtbFBLAQIUABQAAAAI&#10;AIdO4kAhn03qPwMAADwJAAAOAAAAAAAAAAEAIAAAACs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2.70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2.7</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2.70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2.63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2.63</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2.63</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lang w:bidi="ar"/>
              </w:rPr>
              <w:t>政府性基金预算财政拨款</w:t>
            </w:r>
            <w:r>
              <w:rPr>
                <w:sz w:val="44"/>
              </w:rPr>
              <mc:AlternateContent>
                <mc:Choice Requires="wpg">
                  <w:drawing>
                    <wp:anchor distT="0" distB="0" distL="114300" distR="114300" simplePos="0" relativeHeight="251681792"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5" name="组合 55"/>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1792;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HJpSytwAAAANAQAADwAAAAAAAAABACAAAAAiAAAAZHJzL2Rvd25yZXYueG1sUEsBAhQAFAAA&#10;AAgAh07iQKlMDZ9BAwAAPAkAAA4AAAAAAAAAAQAgAAAAKw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36"/>
                <w:szCs w:val="36"/>
                <w:lang w:bidi="ar"/>
              </w:rPr>
              <w:t>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部门：</w:t>
            </w: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hint="eastAsia" w:ascii="宋体" w:hAnsi="宋体" w:eastAsia="宋体" w:cs="宋体"/>
                <w:color w:val="000000"/>
                <w:kern w:val="0"/>
                <w:szCs w:val="21"/>
                <w:lang w:eastAsia="zh-CN" w:bidi="ar"/>
              </w:rPr>
            </w:pPr>
            <w:r>
              <w:rPr>
                <w:rFonts w:hint="eastAsia" w:ascii="宋体" w:hAnsi="宋体" w:cs="宋体"/>
                <w:color w:val="000000"/>
                <w:kern w:val="0"/>
                <w:szCs w:val="21"/>
                <w:lang w:bidi="ar"/>
              </w:rPr>
              <w:t>注：</w:t>
            </w:r>
            <w:r>
              <w:rPr>
                <w:rFonts w:hint="eastAsia" w:ascii="宋体" w:hAnsi="宋体" w:cs="宋体"/>
                <w:color w:val="000000"/>
                <w:kern w:val="0"/>
                <w:szCs w:val="21"/>
                <w:lang w:eastAsia="zh-CN" w:bidi="ar"/>
              </w:rPr>
              <w:t>本部门年度无相关支出情况，按要求空表列式。</w:t>
            </w:r>
          </w:p>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国有资本经营预算财政拨</w:t>
            </w:r>
            <w:r>
              <w:rPr>
                <w:sz w:val="44"/>
              </w:rPr>
              <mc:AlternateContent>
                <mc:Choice Requires="wpg">
                  <w:drawing>
                    <wp:anchor distT="0" distB="0" distL="114300" distR="114300" simplePos="0" relativeHeight="251682816"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8" name="组合 5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2816;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JpSytwAAAANAQAADwAAAAAAAAABACAAAAAiAAAAZHJzL2Rvd25yZXYueG1sUEsBAhQA&#10;FAAAAAgAh07iQPEfcOlEAwAAPAkAAA4AAAAAAAAAAQAgAAAAKw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编制单位：</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hint="eastAsia" w:ascii="宋体" w:hAnsi="宋体" w:eastAsia="宋体" w:cs="宋体"/>
                <w:color w:val="000000"/>
                <w:kern w:val="0"/>
                <w:szCs w:val="21"/>
                <w:lang w:eastAsia="zh-CN" w:bidi="ar"/>
              </w:rPr>
            </w:pPr>
            <w:r>
              <w:rPr>
                <w:rFonts w:hint="eastAsia" w:ascii="宋体" w:hAnsi="宋体" w:cs="宋体"/>
                <w:color w:val="000000"/>
                <w:kern w:val="0"/>
                <w:szCs w:val="21"/>
                <w:lang w:bidi="ar"/>
              </w:rPr>
              <w:t>注：</w:t>
            </w:r>
            <w:r>
              <w:rPr>
                <w:rFonts w:hint="eastAsia" w:ascii="宋体" w:hAnsi="宋体" w:cs="宋体"/>
                <w:color w:val="000000"/>
                <w:kern w:val="0"/>
                <w:szCs w:val="21"/>
                <w:lang w:eastAsia="zh-CN" w:bidi="ar"/>
              </w:rPr>
              <w:t>本部门年度无相关支出情况，按要求空表列式。</w:t>
            </w:r>
          </w:p>
          <w:p>
            <w:pPr>
              <w:widowControl/>
              <w:spacing w:after="0" w:line="240" w:lineRule="auto"/>
              <w:jc w:val="left"/>
              <w:textAlignment w:val="center"/>
              <w:rPr>
                <w:rFonts w:ascii="宋体" w:hAnsi="宋体" w:cs="宋体"/>
                <w:color w:val="000000"/>
                <w:sz w:val="22"/>
                <w:szCs w:val="22"/>
              </w:rPr>
            </w:pP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政府采购</w:t>
            </w:r>
            <w:r>
              <w:rPr>
                <w:sz w:val="44"/>
              </w:rPr>
              <mc:AlternateContent>
                <mc:Choice Requires="wpg">
                  <w:drawing>
                    <wp:anchor distT="0" distB="0" distL="114300" distR="114300" simplePos="0" relativeHeight="25168384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61" name="组合 61"/>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6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384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AAAAAZHJzL1BLAQIUABQAAAAIAIdO4kAc&#10;mlLK3AAAAA0BAAAPAAAAAAAAAAEAIAAAACIAAABkcnMvZG93bnJldi54bWxQSwECFAAUAAAACACH&#10;TuJA740guj0DAAA8CQAADgAAAAAAAAABACAAAAArAQAAZHJzL2Uyb0RvYy54bWxQSwUGAAAAAAYA&#10;BgBZAQAA2g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编制单位：</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hint="eastAsia" w:ascii="宋体" w:hAnsi="宋体" w:eastAsia="宋体" w:cs="宋体"/>
                <w:color w:val="000000"/>
                <w:kern w:val="0"/>
                <w:szCs w:val="21"/>
                <w:lang w:eastAsia="zh-CN" w:bidi="ar"/>
              </w:rPr>
            </w:pPr>
            <w:r>
              <w:rPr>
                <w:rFonts w:hint="eastAsia" w:ascii="宋体" w:hAnsi="宋体" w:cs="宋体"/>
                <w:color w:val="000000"/>
                <w:kern w:val="0"/>
                <w:szCs w:val="21"/>
                <w:lang w:bidi="ar"/>
              </w:rPr>
              <w:t>注：</w:t>
            </w:r>
            <w:r>
              <w:rPr>
                <w:rFonts w:hint="eastAsia" w:ascii="宋体" w:hAnsi="宋体" w:cs="宋体"/>
                <w:color w:val="000000"/>
                <w:kern w:val="0"/>
                <w:szCs w:val="21"/>
                <w:lang w:eastAsia="zh-CN" w:bidi="ar"/>
              </w:rPr>
              <w:t>本部门年度无相关支出情况，按要求空表列式。</w:t>
            </w:r>
          </w:p>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5408"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2WaejN4AAAANAQAADwAAAAAAAAABACAAAAAi&#10;AAAAZHJzL2Rvd25yZXYueG1sUEsBAhQAFAAAAAgAh07iQNWXLBI9AgAAZwQAAA4AAAAAAAAAAQAg&#10;AAAALQEAAGRycy9lMm9Eb2MueG1sUEsFBgAAAAAGAAYAWQEAANwFA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93056"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18" name="组合 18"/>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1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9305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BJ+ys7bAAAACwEAAA8AAAAAAAAAAQAgAAAAIgAAAGRycy9kb3ducmV2LnhtbFBLAQIUABQA&#10;AAAIAIdO4kAcCE8xQwMAADwJAAAOAAAAAAAAAAEAIAAAACo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w:t>
      </w:r>
      <w:r>
        <w:rPr>
          <w:rFonts w:hint="eastAsia" w:ascii="仿宋" w:hAnsi="仿宋" w:eastAsia="仿宋" w:cs="仿宋"/>
          <w:sz w:val="32"/>
          <w:szCs w:val="32"/>
          <w:lang w:val="en-US" w:eastAsia="zh-CN"/>
        </w:rPr>
        <w:t>4402.98</w:t>
      </w:r>
      <w:r>
        <w:rPr>
          <w:rFonts w:hint="eastAsia" w:ascii="仿宋_GB2312" w:eastAsia="仿宋_GB2312" w:cs="DengXian-Regular"/>
          <w:sz w:val="32"/>
          <w:szCs w:val="32"/>
        </w:rPr>
        <w:t>万元。与2017年度决算相比，</w:t>
      </w:r>
      <w:r>
        <w:rPr>
          <w:rFonts w:hint="eastAsia" w:ascii="仿宋_GB2312" w:eastAsia="仿宋_GB2312" w:cs="DengXian-Regular"/>
          <w:sz w:val="32"/>
          <w:szCs w:val="32"/>
          <w:lang w:eastAsia="zh-CN"/>
        </w:rPr>
        <w:t>本年收入</w:t>
      </w:r>
      <w:r>
        <w:rPr>
          <w:rFonts w:hint="eastAsia" w:ascii="仿宋_GB2312" w:eastAsia="仿宋_GB2312" w:cs="DengXian-Regular"/>
          <w:sz w:val="32"/>
          <w:szCs w:val="32"/>
          <w:lang w:val="en-US" w:eastAsia="zh-CN"/>
        </w:rPr>
        <w:t>2141.27万元，比上年增加377.47万元，增长21.4%；本年支出2064.41万元，比上年增加280.05万元，增长15.7%</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人员工资、社保缴费增加，安保任务增多收支也相应增加</w:t>
      </w:r>
      <w:r>
        <w:rPr>
          <w:rFonts w:hint="eastAsia" w:ascii="仿宋_GB2312" w:eastAsia="仿宋_GB2312" w:cs="DengXian-Regular"/>
          <w:sz w:val="32"/>
          <w:szCs w:val="32"/>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hint="eastAsia" w:ascii="仿宋_GB2312" w:eastAsia="仿宋_GB2312" w:cs="DengXian-Regular"/>
          <w:sz w:val="32"/>
          <w:szCs w:val="32"/>
          <w:lang w:val="en-US" w:eastAsia="zh-CN"/>
        </w:rPr>
        <w:t>2141.27</w:t>
      </w:r>
      <w:r>
        <w:rPr>
          <w:rFonts w:hint="eastAsia" w:ascii="仿宋_GB2312" w:eastAsia="仿宋_GB2312" w:cs="DengXian-Regular"/>
          <w:sz w:val="32"/>
          <w:szCs w:val="32"/>
        </w:rPr>
        <w:t>万元，其中：财政拨款收入</w:t>
      </w:r>
      <w:r>
        <w:rPr>
          <w:rFonts w:hint="eastAsia" w:ascii="仿宋_GB2312" w:eastAsia="仿宋_GB2312" w:cs="DengXian-Regular"/>
          <w:sz w:val="32"/>
          <w:szCs w:val="32"/>
          <w:lang w:val="en-US" w:eastAsia="zh-CN"/>
        </w:rPr>
        <w:t>2141.27</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%；事业收入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%；经营收入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%；其他收入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adjustRightInd w:val="0"/>
        <w:snapToGrid w:val="0"/>
        <w:spacing w:after="0" w:line="580" w:lineRule="exact"/>
        <w:ind w:firstLine="1920" w:firstLineChars="600"/>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drawing>
          <wp:anchor distT="0" distB="0" distL="114300" distR="114300" simplePos="0" relativeHeight="251694080" behindDoc="0" locked="0" layoutInCell="1" allowOverlap="1">
            <wp:simplePos x="0" y="0"/>
            <wp:positionH relativeFrom="column">
              <wp:posOffset>502285</wp:posOffset>
            </wp:positionH>
            <wp:positionV relativeFrom="paragraph">
              <wp:posOffset>358140</wp:posOffset>
            </wp:positionV>
            <wp:extent cx="5461635" cy="3082925"/>
            <wp:effectExtent l="4445" t="4445" r="20320" b="17780"/>
            <wp:wrapSquare wrapText="bothSides"/>
            <wp:docPr id="23" name="图表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w:t>
      </w:r>
      <w:r>
        <w:rPr>
          <w:rFonts w:hint="eastAsia" w:ascii="仿宋_GB2312" w:eastAsia="仿宋_GB2312" w:cs="DengXian-Regular"/>
          <w:sz w:val="32"/>
          <w:szCs w:val="32"/>
          <w:lang w:val="en-US" w:eastAsia="zh-CN"/>
        </w:rPr>
        <w:t>2064.41</w:t>
      </w:r>
      <w:r>
        <w:rPr>
          <w:rFonts w:hint="eastAsia" w:ascii="仿宋_GB2312" w:eastAsia="仿宋_GB2312" w:cs="DengXian-Regular"/>
          <w:sz w:val="32"/>
          <w:szCs w:val="32"/>
        </w:rPr>
        <w:t>万元，其中：基本支出</w:t>
      </w:r>
      <w:r>
        <w:rPr>
          <w:rFonts w:hint="eastAsia" w:ascii="仿宋_GB2312" w:eastAsia="仿宋_GB2312" w:cs="DengXian-Regular"/>
          <w:sz w:val="32"/>
          <w:szCs w:val="32"/>
          <w:lang w:val="en-US" w:eastAsia="zh-CN"/>
        </w:rPr>
        <w:t>2064.41</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%；项目支出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%；经营支出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r>
        <w:rPr>
          <w:rFonts w:hint="eastAsia" w:ascii="仿宋_GB2312" w:eastAsia="仿宋_GB2312" w:cs="DengXian-Regular"/>
          <w:sz w:val="32"/>
          <w:szCs w:val="32"/>
          <w:lang w:eastAsia="zh-CN"/>
        </w:rPr>
        <w:drawing>
          <wp:anchor distT="0" distB="0" distL="114300" distR="114300" simplePos="0" relativeHeight="251696128" behindDoc="0" locked="0" layoutInCell="1" allowOverlap="1">
            <wp:simplePos x="0" y="0"/>
            <wp:positionH relativeFrom="column">
              <wp:posOffset>598805</wp:posOffset>
            </wp:positionH>
            <wp:positionV relativeFrom="paragraph">
              <wp:posOffset>253365</wp:posOffset>
            </wp:positionV>
            <wp:extent cx="4935855" cy="2144395"/>
            <wp:effectExtent l="4445" t="4445" r="12700" b="22860"/>
            <wp:wrapSquare wrapText="bothSides"/>
            <wp:docPr id="24" name="图表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rPr>
          <w:sz w:val="44"/>
        </w:rPr>
        <mc:AlternateContent>
          <mc:Choice Requires="wpg">
            <w:drawing>
              <wp:anchor distT="0" distB="0" distL="114300" distR="114300" simplePos="0" relativeHeight="251684864"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0" name="组合 70"/>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7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72"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486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CLWTc4QAMAADwJAAAOAAAAAAAAAAEAIAAAACo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w:t>
      </w:r>
      <w:r>
        <w:rPr>
          <w:rFonts w:hint="eastAsia" w:ascii="仿宋_GB2312" w:eastAsia="仿宋_GB2312" w:cs="DengXian-Regular"/>
          <w:sz w:val="32"/>
          <w:szCs w:val="32"/>
          <w:lang w:val="en-US" w:eastAsia="zh-CN"/>
        </w:rPr>
        <w:t>2141.27</w:t>
      </w:r>
      <w:r>
        <w:rPr>
          <w:rFonts w:hint="eastAsia" w:ascii="仿宋_GB2312" w:eastAsia="仿宋_GB2312" w:cs="DengXian-Regular"/>
          <w:sz w:val="32"/>
          <w:szCs w:val="32"/>
        </w:rPr>
        <w:t>万元,比2017年度增加</w:t>
      </w:r>
      <w:r>
        <w:rPr>
          <w:rFonts w:hint="eastAsia" w:ascii="仿宋_GB2312" w:eastAsia="仿宋_GB2312" w:cs="DengXian-Regular"/>
          <w:sz w:val="32"/>
          <w:szCs w:val="32"/>
          <w:lang w:val="en-US" w:eastAsia="zh-CN"/>
        </w:rPr>
        <w:t>377.47</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21.4</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人员工资、社保缴费增加</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2064.41</w:t>
      </w:r>
      <w:r>
        <w:rPr>
          <w:rFonts w:hint="eastAsia" w:ascii="仿宋_GB2312" w:eastAsia="仿宋_GB2312" w:cs="DengXian-Regular"/>
          <w:sz w:val="32"/>
          <w:szCs w:val="32"/>
        </w:rPr>
        <w:t>万元，增加</w:t>
      </w:r>
      <w:r>
        <w:rPr>
          <w:rFonts w:hint="eastAsia" w:ascii="仿宋_GB2312" w:eastAsia="仿宋_GB2312" w:cs="DengXian-Regular"/>
          <w:sz w:val="32"/>
          <w:szCs w:val="32"/>
          <w:lang w:val="en-US" w:eastAsia="zh-CN"/>
        </w:rPr>
        <w:t>280.05</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15.7</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人员工资、社保缴费增加，安保任务增多收支也相应增加</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w:t>
      </w:r>
      <w:r>
        <w:rPr>
          <w:rFonts w:hint="eastAsia" w:ascii="仿宋_GB2312" w:eastAsia="仿宋_GB2312" w:cs="DengXian-Regular"/>
          <w:sz w:val="32"/>
          <w:szCs w:val="32"/>
          <w:lang w:val="en-US" w:eastAsia="zh-CN"/>
        </w:rPr>
        <w:t>2141.27</w:t>
      </w:r>
      <w:r>
        <w:rPr>
          <w:rFonts w:hint="eastAsia" w:ascii="仿宋_GB2312" w:eastAsia="仿宋_GB2312" w:cs="DengXian-Regular"/>
          <w:sz w:val="32"/>
          <w:szCs w:val="32"/>
        </w:rPr>
        <w:t>万元,比2017年度增加</w:t>
      </w:r>
      <w:r>
        <w:rPr>
          <w:rFonts w:hint="eastAsia" w:ascii="仿宋_GB2312" w:eastAsia="仿宋_GB2312" w:cs="DengXian-Regular"/>
          <w:sz w:val="32"/>
          <w:szCs w:val="32"/>
          <w:lang w:val="en-US" w:eastAsia="zh-CN"/>
        </w:rPr>
        <w:t>377.47</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21.4</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人员工资、社保缴费增加</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2064.41</w:t>
      </w:r>
      <w:r>
        <w:rPr>
          <w:rFonts w:hint="eastAsia" w:ascii="仿宋_GB2312" w:eastAsia="仿宋_GB2312" w:cs="DengXian-Regular"/>
          <w:sz w:val="32"/>
          <w:szCs w:val="32"/>
        </w:rPr>
        <w:t>万元，增加</w:t>
      </w:r>
      <w:r>
        <w:rPr>
          <w:rFonts w:hint="eastAsia" w:ascii="仿宋_GB2312" w:eastAsia="仿宋_GB2312" w:cs="DengXian-Regular"/>
          <w:sz w:val="32"/>
          <w:szCs w:val="32"/>
          <w:lang w:val="en-US" w:eastAsia="zh-CN"/>
        </w:rPr>
        <w:t>280.05</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15.7</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人员工资、社保缴费增加，安保任务增多收支也相应增加</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w:t>
      </w:r>
      <w:r>
        <w:rPr>
          <w:rFonts w:hint="eastAsia" w:ascii="仿宋_GB2312" w:eastAsia="仿宋_GB2312" w:cs="DengXian-Regular"/>
          <w:sz w:val="32"/>
          <w:szCs w:val="32"/>
          <w:lang w:val="en-US" w:eastAsia="zh-CN"/>
        </w:rPr>
        <w:t>2141.27</w:t>
      </w:r>
      <w:r>
        <w:rPr>
          <w:rFonts w:hint="eastAsia" w:ascii="仿宋_GB2312" w:eastAsia="仿宋_GB2312" w:cs="DengXian-Regular"/>
          <w:sz w:val="32"/>
          <w:szCs w:val="32"/>
        </w:rPr>
        <w:t>万元，比上年增加</w:t>
      </w:r>
      <w:r>
        <w:rPr>
          <w:rFonts w:hint="eastAsia" w:ascii="仿宋_GB2312" w:eastAsia="仿宋_GB2312" w:cs="DengXian-Regular"/>
          <w:sz w:val="32"/>
          <w:szCs w:val="32"/>
          <w:lang w:val="en-US" w:eastAsia="zh-CN"/>
        </w:rPr>
        <w:t>377.47</w:t>
      </w:r>
      <w:r>
        <w:rPr>
          <w:rFonts w:hint="eastAsia" w:ascii="仿宋_GB2312" w:eastAsia="仿宋_GB2312" w:cs="DengXian-Regular"/>
          <w:sz w:val="32"/>
          <w:szCs w:val="32"/>
        </w:rPr>
        <w:t>万元；主要是</w:t>
      </w:r>
      <w:r>
        <w:rPr>
          <w:rFonts w:hint="eastAsia" w:ascii="仿宋_GB2312" w:eastAsia="仿宋_GB2312" w:cs="DengXian-Regular"/>
          <w:sz w:val="32"/>
          <w:szCs w:val="32"/>
          <w:lang w:eastAsia="zh-CN"/>
        </w:rPr>
        <w:t>人员工资、社保缴费增加</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2064.41</w:t>
      </w:r>
      <w:r>
        <w:rPr>
          <w:rFonts w:hint="eastAsia" w:ascii="仿宋_GB2312" w:eastAsia="仿宋_GB2312" w:cs="DengXian-Regular"/>
          <w:sz w:val="32"/>
          <w:szCs w:val="32"/>
        </w:rPr>
        <w:t>万元，比上年增加</w:t>
      </w:r>
      <w:r>
        <w:rPr>
          <w:rFonts w:hint="eastAsia" w:ascii="仿宋_GB2312" w:eastAsia="仿宋_GB2312" w:cs="DengXian-Regular"/>
          <w:sz w:val="32"/>
          <w:szCs w:val="32"/>
          <w:lang w:val="en-US" w:eastAsia="zh-CN"/>
        </w:rPr>
        <w:t>280.05</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15.7</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人员工资、社保缴费增加，安保任务增多收支也相应增加</w:t>
      </w:r>
      <w:r>
        <w:rPr>
          <w:rFonts w:hint="eastAsia" w:ascii="仿宋_GB2312" w:eastAsia="仿宋_GB2312" w:cs="DengXian-Regular"/>
          <w:sz w:val="32"/>
          <w:szCs w:val="32"/>
        </w:rPr>
        <w:t>。政府性基金预算财政拨款本年收入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万元，比上年增加（减少）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万元，增长（降低）</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万元，比上年增加（减少）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万元，增长（降低）</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drawing>
          <wp:anchor distT="0" distB="0" distL="114300" distR="114300" simplePos="0" relativeHeight="251697152" behindDoc="0" locked="0" layoutInCell="1" allowOverlap="1">
            <wp:simplePos x="0" y="0"/>
            <wp:positionH relativeFrom="column">
              <wp:posOffset>1024255</wp:posOffset>
            </wp:positionH>
            <wp:positionV relativeFrom="paragraph">
              <wp:posOffset>129540</wp:posOffset>
            </wp:positionV>
            <wp:extent cx="3905250" cy="2187575"/>
            <wp:effectExtent l="4445" t="4445" r="14605" b="17780"/>
            <wp:wrapSquare wrapText="bothSides"/>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adjustRightInd w:val="0"/>
        <w:snapToGrid w:val="0"/>
        <w:spacing w:after="0" w:line="580" w:lineRule="exact"/>
        <w:ind w:firstLine="640" w:firstLineChars="200"/>
        <w:rPr>
          <w:rFonts w:hint="eastAsia" w:ascii="仿宋_GB2312" w:eastAsia="仿宋_GB2312" w:cs="DengXian-Regular"/>
          <w:sz w:val="32"/>
          <w:szCs w:val="32"/>
          <w:lang w:eastAsia="zh-CN"/>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hint="eastAsia" w:ascii="仿宋_GB2312" w:eastAsia="仿宋_GB2312" w:cs="DengXian-Regular"/>
          <w:sz w:val="32"/>
          <w:szCs w:val="32"/>
          <w:lang w:eastAsia="zh-CN"/>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r>
        <w:rPr>
          <w:sz w:val="32"/>
        </w:rPr>
        <mc:AlternateContent>
          <mc:Choice Requires="wps">
            <w:drawing>
              <wp:anchor distT="0" distB="0" distL="114300" distR="114300" simplePos="0" relativeHeight="251703296" behindDoc="0" locked="0" layoutInCell="1" allowOverlap="1">
                <wp:simplePos x="0" y="0"/>
                <wp:positionH relativeFrom="column">
                  <wp:posOffset>3829050</wp:posOffset>
                </wp:positionH>
                <wp:positionV relativeFrom="paragraph">
                  <wp:posOffset>167640</wp:posOffset>
                </wp:positionV>
                <wp:extent cx="663575" cy="347980"/>
                <wp:effectExtent l="4445" t="4445" r="17780" b="9525"/>
                <wp:wrapNone/>
                <wp:docPr id="65" name="文本框 65"/>
                <wp:cNvGraphicFramePr/>
                <a:graphic xmlns:a="http://schemas.openxmlformats.org/drawingml/2006/main">
                  <a:graphicData uri="http://schemas.microsoft.com/office/word/2010/wordprocessingShape">
                    <wps:wsp>
                      <wps:cNvSpPr txBox="1"/>
                      <wps:spPr>
                        <a:xfrm>
                          <a:off x="0" y="0"/>
                          <a:ext cx="663575" cy="347980"/>
                        </a:xfrm>
                        <a:prstGeom prst="rect">
                          <a:avLst/>
                        </a:prstGeom>
                        <a:solidFill>
                          <a:schemeClr val="lt1"/>
                        </a:solidFill>
                        <a:ln w="6350">
                          <a:solidFill>
                            <a:schemeClr val="bg1"/>
                          </a:solidFill>
                        </a:ln>
                      </wps:spPr>
                      <wps:style>
                        <a:lnRef idx="0">
                          <a:schemeClr val="accent1"/>
                        </a:lnRef>
                        <a:fillRef idx="0">
                          <a:schemeClr val="accent1"/>
                        </a:fillRef>
                        <a:effectRef idx="0">
                          <a:schemeClr val="accent1"/>
                        </a:effectRef>
                        <a:fontRef idx="minor">
                          <a:schemeClr val="dk1"/>
                        </a:fontRef>
                      </wps:style>
                      <wps:txbx>
                        <w:txbxContent>
                          <w:p>
                            <w:pPr>
                              <w:rPr>
                                <w:rFonts w:hint="default" w:eastAsia="宋体"/>
                                <w:color w:val="000000" w:themeColor="text1"/>
                                <w:sz w:val="13"/>
                                <w:szCs w:val="13"/>
                                <w:lang w:val="en-US" w:eastAsia="zh-CN"/>
                                <w14:textFill>
                                  <w14:solidFill>
                                    <w14:schemeClr w14:val="tx1"/>
                                  </w14:solidFill>
                                </w14:textFill>
                              </w:rPr>
                            </w:pPr>
                            <w:r>
                              <w:rPr>
                                <w:rFonts w:hint="eastAsia"/>
                                <w:color w:val="000000" w:themeColor="text1"/>
                                <w:sz w:val="13"/>
                                <w:szCs w:val="13"/>
                                <w:lang w:val="en-US" w:eastAsia="zh-CN"/>
                                <w14:textFill>
                                  <w14:solidFill>
                                    <w14:schemeClr w14:val="tx1"/>
                                  </w14:solidFill>
                                </w14:textFill>
                              </w:rPr>
                              <w:t>2017年支出</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01.5pt;margin-top:13.2pt;height:27.4pt;width:52.25pt;z-index:251703296;mso-width-relative:page;mso-height-relative:page;" fillcolor="#FFFFFF [3201]" filled="t" stroked="t" coordsize="21600,21600" o:gfxdata="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RLjoSNgAAAAJ&#10;AQAADwAAAAAAAAABACAAAAAiAAAAZHJzL2Rvd25yZXYueG1sUEsBAhQAFAAAAAgAh07iQDcco8FV&#10;AgAAuQQAAA4AAAAAAAAAAQAgAAAAJwEAAGRycy9lMm9Eb2MueG1sUEsFBgAAAAAGAAYAWQEAAO4F&#10;AAAAAA==&#10;">
                <v:fill on="t" focussize="0,0"/>
                <v:stroke weight="0.5pt" color="#FFFFFF [3212]" joinstyle="round"/>
                <v:imagedata o:title=""/>
                <o:lock v:ext="edit" aspectratio="f"/>
                <v:textbox>
                  <w:txbxContent>
                    <w:p>
                      <w:pPr>
                        <w:rPr>
                          <w:rFonts w:hint="default" w:eastAsia="宋体"/>
                          <w:color w:val="000000" w:themeColor="text1"/>
                          <w:sz w:val="13"/>
                          <w:szCs w:val="13"/>
                          <w:lang w:val="en-US" w:eastAsia="zh-CN"/>
                          <w14:textFill>
                            <w14:solidFill>
                              <w14:schemeClr w14:val="tx1"/>
                            </w14:solidFill>
                          </w14:textFill>
                        </w:rPr>
                      </w:pPr>
                      <w:r>
                        <w:rPr>
                          <w:rFonts w:hint="eastAsia"/>
                          <w:color w:val="000000" w:themeColor="text1"/>
                          <w:sz w:val="13"/>
                          <w:szCs w:val="13"/>
                          <w:lang w:val="en-US" w:eastAsia="zh-CN"/>
                          <w14:textFill>
                            <w14:solidFill>
                              <w14:schemeClr w14:val="tx1"/>
                            </w14:solidFill>
                          </w14:textFill>
                        </w:rPr>
                        <w:t>2017年支出</w:t>
                      </w:r>
                    </w:p>
                  </w:txbxContent>
                </v:textbox>
              </v:shape>
            </w:pict>
          </mc:Fallback>
        </mc:AlternateContent>
      </w:r>
      <w:r>
        <w:rPr>
          <w:sz w:val="32"/>
        </w:rPr>
        <mc:AlternateContent>
          <mc:Choice Requires="wps">
            <w:drawing>
              <wp:anchor distT="0" distB="0" distL="114300" distR="114300" simplePos="0" relativeHeight="251702272" behindDoc="0" locked="0" layoutInCell="1" allowOverlap="1">
                <wp:simplePos x="0" y="0"/>
                <wp:positionH relativeFrom="column">
                  <wp:posOffset>3232785</wp:posOffset>
                </wp:positionH>
                <wp:positionV relativeFrom="paragraph">
                  <wp:posOffset>159385</wp:posOffset>
                </wp:positionV>
                <wp:extent cx="663575" cy="347980"/>
                <wp:effectExtent l="4445" t="4445" r="17780" b="9525"/>
                <wp:wrapNone/>
                <wp:docPr id="41" name="文本框 41"/>
                <wp:cNvGraphicFramePr/>
                <a:graphic xmlns:a="http://schemas.openxmlformats.org/drawingml/2006/main">
                  <a:graphicData uri="http://schemas.microsoft.com/office/word/2010/wordprocessingShape">
                    <wps:wsp>
                      <wps:cNvSpPr txBox="1"/>
                      <wps:spPr>
                        <a:xfrm>
                          <a:off x="890905" y="6146800"/>
                          <a:ext cx="663575" cy="347980"/>
                        </a:xfrm>
                        <a:prstGeom prst="rect">
                          <a:avLst/>
                        </a:prstGeom>
                        <a:solidFill>
                          <a:schemeClr val="lt1"/>
                        </a:solidFill>
                        <a:ln w="6350">
                          <a:solidFill>
                            <a:schemeClr val="bg1"/>
                          </a:solidFill>
                        </a:ln>
                      </wps:spPr>
                      <wps:style>
                        <a:lnRef idx="0">
                          <a:schemeClr val="accent1"/>
                        </a:lnRef>
                        <a:fillRef idx="0">
                          <a:schemeClr val="accent1"/>
                        </a:fillRef>
                        <a:effectRef idx="0">
                          <a:schemeClr val="accent1"/>
                        </a:effectRef>
                        <a:fontRef idx="minor">
                          <a:schemeClr val="dk1"/>
                        </a:fontRef>
                      </wps:style>
                      <wps:txbx>
                        <w:txbxContent>
                          <w:p>
                            <w:pPr>
                              <w:rPr>
                                <w:rFonts w:hint="default" w:eastAsia="宋体"/>
                                <w:color w:val="000000" w:themeColor="text1"/>
                                <w:sz w:val="13"/>
                                <w:szCs w:val="13"/>
                                <w:lang w:val="en-US" w:eastAsia="zh-CN"/>
                                <w14:textFill>
                                  <w14:solidFill>
                                    <w14:schemeClr w14:val="tx1"/>
                                  </w14:solidFill>
                                </w14:textFill>
                              </w:rPr>
                            </w:pPr>
                            <w:r>
                              <w:rPr>
                                <w:rFonts w:hint="eastAsia"/>
                                <w:color w:val="000000" w:themeColor="text1"/>
                                <w:sz w:val="13"/>
                                <w:szCs w:val="13"/>
                                <w:lang w:val="en-US" w:eastAsia="zh-CN"/>
                                <w14:textFill>
                                  <w14:solidFill>
                                    <w14:schemeClr w14:val="tx1"/>
                                  </w14:solidFill>
                                </w14:textFill>
                              </w:rPr>
                              <w:t>2018年支出</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54.55pt;margin-top:12.55pt;height:27.4pt;width:52.25pt;z-index:251702272;mso-width-relative:page;mso-height-relative:page;" fillcolor="#FFFFFF [3201]" filled="t" stroked="t" coordsize="21600,21600" o:gfxdata="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L4IrD/YAAAACQEAAA8AAAAAAAAAAQAgAAAAIgAAAGRycy9kb3ducmV2LnhtbFBLAQIUABQAAAAI&#10;AIdO4kBLp0ShXwIAAMQEAAAOAAAAAAAAAAEAIAAAACcBAABkcnMvZTJvRG9jLnhtbFBLBQYAAAAA&#10;BgAGAFkBAAD4BQAAAAA=&#10;">
                <v:fill on="t" focussize="0,0"/>
                <v:stroke weight="0.5pt" color="#FFFFFF [3212]" joinstyle="round"/>
                <v:imagedata o:title=""/>
                <o:lock v:ext="edit" aspectratio="f"/>
                <v:textbox>
                  <w:txbxContent>
                    <w:p>
                      <w:pPr>
                        <w:rPr>
                          <w:rFonts w:hint="default" w:eastAsia="宋体"/>
                          <w:color w:val="000000" w:themeColor="text1"/>
                          <w:sz w:val="13"/>
                          <w:szCs w:val="13"/>
                          <w:lang w:val="en-US" w:eastAsia="zh-CN"/>
                          <w14:textFill>
                            <w14:solidFill>
                              <w14:schemeClr w14:val="tx1"/>
                            </w14:solidFill>
                          </w14:textFill>
                        </w:rPr>
                      </w:pPr>
                      <w:r>
                        <w:rPr>
                          <w:rFonts w:hint="eastAsia"/>
                          <w:color w:val="000000" w:themeColor="text1"/>
                          <w:sz w:val="13"/>
                          <w:szCs w:val="13"/>
                          <w:lang w:val="en-US" w:eastAsia="zh-CN"/>
                          <w14:textFill>
                            <w14:solidFill>
                              <w14:schemeClr w14:val="tx1"/>
                            </w14:solidFill>
                          </w14:textFill>
                        </w:rPr>
                        <w:t>2018年支出</w:t>
                      </w:r>
                    </w:p>
                  </w:txbxContent>
                </v:textbox>
              </v:shape>
            </w:pict>
          </mc:Fallback>
        </mc:AlternateContent>
      </w:r>
      <w:r>
        <w:rPr>
          <w:sz w:val="32"/>
        </w:rPr>
        <mc:AlternateContent>
          <mc:Choice Requires="wps">
            <w:drawing>
              <wp:anchor distT="0" distB="0" distL="114300" distR="114300" simplePos="0" relativeHeight="251701248" behindDoc="0" locked="0" layoutInCell="1" allowOverlap="1">
                <wp:simplePos x="0" y="0"/>
                <wp:positionH relativeFrom="column">
                  <wp:posOffset>2017395</wp:posOffset>
                </wp:positionH>
                <wp:positionV relativeFrom="paragraph">
                  <wp:posOffset>163830</wp:posOffset>
                </wp:positionV>
                <wp:extent cx="821055" cy="407035"/>
                <wp:effectExtent l="4445" t="4445" r="12700" b="7620"/>
                <wp:wrapNone/>
                <wp:docPr id="37" name="文本框 37"/>
                <wp:cNvGraphicFramePr/>
                <a:graphic xmlns:a="http://schemas.openxmlformats.org/drawingml/2006/main">
                  <a:graphicData uri="http://schemas.microsoft.com/office/word/2010/wordprocessingShape">
                    <wps:wsp>
                      <wps:cNvSpPr txBox="1"/>
                      <wps:spPr>
                        <a:xfrm>
                          <a:off x="975995" y="6139815"/>
                          <a:ext cx="821055" cy="407035"/>
                        </a:xfrm>
                        <a:prstGeom prst="rect">
                          <a:avLst/>
                        </a:prstGeom>
                        <a:solidFill>
                          <a:schemeClr val="lt1"/>
                        </a:solidFill>
                        <a:ln w="6350">
                          <a:solidFill>
                            <a:schemeClr val="bg1"/>
                          </a:solidFill>
                        </a:ln>
                      </wps:spPr>
                      <wps:style>
                        <a:lnRef idx="0">
                          <a:schemeClr val="accent1"/>
                        </a:lnRef>
                        <a:fillRef idx="0">
                          <a:schemeClr val="accent1"/>
                        </a:fillRef>
                        <a:effectRef idx="0">
                          <a:schemeClr val="accent1"/>
                        </a:effectRef>
                        <a:fontRef idx="minor">
                          <a:schemeClr val="dk1"/>
                        </a:fontRef>
                      </wps:style>
                      <wps:txbx>
                        <w:txbxContent>
                          <w:p>
                            <w:pPr>
                              <w:rPr>
                                <w:rFonts w:hint="default" w:eastAsia="宋体"/>
                                <w:sz w:val="15"/>
                                <w:szCs w:val="15"/>
                                <w:lang w:val="en-US" w:eastAsia="zh-CN"/>
                              </w:rPr>
                            </w:pPr>
                            <w:r>
                              <w:rPr>
                                <w:rFonts w:hint="eastAsia"/>
                                <w:sz w:val="13"/>
                                <w:szCs w:val="13"/>
                                <w:lang w:val="en-US" w:eastAsia="zh-CN"/>
                              </w:rPr>
                              <w:t>2017年收入</w:t>
                            </w:r>
                            <w:r>
                              <w:rPr>
                                <w:rFonts w:hint="eastAsia"/>
                                <w:sz w:val="15"/>
                                <w:szCs w:val="15"/>
                                <w:lang w:val="en-US" w:eastAsia="zh-CN"/>
                              </w:rPr>
                              <w:t xml:space="preserve"> </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58.85pt;margin-top:12.9pt;height:32.05pt;width:64.65pt;z-index:251701248;mso-width-relative:page;mso-height-relative:page;" fillcolor="#FFFFFF [3201]" filled="t" stroked="t" coordsize="21600,21600" o:gfxdata="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MK1hLNkAAAAJAQAADwAAAAAAAAABACAAAAAiAAAAZHJzL2Rvd25yZXYueG1sUEsBAhQAFAAA&#10;AAgAh07iQBgp4ytgAgAAxAQAAA4AAAAAAAAAAQAgAAAAKAEAAGRycy9lMm9Eb2MueG1sUEsFBgAA&#10;AAAGAAYAWQEAAPoFAAAAAA==&#10;">
                <v:fill on="t" focussize="0,0"/>
                <v:stroke weight="0.5pt" color="#FFFFFF [3212]" joinstyle="round"/>
                <v:imagedata o:title=""/>
                <o:lock v:ext="edit" aspectratio="f"/>
                <v:textbox>
                  <w:txbxContent>
                    <w:p>
                      <w:pPr>
                        <w:rPr>
                          <w:rFonts w:hint="default" w:eastAsia="宋体"/>
                          <w:sz w:val="15"/>
                          <w:szCs w:val="15"/>
                          <w:lang w:val="en-US" w:eastAsia="zh-CN"/>
                        </w:rPr>
                      </w:pPr>
                      <w:r>
                        <w:rPr>
                          <w:rFonts w:hint="eastAsia"/>
                          <w:sz w:val="13"/>
                          <w:szCs w:val="13"/>
                          <w:lang w:val="en-US" w:eastAsia="zh-CN"/>
                        </w:rPr>
                        <w:t>2017年收入</w:t>
                      </w:r>
                      <w:r>
                        <w:rPr>
                          <w:rFonts w:hint="eastAsia"/>
                          <w:sz w:val="15"/>
                          <w:szCs w:val="15"/>
                          <w:lang w:val="en-US" w:eastAsia="zh-CN"/>
                        </w:rPr>
                        <w:t xml:space="preserve"> </w:t>
                      </w:r>
                    </w:p>
                  </w:txbxContent>
                </v:textbox>
              </v:shape>
            </w:pict>
          </mc:Fallback>
        </mc:AlternateContent>
      </w:r>
      <w:r>
        <w:rPr>
          <w:sz w:val="32"/>
        </w:rPr>
        <mc:AlternateContent>
          <mc:Choice Requires="wps">
            <w:drawing>
              <wp:anchor distT="0" distB="0" distL="114300" distR="114300" simplePos="0" relativeHeight="251700224" behindDoc="0" locked="0" layoutInCell="1" allowOverlap="1">
                <wp:simplePos x="0" y="0"/>
                <wp:positionH relativeFrom="column">
                  <wp:posOffset>1387475</wp:posOffset>
                </wp:positionH>
                <wp:positionV relativeFrom="paragraph">
                  <wp:posOffset>171450</wp:posOffset>
                </wp:positionV>
                <wp:extent cx="795655" cy="384810"/>
                <wp:effectExtent l="4445" t="4445" r="19050" b="10795"/>
                <wp:wrapNone/>
                <wp:docPr id="32" name="文本框 32"/>
                <wp:cNvGraphicFramePr/>
                <a:graphic xmlns:a="http://schemas.openxmlformats.org/drawingml/2006/main">
                  <a:graphicData uri="http://schemas.microsoft.com/office/word/2010/wordprocessingShape">
                    <wps:wsp>
                      <wps:cNvSpPr txBox="1"/>
                      <wps:spPr>
                        <a:xfrm>
                          <a:off x="2651125" y="6376670"/>
                          <a:ext cx="795655" cy="384810"/>
                        </a:xfrm>
                        <a:prstGeom prst="rect">
                          <a:avLst/>
                        </a:prstGeom>
                        <a:solidFill>
                          <a:schemeClr val="lt1"/>
                        </a:solidFill>
                        <a:ln w="6350">
                          <a:solidFill>
                            <a:schemeClr val="bg1"/>
                          </a:solidFill>
                        </a:ln>
                      </wps:spPr>
                      <wps:style>
                        <a:lnRef idx="0">
                          <a:schemeClr val="accent1"/>
                        </a:lnRef>
                        <a:fillRef idx="0">
                          <a:schemeClr val="accent1"/>
                        </a:fillRef>
                        <a:effectRef idx="0">
                          <a:schemeClr val="accent1"/>
                        </a:effectRef>
                        <a:fontRef idx="minor">
                          <a:schemeClr val="dk1"/>
                        </a:fontRef>
                      </wps:style>
                      <wps:txbx>
                        <w:txbxContent>
                          <w:p>
                            <w:pPr>
                              <w:rPr>
                                <w:rFonts w:hint="default" w:eastAsia="宋体"/>
                                <w:color w:val="000000" w:themeColor="text1"/>
                                <w:sz w:val="13"/>
                                <w:szCs w:val="13"/>
                                <w:lang w:val="en-US" w:eastAsia="zh-CN"/>
                                <w14:textFill>
                                  <w14:solidFill>
                                    <w14:schemeClr w14:val="tx1"/>
                                  </w14:solidFill>
                                </w14:textFill>
                              </w:rPr>
                            </w:pPr>
                            <w:r>
                              <w:rPr>
                                <w:rFonts w:hint="eastAsia"/>
                                <w:color w:val="000000" w:themeColor="text1"/>
                                <w:sz w:val="13"/>
                                <w:szCs w:val="13"/>
                                <w:lang w:val="en-US" w:eastAsia="zh-CN"/>
                                <w14:textFill>
                                  <w14:solidFill>
                                    <w14:schemeClr w14:val="tx1"/>
                                  </w14:solidFill>
                                </w14:textFill>
                              </w:rPr>
                              <w:t>2018年收入</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09.25pt;margin-top:13.5pt;height:30.3pt;width:62.65pt;z-index:251700224;mso-width-relative:page;mso-height-relative:page;" fillcolor="#FFFFFF [3201]" filled="t" stroked="t" coordsize="21600,21600" o:gfxdata="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G6dj1DYAAAACQEAAA8AAAAAAAAAAQAgAAAAIgAAAGRycy9kb3ducmV2LnhtbFBLAQIUABQAAAAI&#10;AIdO4kBboslzXwIAAMUEAAAOAAAAAAAAAAEAIAAAACcBAABkcnMvZTJvRG9jLnhtbFBLBQYAAAAA&#10;BgAGAFkBAAD4BQAAAAA=&#10;">
                <v:fill on="t" focussize="0,0"/>
                <v:stroke weight="0.5pt" color="#FFFFFF [3212]" joinstyle="round"/>
                <v:imagedata o:title=""/>
                <o:lock v:ext="edit" aspectratio="f"/>
                <v:textbox>
                  <w:txbxContent>
                    <w:p>
                      <w:pPr>
                        <w:rPr>
                          <w:rFonts w:hint="default" w:eastAsia="宋体"/>
                          <w:color w:val="000000" w:themeColor="text1"/>
                          <w:sz w:val="13"/>
                          <w:szCs w:val="13"/>
                          <w:lang w:val="en-US" w:eastAsia="zh-CN"/>
                          <w14:textFill>
                            <w14:solidFill>
                              <w14:schemeClr w14:val="tx1"/>
                            </w14:solidFill>
                          </w14:textFill>
                        </w:rPr>
                      </w:pPr>
                      <w:r>
                        <w:rPr>
                          <w:rFonts w:hint="eastAsia"/>
                          <w:color w:val="000000" w:themeColor="text1"/>
                          <w:sz w:val="13"/>
                          <w:szCs w:val="13"/>
                          <w:lang w:val="en-US" w:eastAsia="zh-CN"/>
                          <w14:textFill>
                            <w14:solidFill>
                              <w14:schemeClr w14:val="tx1"/>
                            </w14:solidFill>
                          </w14:textFill>
                        </w:rPr>
                        <w:t>2018年收入</w:t>
                      </w:r>
                    </w:p>
                  </w:txbxContent>
                </v:textbox>
              </v:shape>
            </w:pict>
          </mc:Fallback>
        </mc:AlternateContent>
      </w:r>
    </w:p>
    <w:p>
      <w:pPr>
        <w:adjustRightInd w:val="0"/>
        <w:snapToGrid w:val="0"/>
        <w:spacing w:after="0" w:line="580" w:lineRule="exact"/>
        <w:ind w:firstLine="640" w:firstLineChars="200"/>
        <w:rPr>
          <w:rFonts w:ascii="仿宋_GB2312" w:eastAsia="仿宋_GB2312" w:cs="DengXian-Regular"/>
          <w:sz w:val="32"/>
          <w:szCs w:val="32"/>
        </w:rPr>
      </w:pPr>
      <w:r>
        <w:rPr>
          <w:sz w:val="32"/>
        </w:rPr>
        <mc:AlternateContent>
          <mc:Choice Requires="wps">
            <w:drawing>
              <wp:anchor distT="0" distB="0" distL="114300" distR="114300" simplePos="0" relativeHeight="251695104" behindDoc="1" locked="0" layoutInCell="1" allowOverlap="1">
                <wp:simplePos x="0" y="0"/>
                <wp:positionH relativeFrom="column">
                  <wp:posOffset>669925</wp:posOffset>
                </wp:positionH>
                <wp:positionV relativeFrom="paragraph">
                  <wp:posOffset>93980</wp:posOffset>
                </wp:positionV>
                <wp:extent cx="4204970" cy="535305"/>
                <wp:effectExtent l="0" t="0" r="5080" b="17145"/>
                <wp:wrapNone/>
                <wp:docPr id="66" name="文本框 66"/>
                <wp:cNvGraphicFramePr/>
                <a:graphic xmlns:a="http://schemas.openxmlformats.org/drawingml/2006/main">
                  <a:graphicData uri="http://schemas.microsoft.com/office/word/2010/wordprocessingShape">
                    <wps:wsp>
                      <wps:cNvSpPr txBox="1"/>
                      <wps:spPr>
                        <a:xfrm>
                          <a:off x="1671955" y="6582410"/>
                          <a:ext cx="4204970" cy="53530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2.75pt;margin-top:7.4pt;height:42.15pt;width:331.1pt;z-index:-251621376;mso-width-relative:page;mso-height-relative:page;" fillcolor="#FFFFFF [3201]" filled="t" stroked="f" coordsize="21600,21600" o:gfxdata="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3GzlQtQA&#10;AAAJAQAADwAAAAAAAAABACAAAAAiAAAAZHJzL2Rvd25yZXYueG1sUEsBAhQAFAAAAAgAh07iQKdH&#10;VmdcAgAAnQQAAA4AAAAAAAAAAQAgAAAAIwEAAGRycy9lMm9Eb2MueG1sUEsFBgAAAAAGAAYAWQEA&#10;APEFA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w:pict>
          </mc:Fallback>
        </mc:AlternateContent>
      </w:r>
    </w:p>
    <w:p>
      <w:pPr>
        <w:adjustRightInd w:val="0"/>
        <w:snapToGrid w:val="0"/>
        <w:spacing w:after="0" w:line="580" w:lineRule="exact"/>
        <w:ind w:firstLine="640" w:firstLineChars="200"/>
        <w:rPr>
          <w:rFonts w:ascii="仿宋_GB2312" w:eastAsia="仿宋_GB2312" w:cs="DengXian-Regular"/>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w:t>
      </w:r>
      <w:r>
        <w:rPr>
          <w:rFonts w:hint="eastAsia" w:ascii="仿宋_GB2312" w:eastAsia="仿宋_GB2312" w:cs="DengXian-Regular"/>
          <w:sz w:val="32"/>
          <w:szCs w:val="32"/>
          <w:lang w:val="en-US" w:eastAsia="zh-CN"/>
        </w:rPr>
        <w:t>2141.27</w:t>
      </w:r>
      <w:r>
        <w:rPr>
          <w:rFonts w:hint="eastAsia" w:ascii="仿宋_GB2312" w:eastAsia="仿宋_GB2312" w:cs="DengXian-Regular"/>
          <w:sz w:val="32"/>
          <w:szCs w:val="32"/>
        </w:rPr>
        <w:t>万元，完成年初预算的</w:t>
      </w:r>
      <w:r>
        <w:rPr>
          <w:rFonts w:hint="eastAsia" w:ascii="仿宋" w:hAnsi="仿宋" w:eastAsia="仿宋" w:cs="仿宋"/>
          <w:sz w:val="32"/>
          <w:szCs w:val="32"/>
          <w:lang w:val="en-US" w:eastAsia="zh-CN"/>
        </w:rPr>
        <w:t>19.17</w:t>
      </w:r>
      <w:r>
        <w:rPr>
          <w:rFonts w:hint="eastAsia" w:ascii="仿宋_GB2312" w:eastAsia="仿宋_GB2312" w:cs="DengXian-Regular"/>
          <w:sz w:val="32"/>
          <w:szCs w:val="32"/>
        </w:rPr>
        <w:t>%,比年初预算增加</w:t>
      </w:r>
      <w:r>
        <w:rPr>
          <w:rFonts w:hint="eastAsia" w:ascii="仿宋" w:hAnsi="仿宋" w:eastAsia="仿宋" w:cs="仿宋"/>
          <w:sz w:val="32"/>
          <w:szCs w:val="32"/>
          <w:lang w:val="en-US" w:eastAsia="zh-CN"/>
        </w:rPr>
        <w:t>344.49</w:t>
      </w:r>
      <w:r>
        <w:rPr>
          <w:rFonts w:hint="eastAsia" w:ascii="仿宋_GB2312" w:eastAsia="仿宋_GB2312" w:cs="DengXian-Regular"/>
          <w:sz w:val="32"/>
          <w:szCs w:val="32"/>
        </w:rPr>
        <w:t>万元，决算数大于预算数主要原因是</w:t>
      </w:r>
      <w:r>
        <w:rPr>
          <w:rFonts w:hint="eastAsia" w:ascii="仿宋_GB2312" w:eastAsia="仿宋_GB2312" w:cs="DengXian-Regular"/>
          <w:sz w:val="32"/>
          <w:szCs w:val="32"/>
          <w:lang w:eastAsia="zh-CN"/>
        </w:rPr>
        <w:t>人员工资、社保缴费增加，安保任务增多收支也相应增加</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2064.41</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14.89</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267.63</w:t>
      </w:r>
      <w:r>
        <w:rPr>
          <w:rFonts w:hint="eastAsia" w:ascii="仿宋_GB2312" w:eastAsia="仿宋_GB2312" w:cs="DengXian-Regular"/>
          <w:sz w:val="32"/>
          <w:szCs w:val="32"/>
        </w:rPr>
        <w:t>万元，决算数大于预算数主要原因是</w:t>
      </w:r>
      <w:r>
        <w:rPr>
          <w:rFonts w:hint="eastAsia" w:ascii="仿宋_GB2312" w:eastAsia="仿宋_GB2312" w:cs="DengXian-Regular"/>
          <w:sz w:val="32"/>
          <w:szCs w:val="32"/>
          <w:lang w:eastAsia="zh-CN"/>
        </w:rPr>
        <w:t>人员工资、社保缴费增加，安保任务增多收支也相应增加</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eastAsia="仿宋_GB2312" w:cs="DengXian-Regular"/>
          <w:sz w:val="32"/>
          <w:szCs w:val="32"/>
          <w:highlight w:val="yellow"/>
        </w:rPr>
      </w:pPr>
      <w:r>
        <w:rPr>
          <w:rFonts w:hint="eastAsia" w:ascii="仿宋_GB2312" w:eastAsia="仿宋_GB2312" w:cs="DengXian-Regular"/>
          <w:sz w:val="32"/>
          <w:szCs w:val="32"/>
          <w:highlight w:val="yellow"/>
          <w:lang w:eastAsia="zh-CN"/>
        </w:rPr>
        <w:drawing>
          <wp:anchor distT="0" distB="0" distL="114300" distR="114300" simplePos="0" relativeHeight="251698176" behindDoc="0" locked="0" layoutInCell="1" allowOverlap="1">
            <wp:simplePos x="0" y="0"/>
            <wp:positionH relativeFrom="column">
              <wp:posOffset>396240</wp:posOffset>
            </wp:positionH>
            <wp:positionV relativeFrom="paragraph">
              <wp:posOffset>268605</wp:posOffset>
            </wp:positionV>
            <wp:extent cx="5363210" cy="2559685"/>
            <wp:effectExtent l="4445" t="4445" r="23495" b="7620"/>
            <wp:wrapSquare wrapText="bothSides"/>
            <wp:docPr id="29" name="图表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pPr>
        <w:adjustRightInd w:val="0"/>
        <w:snapToGrid w:val="0"/>
        <w:spacing w:after="0" w:line="580" w:lineRule="exact"/>
        <w:ind w:firstLine="640" w:firstLineChars="200"/>
        <w:rPr>
          <w:rFonts w:hint="eastAsia" w:ascii="仿宋_GB2312" w:eastAsia="仿宋_GB2312" w:cs="DengXian-Regular"/>
          <w:sz w:val="32"/>
          <w:szCs w:val="32"/>
          <w:highlight w:val="yellow"/>
          <w:lang w:eastAsia="zh-CN"/>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w:t>
      </w:r>
      <w:r>
        <w:rPr>
          <w:rFonts w:hint="eastAsia" w:ascii="仿宋_GB2312" w:eastAsia="仿宋_GB2312" w:cs="DengXian-Regular"/>
          <w:sz w:val="32"/>
          <w:szCs w:val="32"/>
          <w:lang w:val="en-US" w:eastAsia="zh-CN"/>
        </w:rPr>
        <w:t>2064.41</w:t>
      </w:r>
      <w:r>
        <w:rPr>
          <w:rFonts w:hint="eastAsia" w:ascii="仿宋_GB2312" w:eastAsia="仿宋_GB2312" w:cs="DengXian-Regular"/>
          <w:sz w:val="32"/>
          <w:szCs w:val="32"/>
        </w:rPr>
        <w:t>万元，主要用于以下方面</w:t>
      </w:r>
      <w:r>
        <w:rPr>
          <w:rFonts w:hint="eastAsia" w:ascii="仿宋_GB2312" w:eastAsia="仿宋_GB2312" w:cs="DengXian-Regular"/>
          <w:sz w:val="32"/>
          <w:szCs w:val="32"/>
          <w:lang w:eastAsia="zh-CN"/>
        </w:rPr>
        <w:t>：</w:t>
      </w:r>
      <w:r>
        <w:rPr>
          <w:rFonts w:hint="eastAsia" w:ascii="仿宋_GB2312" w:eastAsia="仿宋_GB2312" w:cs="DengXian-Regular"/>
          <w:sz w:val="32"/>
          <w:szCs w:val="32"/>
        </w:rPr>
        <w:t>公共安全类（类）支出</w:t>
      </w:r>
      <w:r>
        <w:rPr>
          <w:rFonts w:hint="eastAsia" w:ascii="仿宋_GB2312" w:eastAsia="仿宋_GB2312" w:cs="DengXian-Regular"/>
          <w:sz w:val="32"/>
          <w:szCs w:val="32"/>
          <w:lang w:val="en-US" w:eastAsia="zh-CN"/>
        </w:rPr>
        <w:t>1672.16</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81</w:t>
      </w:r>
      <w:r>
        <w:rPr>
          <w:rFonts w:hint="eastAsia" w:ascii="仿宋_GB2312" w:eastAsia="仿宋_GB2312" w:cs="DengXian-Regular"/>
          <w:sz w:val="32"/>
          <w:szCs w:val="32"/>
        </w:rPr>
        <w:t xml:space="preserve">%；社会保障和就业（类）支出 </w:t>
      </w:r>
      <w:r>
        <w:rPr>
          <w:rFonts w:hint="eastAsia" w:ascii="仿宋_GB2312" w:eastAsia="仿宋_GB2312" w:cs="DengXian-Regular"/>
          <w:sz w:val="32"/>
          <w:szCs w:val="32"/>
          <w:lang w:val="en-US" w:eastAsia="zh-CN"/>
        </w:rPr>
        <w:t>167.42</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8.1</w:t>
      </w:r>
      <w:r>
        <w:rPr>
          <w:rFonts w:hint="eastAsia" w:ascii="仿宋_GB2312" w:eastAsia="仿宋_GB2312" w:cs="DengXian-Regular"/>
          <w:sz w:val="32"/>
          <w:szCs w:val="32"/>
        </w:rPr>
        <w:t>%；住房保障（类）支出</w:t>
      </w:r>
      <w:r>
        <w:rPr>
          <w:rFonts w:hint="eastAsia" w:ascii="仿宋" w:hAnsi="仿宋" w:eastAsia="仿宋" w:cs="仿宋"/>
          <w:sz w:val="32"/>
          <w:szCs w:val="32"/>
          <w:lang w:val="en-US" w:eastAsia="zh-CN"/>
        </w:rPr>
        <w:t>99</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4.8</w:t>
      </w:r>
      <w:r>
        <w:rPr>
          <w:rFonts w:hint="eastAsia" w:ascii="仿宋_GB2312" w:eastAsia="仿宋_GB2312" w:cs="DengXian-Regular"/>
          <w:sz w:val="32"/>
          <w:szCs w:val="32"/>
        </w:rPr>
        <w:t xml:space="preserve"> %;</w:t>
      </w:r>
      <w:r>
        <w:rPr>
          <w:rFonts w:hint="eastAsia" w:ascii="仿宋_GB2312" w:eastAsia="仿宋_GB2312" w:cs="DengXian-Regular"/>
          <w:sz w:val="32"/>
          <w:szCs w:val="32"/>
          <w:lang w:eastAsia="zh-CN"/>
        </w:rPr>
        <w:t>医疗卫生与计划生育支出</w:t>
      </w:r>
      <w:r>
        <w:rPr>
          <w:rFonts w:hint="eastAsia" w:ascii="仿宋_GB2312" w:eastAsia="仿宋_GB2312" w:cs="DengXian-Regular"/>
          <w:sz w:val="32"/>
          <w:szCs w:val="32"/>
          <w:lang w:val="en-US" w:eastAsia="zh-CN"/>
        </w:rPr>
        <w:t>125.83万元，占6.1%。</w:t>
      </w:r>
      <w:r>
        <w:rPr>
          <w:rFonts w:hint="eastAsia" w:ascii="仿宋_GB2312" w:eastAsia="仿宋_GB2312" w:cs="DengXian-Regular"/>
          <w:sz w:val="32"/>
          <w:szCs w:val="32"/>
        </w:rPr>
        <w:t>。</w:t>
      </w:r>
    </w:p>
    <w:p>
      <w:pPr>
        <w:adjustRightInd w:val="0"/>
        <w:snapToGrid w:val="0"/>
        <w:spacing w:after="0" w:line="580" w:lineRule="exact"/>
        <w:rPr>
          <w:rFonts w:hint="eastAsia" w:ascii="楷体_GB2312" w:eastAsia="楷体_GB2312" w:cs="DengXian-Bold"/>
          <w:b/>
          <w:bCs/>
          <w:sz w:val="32"/>
          <w:szCs w:val="32"/>
          <w:lang w:eastAsia="zh-CN"/>
        </w:rPr>
      </w:pPr>
      <w:r>
        <w:rPr>
          <w:rFonts w:hint="eastAsia" w:ascii="楷体_GB2312" w:eastAsia="楷体_GB2312" w:cs="DengXian-Bold"/>
          <w:b/>
          <w:bCs/>
          <w:sz w:val="32"/>
          <w:szCs w:val="32"/>
          <w:lang w:eastAsia="zh-CN"/>
        </w:rPr>
        <w:drawing>
          <wp:anchor distT="0" distB="0" distL="114300" distR="114300" simplePos="0" relativeHeight="251699200" behindDoc="0" locked="0" layoutInCell="1" allowOverlap="1">
            <wp:simplePos x="0" y="0"/>
            <wp:positionH relativeFrom="column">
              <wp:posOffset>1081405</wp:posOffset>
            </wp:positionH>
            <wp:positionV relativeFrom="paragraph">
              <wp:posOffset>267335</wp:posOffset>
            </wp:positionV>
            <wp:extent cx="3811905" cy="2580640"/>
            <wp:effectExtent l="4445" t="4445" r="12700" b="5715"/>
            <wp:wrapSquare wrapText="bothSides"/>
            <wp:docPr id="30" name="图表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sz w:val="44"/>
        </w:rPr>
        <mc:AlternateContent>
          <mc:Choice Requires="wpg">
            <w:drawing>
              <wp:anchor distT="0" distB="0" distL="114300" distR="114300" simplePos="0" relativeHeight="251685888"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9" name="组合 79"/>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5888;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qlURUIDAAA8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IqpVEV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hint="eastAsia" w:ascii="仿宋_GB2312" w:eastAsia="仿宋_GB2312" w:cs="DengXian-Regular"/>
          <w:sz w:val="32"/>
          <w:szCs w:val="32"/>
          <w:lang w:val="en-US" w:eastAsia="zh-CN"/>
        </w:rPr>
        <w:t>2064.41</w:t>
      </w:r>
      <w:r>
        <w:rPr>
          <w:rFonts w:hint="eastAsia" w:ascii="仿宋_GB2312" w:eastAsia="仿宋_GB2312" w:cs="DengXian-Regular"/>
          <w:sz w:val="32"/>
          <w:szCs w:val="32"/>
        </w:rPr>
        <w:t>万元，其中：人员经费</w:t>
      </w:r>
      <w:r>
        <w:rPr>
          <w:rFonts w:hint="eastAsia" w:ascii="仿宋_GB2312" w:eastAsia="仿宋_GB2312" w:cs="DengXian-Regular"/>
          <w:sz w:val="32"/>
          <w:szCs w:val="32"/>
          <w:lang w:val="en-US" w:eastAsia="zh-CN"/>
        </w:rPr>
        <w:t>1850.28</w:t>
      </w:r>
      <w:r>
        <w:rPr>
          <w:rFonts w:hint="eastAsia" w:ascii="仿宋_GB2312"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eastAsia="仿宋_GB2312" w:cs="DengXian-Regular"/>
          <w:sz w:val="32"/>
          <w:szCs w:val="32"/>
          <w:lang w:val="en-US" w:eastAsia="zh-CN"/>
        </w:rPr>
        <w:t>214.13</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_GB2312" w:eastAsia="仿宋_GB2312" w:cs="DengXian-Regular"/>
          <w:sz w:val="32"/>
          <w:szCs w:val="32"/>
          <w:lang w:val="en-US" w:eastAsia="zh-CN"/>
        </w:rPr>
        <w:t>2.63</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较年初预算减少</w:t>
      </w:r>
      <w:r>
        <w:rPr>
          <w:rFonts w:hint="eastAsia" w:ascii="仿宋_GB2312" w:eastAsia="仿宋_GB2312" w:cs="DengXian-Regular"/>
          <w:b/>
          <w:bCs/>
          <w:sz w:val="32"/>
          <w:szCs w:val="32"/>
          <w:lang w:val="en-US" w:eastAsia="zh-CN"/>
        </w:rPr>
        <w:t>0.07</w:t>
      </w:r>
      <w:r>
        <w:rPr>
          <w:rFonts w:hint="eastAsia" w:ascii="仿宋_GB2312" w:eastAsia="仿宋_GB2312" w:cs="DengXian-Regular"/>
          <w:b/>
          <w:bCs/>
          <w:sz w:val="32"/>
          <w:szCs w:val="32"/>
        </w:rPr>
        <w:t>万元，降低</w:t>
      </w:r>
      <w:r>
        <w:rPr>
          <w:rFonts w:hint="eastAsia" w:ascii="仿宋_GB2312" w:eastAsia="仿宋_GB2312" w:cs="DengXian-Regular"/>
          <w:b/>
          <w:bCs/>
          <w:sz w:val="32"/>
          <w:szCs w:val="32"/>
          <w:lang w:val="en-US" w:eastAsia="zh-CN"/>
        </w:rPr>
        <w:t>2.6</w:t>
      </w:r>
      <w:r>
        <w:rPr>
          <w:rFonts w:hint="eastAsia" w:ascii="仿宋_GB2312" w:eastAsia="仿宋_GB2312" w:cs="DengXian-Regular"/>
          <w:b/>
          <w:bCs/>
          <w:sz w:val="32"/>
          <w:szCs w:val="32"/>
        </w:rPr>
        <w:t>%，</w:t>
      </w:r>
      <w:r>
        <w:rPr>
          <w:rFonts w:hint="eastAsia" w:ascii="仿宋_GB2312" w:eastAsia="仿宋_GB2312" w:cs="DengXian-Regular"/>
          <w:sz w:val="32"/>
          <w:szCs w:val="32"/>
        </w:rPr>
        <w:t>主要是认真贯彻落实厉行节约要求，从严控制“三公”经费开支，全年实际支出比预算有所节约。具体情况如下：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86912"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2" name="组合 82"/>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691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61dlikA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DrV2WKQAMAADwJAAAOAAAAAAAAAAEAIAAAACo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人/无本单位组织的出国（境）团组。</w:t>
      </w:r>
      <w:r>
        <w:rPr>
          <w:rFonts w:hint="eastAsia" w:ascii="楷体_GB2312" w:eastAsia="楷体_GB2312" w:cs="DengXian-Bold"/>
          <w:b/>
          <w:bCs/>
          <w:sz w:val="32"/>
          <w:szCs w:val="32"/>
        </w:rPr>
        <w:t>（二）公务用车购置及运行维护费支出</w:t>
      </w:r>
      <w:r>
        <w:rPr>
          <w:rFonts w:hint="eastAsia" w:ascii="仿宋" w:hAnsi="仿宋" w:eastAsia="仿宋" w:cs="仿宋"/>
          <w:b/>
          <w:bCs/>
          <w:sz w:val="32"/>
          <w:szCs w:val="32"/>
          <w:lang w:val="en-US" w:eastAsia="zh-CN"/>
        </w:rPr>
        <w:t>2.63</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w:t>
      </w:r>
      <w:r>
        <w:rPr>
          <w:rFonts w:hint="eastAsia" w:ascii="仿宋_GB2312" w:eastAsia="仿宋_GB2312" w:cs="DengXian-Regular"/>
          <w:sz w:val="32"/>
          <w:szCs w:val="32"/>
          <w:lang w:val="en-US" w:eastAsia="zh-CN"/>
        </w:rPr>
        <w:t>0.07</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2.6</w:t>
      </w:r>
      <w:r>
        <w:rPr>
          <w:rFonts w:hint="eastAsia" w:ascii="仿宋_GB2312" w:eastAsia="仿宋_GB2312" w:cs="DengXian-Regular"/>
          <w:sz w:val="32"/>
          <w:szCs w:val="32"/>
        </w:rPr>
        <w:t>%,主要是认真贯彻落实厉行节约要求，从严控制“三公”经费开支，全年实际支出比预算有所节约。</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color w:val="000000" w:themeColor="text1"/>
          <w:sz w:val="32"/>
          <w:szCs w:val="32"/>
          <w14:textFill>
            <w14:solidFill>
              <w14:schemeClr w14:val="tx1"/>
            </w14:solidFill>
          </w14:textFill>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辆，发生“公务用车购置”经费支出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未发生公务用车购置经费支出</w:t>
      </w:r>
      <w:r>
        <w:rPr>
          <w:rFonts w:hint="eastAsia" w:ascii="仿宋_GB2312" w:eastAsia="仿宋_GB2312" w:cs="DengXian-Regular"/>
          <w:color w:val="000000" w:themeColor="text1"/>
          <w:sz w:val="32"/>
          <w:szCs w:val="32"/>
          <w14:textFill>
            <w14:solidFill>
              <w14:schemeClr w14:val="tx1"/>
            </w14:solidFill>
          </w14:textFill>
        </w:rPr>
        <w:t>。</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辆。公车运行维护费支出较年初预算减少</w:t>
      </w:r>
      <w:r>
        <w:rPr>
          <w:rFonts w:hint="eastAsia" w:ascii="仿宋_GB2312" w:eastAsia="仿宋_GB2312" w:cs="DengXian-Regular"/>
          <w:sz w:val="32"/>
          <w:szCs w:val="32"/>
          <w:lang w:val="en-US" w:eastAsia="zh-CN"/>
        </w:rPr>
        <w:t>0.07</w:t>
      </w:r>
      <w:r>
        <w:rPr>
          <w:rFonts w:hint="eastAsia" w:ascii="仿宋_GB2312" w:eastAsia="仿宋_GB2312" w:cs="DengXian-Regular"/>
          <w:sz w:val="32"/>
          <w:szCs w:val="32"/>
        </w:rPr>
        <w:t>万元，增长降低</w:t>
      </w:r>
      <w:r>
        <w:rPr>
          <w:rFonts w:hint="eastAsia" w:ascii="仿宋_GB2312" w:eastAsia="仿宋_GB2312" w:cs="DengXian-Regular"/>
          <w:sz w:val="32"/>
          <w:szCs w:val="32"/>
          <w:lang w:val="en-US" w:eastAsia="zh-CN"/>
        </w:rPr>
        <w:t>2.6</w:t>
      </w:r>
      <w:r>
        <w:rPr>
          <w:rFonts w:hint="eastAsia" w:ascii="仿宋_GB2312" w:eastAsia="仿宋_GB2312" w:cs="DengXian-Regular"/>
          <w:sz w:val="32"/>
          <w:szCs w:val="32"/>
        </w:rPr>
        <w:t>%,主要是认真贯彻落实</w:t>
      </w:r>
      <w:bookmarkStart w:id="0" w:name="_GoBack"/>
      <w:bookmarkEnd w:id="0"/>
      <w:r>
        <w:rPr>
          <w:rFonts w:hint="eastAsia" w:ascii="仿宋_GB2312" w:eastAsia="仿宋_GB2312" w:cs="DengXian-Regular"/>
          <w:sz w:val="32"/>
          <w:szCs w:val="32"/>
        </w:rPr>
        <w:t>厉行节约要求，从严控制“三公”经费开支，全年实际支出比预算有所节约。</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sz w:val="44"/>
        </w:rPr>
        <mc:AlternateContent>
          <mc:Choice Requires="wpg">
            <w:drawing>
              <wp:anchor distT="0" distB="0" distL="114300" distR="114300" simplePos="0" relativeHeight="251687936"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5"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793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GOEJf9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本部门2018年度公务接待共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人次。</w:t>
      </w:r>
      <w:r>
        <w:rPr>
          <w:rFonts w:hint="eastAsia" w:ascii="仿宋_GB2312" w:eastAsia="仿宋_GB2312" w:cs="DengXian-Regular"/>
          <w:sz w:val="32"/>
          <w:szCs w:val="32"/>
          <w:lang w:eastAsia="zh-CN"/>
        </w:rPr>
        <w:t>未发生公务接待经费支出</w:t>
      </w:r>
      <w:r>
        <w:rPr>
          <w:rFonts w:hint="eastAsia" w:ascii="仿宋_GB2312" w:eastAsia="仿宋_GB2312" w:cs="DengXian-Regular"/>
          <w:sz w:val="32"/>
          <w:szCs w:val="32"/>
        </w:rPr>
        <w:t>。</w:t>
      </w:r>
    </w:p>
    <w:p>
      <w:pPr>
        <w:pStyle w:val="3"/>
        <w:spacing w:before="0" w:after="0" w:line="500" w:lineRule="exact"/>
        <w:ind w:firstLine="643" w:firstLineChars="200"/>
        <w:rPr>
          <w:rFonts w:ascii="黑体" w:eastAsia="黑体" w:cs="Times New Roman"/>
          <w:shd w:val="pct10" w:color="auto" w:fill="FFFFFF"/>
        </w:rPr>
      </w:pPr>
      <w:r>
        <w:rPr>
          <w:rFonts w:hint="eastAsia" w:ascii="黑体" w:eastAsia="黑体"/>
          <w:szCs w:val="40"/>
        </w:rPr>
        <w:t>六、</w:t>
      </w:r>
      <w:r>
        <w:rPr>
          <w:rFonts w:hint="eastAsia" w:ascii="黑体" w:eastAsia="黑体" w:cs="Times New Roman"/>
          <w:shd w:val="pct10" w:color="auto" w:fill="FFFFFF"/>
        </w:rPr>
        <w:t>绩效预算情况说明</w:t>
      </w:r>
    </w:p>
    <w:p>
      <w:pPr>
        <w:adjustRightInd w:val="0"/>
        <w:snapToGrid w:val="0"/>
        <w:spacing w:after="0" w:line="500" w:lineRule="exact"/>
        <w:ind w:firstLine="640" w:firstLineChars="200"/>
        <w:rPr>
          <w:rFonts w:ascii="仿宋_GB2312" w:eastAsia="仿宋_GB2312" w:cs="DengXian-Regular"/>
          <w:color w:val="FF0000"/>
          <w:sz w:val="32"/>
          <w:szCs w:val="32"/>
          <w:shd w:val="pct10" w:color="auto" w:fill="FFFFFF"/>
        </w:rPr>
      </w:pPr>
      <w:r>
        <w:rPr>
          <w:rFonts w:hint="eastAsia" w:ascii="仿宋_GB2312" w:eastAsia="仿宋_GB2312" w:cs="DengXian-Regular"/>
          <w:sz w:val="32"/>
          <w:szCs w:val="32"/>
          <w:shd w:val="pct10" w:color="auto" w:fill="FFFFFF"/>
        </w:rPr>
        <w:t>（一）绩效管理工作开展情况根据《关于开展2018年度财政专项资金部门绩效自评价工作的通知》（石财绩</w:t>
      </w:r>
      <w:r>
        <w:rPr>
          <w:rFonts w:hint="eastAsia" w:ascii="宋体" w:hAnsi="宋体" w:cs="宋体"/>
          <w:sz w:val="32"/>
          <w:szCs w:val="32"/>
          <w:shd w:val="pct10" w:color="auto" w:fill="FFFFFF"/>
        </w:rPr>
        <w:t>[2019]</w:t>
      </w:r>
      <w:r>
        <w:rPr>
          <w:rFonts w:hint="eastAsia" w:ascii="仿宋_GB2312" w:eastAsia="仿宋_GB2312" w:cs="DengXian-Regular"/>
          <w:sz w:val="32"/>
          <w:szCs w:val="32"/>
          <w:shd w:val="pct10" w:color="auto" w:fill="FFFFFF"/>
        </w:rPr>
        <w:t>1号），本单位认真开展了预算绩效管理改革开展情况自查，对部门全面规范绩效预算编制、严格预算执行管理、推进绩效评价工作、推进预决算信息公开等方面进行了自评，考核结果为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color w:val="FF0000"/>
          <w:sz w:val="32"/>
          <w:szCs w:val="32"/>
          <w:shd w:val="pct10" w:color="auto" w:fill="FFFFFF"/>
        </w:rPr>
        <w:t>良好。</w:t>
      </w:r>
    </w:p>
    <w:p>
      <w:pPr>
        <w:adjustRightInd w:val="0"/>
        <w:snapToGrid w:val="0"/>
        <w:spacing w:after="0" w:line="50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sz w:val="32"/>
          <w:szCs w:val="32"/>
          <w:shd w:val="pct10" w:color="auto" w:fill="FFFFFF"/>
        </w:rPr>
        <w:t>本单位无民生项目和重点支出项目。</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lang w:eastAsia="zh-CN"/>
        </w:rPr>
        <w:t>无机关运行经费</w:t>
      </w:r>
      <w:r>
        <w:rPr>
          <w:sz w:val="44"/>
        </w:rPr>
        <mc:AlternateContent>
          <mc:Choice Requires="wpg">
            <w:drawing>
              <wp:anchor distT="0" distB="0" distL="114300" distR="114300" simplePos="0" relativeHeight="251688960"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8" name="组合 88"/>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896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BJ+ys7bAAAACwEAAA8AAAAAAAAAAQAgAAAAIgAAAGRycy9kb3ducmV2LnhtbFBLAQIU&#10;ABQAAAAIAIdO4kAWmu5kRgMAADwJAAAOAAAAAAAAAAEAIAAAACoBAABkcnMvZTJvRG9jLnhtbFBL&#10;BQYAAAAABgAGAFkBAADi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lHyIMb4AAADb&#10;AAAADwAAAGRycy9kb3ducmV2LnhtbEWPzWsCMRTE7wX/h/AEbzVZwY9ujR5EsXhqVfD63Lzubnfz&#10;siTxo/+9KRQ8DjPzG2a+vNtWXMmH2rGGbKhAEBfO1FxqOB42rzMQISIbbB2Thl8KsFz0XuaYG3fj&#10;L7ruYykShEOOGqoYu1zKUFRkMQxdR5y8b+ctxiR9KY3HW4LbVo6UmkiLNaeFCjtaVVQ0+4vV0Byn&#10;n7VabX9Ou2Yy9uvsPB37s9aDfqbeQUS6x2f4v/1hNMze4O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HyIM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CTbzR7gAAADb&#10;AAAADwAAAGRycy9kb3ducmV2LnhtbEVPy4rCMBTdC/MP4Q6408RZaKeaFkZQXPoct5fm2habm5LE&#10;19+bxcAsD+e9KJ+2E3fyoXWsYTJWIIgrZ1quNRwPq1EGIkRkg51j0vCiAGXxMVhgbtyDd3Tfx1qk&#10;EA45amhi7HMpQ9WQxTB2PXHiLs5bjAn6WhqPjxRuO/ml1FRabDk1NNjTsqHqur9ZDdPtz9JVh2z9&#10;68+t2rrb6pXNTloPPydqDiLSM/6L/9wbo+E7rU9f0g+Qx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CTbzR7gAAADbAAAA&#10;DwAAAAAAAAABACAAAAAiAAAAZHJzL2Rvd25yZXYueG1sUEsBAhQAFAAAAAgAh07iQDMvBZ47AAAA&#10;OQAAABAAAAAAAAAAAQAgAAAABwEAAGRycy9zaGFwZXhtbC54bWxQSwUGAAAAAAYABgBbAQAAsQMA&#10;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截至2018年12月31日，本部门共有车辆</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与上年持平，无增减变化。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w:t>
      </w:r>
      <w:r>
        <w:rPr>
          <w:rFonts w:hint="eastAsia" w:ascii="仿宋_GB2312" w:eastAsia="仿宋_GB2312" w:cs="DengXian-Regular"/>
          <w:sz w:val="32"/>
          <w:szCs w:val="32"/>
          <w:lang w:eastAsia="zh-CN"/>
        </w:rPr>
        <w:t>政府性基金预算、国有资本经营预算</w:t>
      </w:r>
      <w:r>
        <w:rPr>
          <w:rFonts w:hint="eastAsia" w:ascii="仿宋_GB2312" w:eastAsia="仿宋_GB2312" w:cs="DengXian-Regular"/>
          <w:sz w:val="32"/>
          <w:szCs w:val="32"/>
        </w:rPr>
        <w:t>无收支及结转结余情况，故</w:t>
      </w:r>
      <w:r>
        <w:rPr>
          <w:rFonts w:hint="eastAsia" w:ascii="仿宋_GB2312" w:eastAsia="仿宋_GB2312" w:cs="DengXian-Regular"/>
          <w:sz w:val="32"/>
          <w:szCs w:val="32"/>
          <w:lang w:eastAsia="zh-CN"/>
        </w:rPr>
        <w:t>政府性基金预算财政拨款收入支出决算表、国有资本经营预算拨款支出决算</w:t>
      </w:r>
      <w:r>
        <w:rPr>
          <w:rFonts w:hint="eastAsia" w:ascii="仿宋_GB2312" w:eastAsia="仿宋_GB2312" w:cs="DengXian-Regular"/>
          <w:sz w:val="32"/>
          <w:szCs w:val="32"/>
        </w:rPr>
        <w:t>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114300" distR="114300" simplePos="0" relativeHeight="251689984"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91" name="组合 91"/>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9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998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z6gAj4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AAAAAZHJzL1BLAQIUABQAAAAIAIdO4kAS&#10;fsrO2wAAAAsBAAAPAAAAAAAAAAEAIAAAACIAAABkcnMvZG93bnJldi54bWxQSwECFAAUAAAACACH&#10;TuJAvz6gAj4DAAA8CQAADgAAAAAAAAABACAAAAAqAQAAZHJzL2Uyb0RvYy54bWxQSwUGAAAAAAYA&#10;BgBZAQAA2g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7456"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M0wAiT4CAABp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uNhBDEUG6XQr/o9spWptgDmzDAb3vKrFsmvmQ+3zGEYUDDWJdzgqKVBErOXKGmM+/Yv&#10;ffRHj2ClpMNwldR/XTMnKJEfNLr3dnQaeQjpcjqeFLi4x5bVY4teqwuD+R1hMS1PYvQP8iDWzqgv&#10;2KpFzAoT0xy5SxoO4kUYRh5bycVikZwwf5aFa720PIYe6Fysg6nbxHSkaeBmzx4mMDVgvy1xxB/f&#10;k9fDH2L+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NlmnozeAAAADQEAAA8AAAAAAAAAAQAgAAAA&#10;IgAAAGRycy9kb3ducmV2LnhtbFBLAQIUABQAAAAIAIdO4kAzTACJPgIAAGkEAAAOAAAAAAAAAAEA&#10;IAAAAC0BAABkcnMvZTJvRG9jLnhtbFBLBQYAAAAABgAGAFkBAADd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v:textbox>
              </v:shape>
            </w:pict>
          </mc:Fallback>
        </mc:AlternateConten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71552"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49" name="组合 149"/>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1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1552;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7ZytUMDAABA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IWM/JvbAAAACwEAAA8AAAAAAAAAAQAgAAAAIgAAAGRycy9kb3ducmV2LnhtbFBLAQIUABQA&#10;AAAIAIdO4kDjtnK1QwMAAEAJAAAOAAAAAAAAAAEAIAAAACo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91008"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4" name="组合 94"/>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91008;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Yz8m9sAAAALAQAADwAAAAAAAAABACAAAAAiAAAAZHJzL2Rvd25yZXYueG1sUEsBAhQA&#10;FAAAAAgAh07iQGz6TMFFAwAAPAkAAA4AAAAAAAAAAQAgAAAAKg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92032"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7" name="组合 97"/>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92032;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hYz8m9sAAAALAQAADwAAAAAAAAABACAAAAAiAAAAZHJzL2Rvd25yZXYueG1sUEsBAhQAFAAA&#10;AAgAh07iQKt72zh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950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5229A66B-C476-4634-9EB7-3B1B131FCC0B}"/>
  </w:font>
  <w:font w:name="黑体">
    <w:panose1 w:val="02010609060101010101"/>
    <w:charset w:val="86"/>
    <w:family w:val="auto"/>
    <w:pitch w:val="default"/>
    <w:sig w:usb0="800002BF" w:usb1="38CF7CFA" w:usb2="00000016" w:usb3="00000000" w:csb0="00040001" w:csb1="00000000"/>
    <w:embedRegular r:id="rId2" w:fontKey="{58B49E87-72B2-4736-B9F6-A19CA1BA3E81}"/>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Cambria">
    <w:panose1 w:val="02040503050406030204"/>
    <w:charset w:val="00"/>
    <w:family w:val="roman"/>
    <w:pitch w:val="default"/>
    <w:sig w:usb0="A00002EF" w:usb1="4000004B" w:usb2="00000000" w:usb3="00000000" w:csb0="2000009F" w:csb1="00000000"/>
    <w:embedRegular r:id="rId3" w:fontKey="{094A5A46-C47D-43EF-89CB-55A9BA51CCF9}"/>
  </w:font>
  <w:font w:name="楷体">
    <w:panose1 w:val="02010609060101010101"/>
    <w:charset w:val="86"/>
    <w:family w:val="modern"/>
    <w:pitch w:val="default"/>
    <w:sig w:usb0="800002BF" w:usb1="38CF7CFA" w:usb2="00000016" w:usb3="00000000" w:csb0="00040001" w:csb1="00000000"/>
    <w:embedRegular r:id="rId4" w:fontKey="{E0BB5134-C2E0-42EA-8B38-59476F5A506F}"/>
  </w:font>
  <w:font w:name="楷体_GB2312">
    <w:panose1 w:val="02010609030101010101"/>
    <w:charset w:val="86"/>
    <w:family w:val="modern"/>
    <w:pitch w:val="default"/>
    <w:sig w:usb0="00000001" w:usb1="080E0000" w:usb2="00000000" w:usb3="00000000" w:csb0="00040000" w:csb1="00000000"/>
    <w:embedRegular r:id="rId5" w:fontKey="{1C6D2BF0-B647-4CD0-956C-18A5FC4F8556}"/>
  </w:font>
  <w:font w:name="仿宋_GB2312">
    <w:panose1 w:val="02010609030101010101"/>
    <w:charset w:val="86"/>
    <w:family w:val="modern"/>
    <w:pitch w:val="default"/>
    <w:sig w:usb0="00000001" w:usb1="080E0000" w:usb2="00000000" w:usb3="00000000" w:csb0="00040000" w:csb1="00000000"/>
    <w:embedRegular r:id="rId6" w:fontKey="{F6801DAF-DA6E-4045-8078-7D95369227F8}"/>
  </w:font>
  <w:font w:name="ArialUnicodeMS">
    <w:altName w:val="Malgun Gothic"/>
    <w:panose1 w:val="00000000000000000000"/>
    <w:charset w:val="81"/>
    <w:family w:val="auto"/>
    <w:pitch w:val="default"/>
    <w:sig w:usb0="00000000" w:usb1="00000000" w:usb2="00000010" w:usb3="00000000" w:csb0="00080001" w:csb1="00000000"/>
    <w:embedRegular r:id="rId7" w:fontKey="{9C3C33F7-B7DB-4E27-8418-3C2C52A3A7E2}"/>
  </w:font>
  <w:font w:name="仿宋">
    <w:panose1 w:val="02010609060101010101"/>
    <w:charset w:val="86"/>
    <w:family w:val="modern"/>
    <w:pitch w:val="default"/>
    <w:sig w:usb0="800002BF" w:usb1="38CF7CFA" w:usb2="00000016" w:usb3="00000000" w:csb0="00040001" w:csb1="00000000"/>
    <w:embedRegular r:id="rId8" w:fontKey="{FE4BF80C-502E-45E6-9DC5-89989F485023}"/>
  </w:font>
  <w:font w:name="MS-UIGothic,Bold">
    <w:altName w:val="Malgun Gothic"/>
    <w:panose1 w:val="00000000000000000000"/>
    <w:charset w:val="81"/>
    <w:family w:val="auto"/>
    <w:pitch w:val="default"/>
    <w:sig w:usb0="00000000" w:usb1="00000000" w:usb2="00000010" w:usb3="00000000" w:csb0="00080000" w:csb1="00000000"/>
    <w:embedRegular r:id="rId9" w:fontKey="{4148B298-78EE-42A0-BB4B-E5D7D0458B5B}"/>
  </w:font>
  <w:font w:name="DengXian-Regular">
    <w:altName w:val="宋体"/>
    <w:panose1 w:val="00000000000000000000"/>
    <w:charset w:val="86"/>
    <w:family w:val="auto"/>
    <w:pitch w:val="default"/>
    <w:sig w:usb0="00000000" w:usb1="00000000" w:usb2="00000010" w:usb3="00000000" w:csb0="00040001" w:csb1="00000000"/>
    <w:embedRegular r:id="rId10" w:fontKey="{75A20820-CA67-4A3B-8A63-85ED5928A111}"/>
  </w:font>
  <w:font w:name="DengXian-Bold">
    <w:altName w:val="宋体"/>
    <w:panose1 w:val="00000000000000000000"/>
    <w:charset w:val="86"/>
    <w:family w:val="auto"/>
    <w:pitch w:val="default"/>
    <w:sig w:usb0="00000000" w:usb1="00000000" w:usb2="00000010" w:usb3="00000000" w:csb0="00040001" w:csb1="00000000"/>
    <w:embedRegular r:id="rId11" w:fontKey="{2B2F3666-9980-419E-ADD8-0ECC90BE57B5}"/>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AxMDdlMzlmZGI0MGQwYjk1M2IwMTVlZGMwNjE1NjkifQ=="/>
  </w:docVars>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C32BA"/>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E5500"/>
    <w:rsid w:val="007F055B"/>
    <w:rsid w:val="0080644C"/>
    <w:rsid w:val="00811C2F"/>
    <w:rsid w:val="00833D46"/>
    <w:rsid w:val="00840A97"/>
    <w:rsid w:val="008C0149"/>
    <w:rsid w:val="008D5DED"/>
    <w:rsid w:val="008E25CA"/>
    <w:rsid w:val="008F34FC"/>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56722"/>
    <w:rsid w:val="00B74D39"/>
    <w:rsid w:val="00B91DA4"/>
    <w:rsid w:val="00C12630"/>
    <w:rsid w:val="00C34562"/>
    <w:rsid w:val="00C3774E"/>
    <w:rsid w:val="00C57456"/>
    <w:rsid w:val="00C65387"/>
    <w:rsid w:val="00C87FAB"/>
    <w:rsid w:val="00C91FF7"/>
    <w:rsid w:val="00C94E53"/>
    <w:rsid w:val="00D0048E"/>
    <w:rsid w:val="00D23E7A"/>
    <w:rsid w:val="00D61063"/>
    <w:rsid w:val="00DB35AF"/>
    <w:rsid w:val="00DD72D7"/>
    <w:rsid w:val="00DF5B88"/>
    <w:rsid w:val="00E0589E"/>
    <w:rsid w:val="00E241FA"/>
    <w:rsid w:val="00E2595E"/>
    <w:rsid w:val="00E35374"/>
    <w:rsid w:val="00E50C19"/>
    <w:rsid w:val="00E64655"/>
    <w:rsid w:val="00E73081"/>
    <w:rsid w:val="00E856C9"/>
    <w:rsid w:val="00EB6A8B"/>
    <w:rsid w:val="00EF38C6"/>
    <w:rsid w:val="00F679C7"/>
    <w:rsid w:val="00F7711A"/>
    <w:rsid w:val="00FA0D58"/>
    <w:rsid w:val="00FA56F4"/>
    <w:rsid w:val="00FB4EDA"/>
    <w:rsid w:val="00FD3BD5"/>
    <w:rsid w:val="00FE3DC8"/>
    <w:rsid w:val="030B730C"/>
    <w:rsid w:val="04073F84"/>
    <w:rsid w:val="05732601"/>
    <w:rsid w:val="0B60750A"/>
    <w:rsid w:val="10686488"/>
    <w:rsid w:val="10DF728A"/>
    <w:rsid w:val="1264200E"/>
    <w:rsid w:val="13E427FF"/>
    <w:rsid w:val="141C5B77"/>
    <w:rsid w:val="18D8339D"/>
    <w:rsid w:val="1A21388F"/>
    <w:rsid w:val="1A570D2F"/>
    <w:rsid w:val="28FB0B8D"/>
    <w:rsid w:val="290B22F8"/>
    <w:rsid w:val="29830A31"/>
    <w:rsid w:val="2A9870FC"/>
    <w:rsid w:val="2D2B7942"/>
    <w:rsid w:val="2D46481D"/>
    <w:rsid w:val="2E733B28"/>
    <w:rsid w:val="2F11660C"/>
    <w:rsid w:val="316B5B7E"/>
    <w:rsid w:val="31852B5A"/>
    <w:rsid w:val="32AC3288"/>
    <w:rsid w:val="32D01238"/>
    <w:rsid w:val="33220176"/>
    <w:rsid w:val="33E2644E"/>
    <w:rsid w:val="3BC3487A"/>
    <w:rsid w:val="3DFC59A8"/>
    <w:rsid w:val="3ECF245E"/>
    <w:rsid w:val="3FB96314"/>
    <w:rsid w:val="462B452C"/>
    <w:rsid w:val="479C0D03"/>
    <w:rsid w:val="4FD63E7E"/>
    <w:rsid w:val="53A44FAF"/>
    <w:rsid w:val="545A5C58"/>
    <w:rsid w:val="55B97677"/>
    <w:rsid w:val="58873E3B"/>
    <w:rsid w:val="594329EC"/>
    <w:rsid w:val="59A87E4C"/>
    <w:rsid w:val="5B1E5CEE"/>
    <w:rsid w:val="5BBF2BE5"/>
    <w:rsid w:val="5BEE1540"/>
    <w:rsid w:val="5DA06F59"/>
    <w:rsid w:val="5DE61A5D"/>
    <w:rsid w:val="5E143E1A"/>
    <w:rsid w:val="62DF464F"/>
    <w:rsid w:val="63C04243"/>
    <w:rsid w:val="649C01C7"/>
    <w:rsid w:val="678D5486"/>
    <w:rsid w:val="699A3F60"/>
    <w:rsid w:val="69C94B40"/>
    <w:rsid w:val="72902E62"/>
    <w:rsid w:val="73C61104"/>
    <w:rsid w:val="75762883"/>
    <w:rsid w:val="776452EA"/>
    <w:rsid w:val="7C922992"/>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3.jpeg"/><Relationship Id="rId12" Type="http://schemas.openxmlformats.org/officeDocument/2006/relationships/chart" Target="charts/chart5.xml"/><Relationship Id="rId11" Type="http://schemas.openxmlformats.org/officeDocument/2006/relationships/chart" Target="charts/chart4.xml"/><Relationship Id="rId10" Type="http://schemas.openxmlformats.org/officeDocument/2006/relationships/chart" Target="charts/chart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cap="all" spc="50" baseline="0">
                <a:solidFill>
                  <a:schemeClr val="tx1">
                    <a:lumMod val="65000"/>
                    <a:lumOff val="35000"/>
                  </a:schemeClr>
                </a:solidFill>
                <a:latin typeface="+mn-lt"/>
                <a:ea typeface="+mn-ea"/>
                <a:cs typeface="+mn-cs"/>
              </a:defRPr>
            </a:pPr>
            <a:r>
              <a:t>财政拨款</a:t>
            </a:r>
          </a:p>
        </c:rich>
      </c:tx>
      <c:layout/>
      <c:overlay val="0"/>
      <c:spPr>
        <a:noFill/>
        <a:ln>
          <a:noFill/>
        </a:ln>
        <a:effectLst/>
      </c:spPr>
    </c:title>
    <c:autoTitleDeleted val="0"/>
    <c:plotArea>
      <c:layout>
        <c:manualLayout>
          <c:layoutTarget val="inner"/>
          <c:xMode val="edge"/>
          <c:yMode val="edge"/>
          <c:x val="0.247296825950471"/>
          <c:y val="0.159011328527291"/>
          <c:w val="0.450296477153819"/>
          <c:h val="0.79773429454171"/>
        </c:manualLayout>
      </c:layout>
      <c:pieChart>
        <c:varyColors val="1"/>
        <c:ser>
          <c:idx val="0"/>
          <c:order val="0"/>
          <c:tx>
            <c:strRef>
              <c:f>Sheet1!$B$1</c:f>
              <c:strCache>
                <c:ptCount val="1"/>
                <c:pt idx="0">
                  <c:v>销售额</c:v>
                </c:pt>
              </c:strCache>
            </c:strRef>
          </c:tx>
          <c:spPr>
            <a:ln w="28575" cmpd="sng">
              <a:solidFill>
                <a:schemeClr val="accent1"/>
              </a:solidFill>
              <a:prstDash val="solid"/>
            </a:ln>
          </c:spPr>
          <c:explosion val="0"/>
          <c:dPt>
            <c:idx val="0"/>
            <c:bubble3D val="0"/>
            <c:spPr>
              <a:solidFill>
                <a:schemeClr val="accent1"/>
              </a:solidFill>
              <a:ln w="28575" cmpd="sng">
                <a:solidFill>
                  <a:schemeClr val="accent1"/>
                </a:solidFill>
                <a:prstDash val="solid"/>
              </a:ln>
              <a:effectLst/>
            </c:spPr>
          </c:dPt>
          <c:dPt>
            <c:idx val="1"/>
            <c:bubble3D val="0"/>
            <c:explosion val="0"/>
            <c:spPr>
              <a:solidFill>
                <a:schemeClr val="accent1"/>
              </a:solidFill>
              <a:ln w="28575" cmpd="sng">
                <a:solidFill>
                  <a:schemeClr val="accent1"/>
                </a:solidFill>
                <a:prstDash val="solid"/>
              </a:ln>
              <a:effectLst/>
            </c:spPr>
          </c:dPt>
          <c:dPt>
            <c:idx val="2"/>
            <c:bubble3D val="0"/>
            <c:spPr>
              <a:solidFill>
                <a:schemeClr val="accent1"/>
              </a:solidFill>
              <a:ln w="28575" cmpd="sng">
                <a:solidFill>
                  <a:schemeClr val="accent1"/>
                </a:solidFill>
                <a:prstDash val="solid"/>
              </a:ln>
              <a:effectLst/>
            </c:spPr>
          </c:dPt>
          <c:dPt>
            <c:idx val="3"/>
            <c:bubble3D val="0"/>
            <c:spPr>
              <a:solidFill>
                <a:schemeClr val="accent1"/>
              </a:solidFill>
              <a:ln w="28575" cmpd="sng">
                <a:solidFill>
                  <a:schemeClr val="accent1"/>
                </a:solidFill>
                <a:prstDash val="solid"/>
              </a:ln>
              <a:effectLst/>
            </c:spPr>
          </c:dPt>
          <c:dLbls>
            <c:delete val="1"/>
          </c:dLbls>
          <c:cat>
            <c:numRef>
              <c:f>Sheet1!$A$2:$A$5</c:f>
              <c:numCache>
                <c:ptCount val="0"/>
              </c:numCache>
            </c:numRef>
          </c:cat>
          <c:val>
            <c:numRef>
              <c:f>Sheet1!$B$2:$B$5</c:f>
              <c:numCache>
                <c:formatCode>General</c:formatCode>
                <c:ptCount val="4"/>
                <c:pt idx="0">
                  <c:v>8.2</c:v>
                </c:pt>
                <c:pt idx="1">
                  <c:v>3.2</c:v>
                </c:pt>
                <c:pt idx="2">
                  <c:v>1.4</c:v>
                </c:pt>
                <c:pt idx="3">
                  <c:v>1.2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egendEntry>
        <c:idx val="1"/>
        <c:delete val="1"/>
      </c:legendEntry>
      <c:legendEntry>
        <c:idx val="2"/>
        <c:delete val="1"/>
      </c:legendEntry>
      <c:legendEntry>
        <c:idx val="3"/>
        <c:delete val="1"/>
      </c:legendEntry>
      <c:layout>
        <c:manualLayout>
          <c:xMode val="edge"/>
          <c:yMode val="edge"/>
          <c:x val="0.941518428089757"/>
          <c:y val="0.477754891864058"/>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cap="all" spc="50" baseline="0">
                <a:solidFill>
                  <a:schemeClr val="tx1">
                    <a:lumMod val="65000"/>
                    <a:lumOff val="35000"/>
                  </a:schemeClr>
                </a:solidFill>
                <a:latin typeface="+mn-lt"/>
                <a:ea typeface="+mn-ea"/>
                <a:cs typeface="+mn-cs"/>
              </a:defRPr>
            </a:pPr>
            <a:r>
              <a:t>基本支出</a:t>
            </a:r>
          </a:p>
        </c:rich>
      </c:tx>
      <c:layout/>
      <c:overlay val="0"/>
      <c:spPr>
        <a:noFill/>
        <a:ln>
          <a:noFill/>
        </a:ln>
        <a:effectLst/>
      </c:spPr>
    </c:title>
    <c:autoTitleDeleted val="0"/>
    <c:plotArea>
      <c:layout>
        <c:manualLayout>
          <c:layoutTarget val="inner"/>
          <c:xMode val="edge"/>
          <c:yMode val="edge"/>
          <c:x val="0.247296825950471"/>
          <c:y val="0.159011328527291"/>
          <c:w val="0.450296477153819"/>
          <c:h val="0.79773429454171"/>
        </c:manualLayout>
      </c:layout>
      <c:pieChart>
        <c:varyColors val="1"/>
        <c:ser>
          <c:idx val="0"/>
          <c:order val="0"/>
          <c:tx>
            <c:strRef>
              <c:f>Sheet1!$B$1</c:f>
              <c:strCache>
                <c:ptCount val="1"/>
                <c:pt idx="0">
                  <c:v>销售额</c:v>
                </c:pt>
              </c:strCache>
            </c:strRef>
          </c:tx>
          <c:spPr>
            <a:ln w="28575" cmpd="sng">
              <a:solidFill>
                <a:schemeClr val="accent1"/>
              </a:solidFill>
              <a:prstDash val="solid"/>
            </a:ln>
          </c:spPr>
          <c:explosion val="0"/>
          <c:dPt>
            <c:idx val="0"/>
            <c:bubble3D val="0"/>
            <c:spPr>
              <a:solidFill>
                <a:schemeClr val="accent1"/>
              </a:solidFill>
              <a:ln w="28575" cmpd="sng">
                <a:solidFill>
                  <a:schemeClr val="accent1"/>
                </a:solidFill>
                <a:prstDash val="solid"/>
              </a:ln>
              <a:effectLst/>
            </c:spPr>
          </c:dPt>
          <c:dPt>
            <c:idx val="1"/>
            <c:bubble3D val="0"/>
            <c:explosion val="0"/>
            <c:spPr>
              <a:solidFill>
                <a:schemeClr val="accent1"/>
              </a:solidFill>
              <a:ln w="28575" cmpd="sng">
                <a:solidFill>
                  <a:schemeClr val="accent1"/>
                </a:solidFill>
                <a:prstDash val="solid"/>
              </a:ln>
              <a:effectLst/>
            </c:spPr>
          </c:dPt>
          <c:dPt>
            <c:idx val="2"/>
            <c:bubble3D val="0"/>
            <c:spPr>
              <a:solidFill>
                <a:schemeClr val="accent1"/>
              </a:solidFill>
              <a:ln w="28575" cmpd="sng">
                <a:solidFill>
                  <a:schemeClr val="accent1"/>
                </a:solidFill>
                <a:prstDash val="solid"/>
              </a:ln>
              <a:effectLst/>
            </c:spPr>
          </c:dPt>
          <c:dPt>
            <c:idx val="3"/>
            <c:bubble3D val="0"/>
            <c:spPr>
              <a:solidFill>
                <a:schemeClr val="accent1"/>
              </a:solidFill>
              <a:ln w="28575" cmpd="sng">
                <a:solidFill>
                  <a:schemeClr val="accent1"/>
                </a:solidFill>
                <a:prstDash val="solid"/>
              </a:ln>
              <a:effectLst/>
            </c:spPr>
          </c:dPt>
          <c:dLbls>
            <c:delete val="1"/>
          </c:dLbls>
          <c:cat>
            <c:numRef>
              <c:f>Sheet1!$A$2:$A$5</c:f>
              <c:numCache>
                <c:ptCount val="0"/>
              </c:numCache>
            </c:numRef>
          </c:cat>
          <c:val>
            <c:numRef>
              <c:f>Sheet1!$B$2:$B$5</c:f>
              <c:numCache>
                <c:formatCode>General</c:formatCode>
                <c:ptCount val="4"/>
                <c:pt idx="0">
                  <c:v>8.2</c:v>
                </c:pt>
                <c:pt idx="1">
                  <c:v>3.2</c:v>
                </c:pt>
                <c:pt idx="2">
                  <c:v>1.4</c:v>
                </c:pt>
                <c:pt idx="3">
                  <c:v>1.2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egendEntry>
        <c:idx val="1"/>
        <c:delete val="1"/>
      </c:legendEntry>
      <c:legendEntry>
        <c:idx val="2"/>
        <c:delete val="1"/>
      </c:legendEntry>
      <c:legendEntry>
        <c:idx val="3"/>
        <c:delete val="1"/>
      </c:legendEntry>
      <c:layout>
        <c:manualLayout>
          <c:xMode val="edge"/>
          <c:yMode val="edge"/>
          <c:x val="0.941518428089757"/>
          <c:y val="0.477754891864058"/>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226620753124673"/>
          <c:y val="0.371798594490725"/>
          <c:w val="0.939535522880308"/>
          <c:h val="0.477692543725069"/>
        </c:manualLayout>
      </c:layout>
      <c:barChart>
        <c:barDir val="col"/>
        <c:grouping val="clustered"/>
        <c:varyColors val="0"/>
        <c:ser>
          <c:idx val="0"/>
          <c:order val="0"/>
          <c:tx>
            <c:strRef>
              <c:f>Sheet1!#REF!</c:f>
              <c:strCache>
                <c:ptCount val="1"/>
                <c:pt idx="0">
                  <c:v/>
                </c:pt>
              </c:strCache>
            </c:strRef>
          </c:tx>
          <c:spPr>
            <a:solidFill>
              <a:schemeClr val="accent1"/>
            </a:solidFill>
            <a:ln>
              <a:noFill/>
            </a:ln>
            <a:effectLst/>
          </c:spPr>
          <c:invertIfNegative val="0"/>
          <c:dLbls>
            <c:dLbl>
              <c:idx val="0"/>
              <c:layout>
                <c:manualLayout>
                  <c:x val="0.000136425648021828"/>
                  <c:y val="-0.0772442588726513"/>
                </c:manualLayout>
              </c:layout>
              <c:tx>
                <c:rich>
                  <a:bodyPr rot="-5400000" spcFirstLastPara="1" vertOverflow="clip" horzOverflow="clip" vert="horz" wrap="square" lIns="38100" tIns="19050" rIns="38100" bIns="19050" anchor="ctr" anchorCtr="1">
                    <a:spAutoFit/>
                  </a:bodyPr>
                  <a:lstStyle/>
                  <a:p>
                    <a:pPr defTabSz="914400">
                      <a:defRPr lang="zh-CN" sz="800" b="0" i="0" u="none" strike="noStrike" kern="1200" baseline="0">
                        <a:solidFill>
                          <a:schemeClr val="tx1">
                            <a:lumMod val="50000"/>
                            <a:lumOff val="50000"/>
                          </a:schemeClr>
                        </a:solidFill>
                        <a:latin typeface="+mn-lt"/>
                        <a:ea typeface="+mn-ea"/>
                        <a:cs typeface="+mn-cs"/>
                      </a:defRPr>
                    </a:pPr>
                    <a:r>
                      <a:rPr lang="en-US" altLang="zh-CN"/>
                      <a:t>2141.27</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299027274038098"/>
                  <c:y val="-0.0865064190939641"/>
                </c:manualLayout>
              </c:layout>
              <c:tx>
                <c:rich>
                  <a:bodyPr rot="-5400000" spcFirstLastPara="1" vertOverflow="clip" horzOverflow="clip" vert="horz" wrap="square" lIns="38100" tIns="19050" rIns="38100" bIns="19050" anchor="ctr" anchorCtr="1">
                    <a:spAutoFit/>
                  </a:bodyPr>
                  <a:lstStyle/>
                  <a:p>
                    <a:pPr defTabSz="914400">
                      <a:defRPr lang="zh-CN" sz="800" b="0" i="0" u="none" strike="noStrike" kern="1200" baseline="0">
                        <a:solidFill>
                          <a:schemeClr val="tx1">
                            <a:lumMod val="50000"/>
                            <a:lumOff val="50000"/>
                          </a:schemeClr>
                        </a:solidFill>
                        <a:latin typeface="+mn-lt"/>
                        <a:ea typeface="+mn-ea"/>
                        <a:cs typeface="+mn-cs"/>
                      </a:defRPr>
                    </a:pPr>
                    <a:r>
                      <a:rPr lang="en-US" altLang="zh-CN"/>
                      <a:t>2064.41</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5400000" spcFirstLastPara="1" vertOverflow="clip" horzOverflow="clip" vert="horz" wrap="square" lIns="38100" tIns="19050" rIns="38100" bIns="19050" anchor="ctr" anchorCtr="1">
                <a:spAutoFit/>
              </a:bodyPr>
              <a:lstStyle/>
              <a:p>
                <a:pPr>
                  <a:defRPr lang="zh-CN" sz="800" b="0" i="0" u="none" strike="noStrike" kern="1200" baseline="0">
                    <a:solidFill>
                      <a:schemeClr val="tx1">
                        <a:lumMod val="50000"/>
                        <a:lumOff val="50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a:solidFill>
                        <a:schemeClr val="tx1">
                          <a:lumMod val="35000"/>
                          <a:lumOff val="65000"/>
                        </a:schemeClr>
                      </a:solidFill>
                    </a:ln>
                    <a:effectLst/>
                  </c:spPr>
                </c15:leaderLines>
              </c:ext>
            </c:extLst>
          </c:dLbls>
          <c:cat>
            <c:strRef>
              <c:extLst>
                <c:ext xmlns:c15="http://schemas.microsoft.com/office/drawing/2012/chart" uri="{02D57815-91ED-43cb-92C2-25804820EDAC}">
                  <c15:fullRef>
                    <c15:sqref>Sheet1!$A$2:$A$5</c15:sqref>
                  </c15:fullRef>
                </c:ext>
              </c:extLst>
              <c:f>Sheet1!$A$2:$A$3</c:f>
              <c:strCache>
                <c:ptCount val="2"/>
                <c:pt idx="1">
                  <c:v>20017年度收入</c:v>
                </c:pt>
              </c:strCache>
            </c:strRef>
          </c:cat>
          <c:val>
            <c:numRef>
              <c:extLst>
                <c:ext xmlns:c15="http://schemas.microsoft.com/office/drawing/2012/chart" uri="{02D57815-91ED-43cb-92C2-25804820EDAC}">
                  <c15:fullRef>
                    <c15:sqref>Sheet1!$B$2:$B$5</c15:sqref>
                  </c15:fullRef>
                </c:ext>
              </c:extLst>
              <c:f>Sheet1!$B$2:$B$3</c:f>
              <c:numCache>
                <c:formatCode>General</c:formatCode>
                <c:ptCount val="2"/>
                <c:pt idx="0">
                  <c:v>2141.27</c:v>
                </c:pt>
                <c:pt idx="1">
                  <c:v>2064.41</c:v>
                </c:pt>
              </c:numCache>
            </c:numRef>
          </c:val>
        </c:ser>
        <c:ser>
          <c:idx val="1"/>
          <c:order val="1"/>
          <c:tx>
            <c:strRef>
              <c:f>Sheet1!$C$1</c:f>
              <c:strCache>
                <c:ptCount val="1"/>
                <c:pt idx="0">
                  <c:v/>
                </c:pt>
              </c:strCache>
            </c:strRef>
          </c:tx>
          <c:spPr>
            <a:solidFill>
              <a:schemeClr val="accent2"/>
            </a:solidFill>
            <a:ln>
              <a:noFill/>
            </a:ln>
            <a:effectLst/>
          </c:spPr>
          <c:invertIfNegative val="0"/>
          <c:dLbls>
            <c:dLbl>
              <c:idx val="0"/>
              <c:layout>
                <c:manualLayout>
                  <c:x val="0.00150068212824011"/>
                  <c:y val="-0.0769460184909036"/>
                </c:manualLayout>
              </c:layout>
              <c:tx>
                <c:rich>
                  <a:bodyPr rot="-5400000" spcFirstLastPara="1" vertOverflow="clip" horzOverflow="clip" vert="horz" wrap="square" lIns="38100" tIns="19050" rIns="38100" bIns="19050" anchor="ctr" anchorCtr="1">
                    <a:spAutoFit/>
                  </a:bodyPr>
                  <a:lstStyle/>
                  <a:p>
                    <a:pPr defTabSz="914400">
                      <a:defRPr lang="zh-CN" sz="800" b="0" i="0" u="none" strike="noStrike" kern="1200" baseline="0">
                        <a:solidFill>
                          <a:schemeClr val="tx1">
                            <a:lumMod val="50000"/>
                            <a:lumOff val="50000"/>
                          </a:schemeClr>
                        </a:solidFill>
                        <a:latin typeface="+mn-lt"/>
                        <a:ea typeface="+mn-ea"/>
                        <a:cs typeface="+mn-cs"/>
                      </a:defRPr>
                    </a:pPr>
                    <a:r>
                      <a:rPr lang="en-US" altLang="zh-CN"/>
                      <a:t>1763.8</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286493860845839"/>
                  <c:y val="-0.067998807038473"/>
                </c:manualLayout>
              </c:layout>
              <c:tx>
                <c:rich>
                  <a:bodyPr rot="-5400000" spcFirstLastPara="1" vertOverflow="clip" horzOverflow="clip" vert="horz" wrap="square" lIns="38100" tIns="19050" rIns="38100" bIns="19050" anchor="ctr" anchorCtr="1">
                    <a:spAutoFit/>
                  </a:bodyPr>
                  <a:lstStyle/>
                  <a:p>
                    <a:pPr defTabSz="914400">
                      <a:defRPr lang="zh-CN" sz="800" b="0" i="0" u="none" strike="noStrike" kern="1200" baseline="0">
                        <a:solidFill>
                          <a:schemeClr val="tx1">
                            <a:lumMod val="50000"/>
                            <a:lumOff val="50000"/>
                          </a:schemeClr>
                        </a:solidFill>
                        <a:latin typeface="+mn-lt"/>
                        <a:ea typeface="+mn-ea"/>
                        <a:cs typeface="+mn-cs"/>
                      </a:defRPr>
                    </a:pPr>
                    <a:r>
                      <a:rPr lang="en-US" altLang="zh-CN"/>
                      <a:t>1784.36</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5400000" spcFirstLastPara="1" vertOverflow="clip" horzOverflow="clip" vert="horz" wrap="square" lIns="38100" tIns="19050" rIns="38100" bIns="19050" anchor="ctr" anchorCtr="1">
                <a:spAutoFit/>
              </a:bodyPr>
              <a:lstStyle/>
              <a:p>
                <a:pPr>
                  <a:defRPr lang="zh-CN" sz="800" b="0" i="0" u="none" strike="noStrike" kern="1200" baseline="0">
                    <a:solidFill>
                      <a:schemeClr val="tx1">
                        <a:lumMod val="50000"/>
                        <a:lumOff val="50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a:solidFill>
                        <a:schemeClr val="tx1">
                          <a:lumMod val="35000"/>
                          <a:lumOff val="65000"/>
                        </a:schemeClr>
                      </a:solidFill>
                    </a:ln>
                    <a:effectLst/>
                  </c:spPr>
                </c15:leaderLines>
              </c:ext>
            </c:extLst>
          </c:dLbls>
          <c:cat>
            <c:strRef>
              <c:extLst>
                <c:ext xmlns:c15="http://schemas.microsoft.com/office/drawing/2012/chart" uri="{02D57815-91ED-43cb-92C2-25804820EDAC}">
                  <c15:fullRef>
                    <c15:sqref>Sheet1!$A$2:$A$5</c15:sqref>
                  </c15:fullRef>
                </c:ext>
              </c:extLst>
              <c:f>Sheet1!$A$2:$A$3</c:f>
              <c:strCache>
                <c:ptCount val="2"/>
                <c:pt idx="1">
                  <c:v>20017年度收入</c:v>
                </c:pt>
              </c:strCache>
            </c:strRef>
          </c:cat>
          <c:val>
            <c:numRef>
              <c:extLst>
                <c:ext xmlns:c15="http://schemas.microsoft.com/office/drawing/2012/chart" uri="{02D57815-91ED-43cb-92C2-25804820EDAC}">
                  <c15:fullRef>
                    <c15:sqref>Sheet1!$C$2:$C$4</c15:sqref>
                  </c15:fullRef>
                </c:ext>
              </c:extLst>
              <c:f>Sheet1!$C$2:$C$3</c:f>
              <c:numCache>
                <c:formatCode>General</c:formatCode>
                <c:ptCount val="2"/>
                <c:pt idx="0">
                  <c:v>1763.8</c:v>
                </c:pt>
                <c:pt idx="1">
                  <c:v>1784.36</c:v>
                </c:pt>
              </c:numCache>
            </c:numRef>
          </c:val>
        </c:ser>
        <c:dLbls>
          <c:showLegendKey val="0"/>
          <c:showVal val="1"/>
          <c:showCatName val="0"/>
          <c:showSerName val="0"/>
          <c:showPercent val="0"/>
          <c:showBubbleSize val="0"/>
        </c:dLbls>
        <c:gapWidth val="444"/>
        <c:overlap val="-90"/>
        <c:axId val="132082454"/>
        <c:axId val="573929811"/>
      </c:barChart>
      <c:catAx>
        <c:axId val="132082454"/>
        <c:scaling>
          <c:orientation val="minMax"/>
        </c:scaling>
        <c:delete val="1"/>
        <c:axPos val="b"/>
        <c:majorGridlines>
          <c:spPr>
            <a:ln w="9525" cap="flat" cmpd="sng" algn="ctr">
              <a:solidFill>
                <a:schemeClr val="tx1">
                  <a:lumMod val="15000"/>
                  <a:lumOff val="85000"/>
                </a:schemeClr>
              </a:solidFill>
              <a:round/>
            </a:ln>
            <a:effectLst/>
          </c:spPr>
        </c:majorGridlines>
        <c:majorTickMark val="none"/>
        <c:minorTickMark val="none"/>
        <c:tickLblPos val="nextTo"/>
        <c:txPr>
          <a:bodyPr rot="-60000000" spcFirstLastPara="0" vertOverflow="ellipsis" vert="horz" wrap="square" anchor="ctr" anchorCtr="1"/>
          <a:lstStyle/>
          <a:p>
            <a:pPr>
              <a:defRPr lang="zh-CN" sz="800" b="0" i="0" u="none" strike="noStrike" kern="1200" cap="all" spc="120" normalizeH="0" baseline="0">
                <a:solidFill>
                  <a:schemeClr val="tx1">
                    <a:lumMod val="65000"/>
                    <a:lumOff val="35000"/>
                  </a:schemeClr>
                </a:solidFill>
                <a:latin typeface="+mn-lt"/>
                <a:ea typeface="+mn-ea"/>
                <a:cs typeface="+mn-cs"/>
              </a:defRPr>
            </a:pPr>
          </a:p>
        </c:txPr>
        <c:crossAx val="573929811"/>
        <c:crosses val="autoZero"/>
        <c:auto val="1"/>
        <c:lblAlgn val="ctr"/>
        <c:lblOffset val="100"/>
        <c:noMultiLvlLbl val="0"/>
      </c:catAx>
      <c:valAx>
        <c:axId val="573929811"/>
        <c:scaling>
          <c:orientation val="minMax"/>
        </c:scaling>
        <c:delete val="1"/>
        <c:axPos val="l"/>
        <c:numFmt formatCode="General" sourceLinked="1"/>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2082454"/>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2017-2018</a:t>
            </a:r>
            <a:r>
              <a:rPr altLang="en-US"/>
              <a:t>年财政拨款收支情况</a:t>
            </a:r>
            <a:endParaRPr altLang="en-US"/>
          </a:p>
        </c:rich>
      </c:tx>
      <c:layout/>
      <c:overlay val="0"/>
      <c:spPr>
        <a:noFill/>
        <a:ln>
          <a:noFill/>
        </a:ln>
        <a:effectLst/>
      </c:spPr>
    </c:title>
    <c:autoTitleDeleted val="0"/>
    <c:plotArea>
      <c:layout>
        <c:manualLayout>
          <c:layoutTarget val="inner"/>
          <c:xMode val="edge"/>
          <c:yMode val="edge"/>
          <c:x val="0.043286762964717"/>
          <c:y val="0.186554204911933"/>
          <c:w val="0.930665403741416"/>
          <c:h val="0.644008930786405"/>
        </c:manualLayout>
      </c:layout>
      <c:barChart>
        <c:barDir val="col"/>
        <c:grouping val="clustered"/>
        <c:varyColors val="0"/>
        <c:ser>
          <c:idx val="0"/>
          <c:order val="0"/>
          <c:tx>
            <c:strRef>
              <c:f>Sheet1!$B$1</c:f>
              <c:strCache>
                <c:ptCount val="1"/>
                <c:pt idx="0">
                  <c:v>系列 1</c:v>
                </c:pt>
              </c:strCache>
            </c:strRef>
          </c:tx>
          <c:spPr>
            <a:solidFill>
              <a:schemeClr val="accent1">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2018年度收入</c:v>
                </c:pt>
                <c:pt idx="1">
                  <c:v>2017年度收入</c:v>
                </c:pt>
                <c:pt idx="2">
                  <c:v>2018年度支出</c:v>
                </c:pt>
                <c:pt idx="3">
                  <c:v>2017年度支出</c:v>
                </c:pt>
              </c:strCache>
            </c:strRef>
          </c:cat>
          <c:val>
            <c:numRef>
              <c:f>Sheet1!$B$2:$B$5</c:f>
              <c:numCache>
                <c:formatCode>General</c:formatCode>
                <c:ptCount val="4"/>
                <c:pt idx="0">
                  <c:v>2141.27</c:v>
                </c:pt>
                <c:pt idx="1">
                  <c:v>1796.78</c:v>
                </c:pt>
                <c:pt idx="2">
                  <c:v>2064.41</c:v>
                </c:pt>
                <c:pt idx="3">
                  <c:v>1796.78</c:v>
                </c:pt>
              </c:numCache>
            </c:numRef>
          </c:val>
        </c:ser>
        <c:dLbls>
          <c:showLegendKey val="0"/>
          <c:showVal val="1"/>
          <c:showCatName val="0"/>
          <c:showSerName val="0"/>
          <c:showPercent val="0"/>
          <c:showBubbleSize val="0"/>
        </c:dLbls>
        <c:gapWidth val="219"/>
        <c:overlap val="-27"/>
        <c:axId val="898478940"/>
        <c:axId val="976149677"/>
      </c:barChart>
      <c:catAx>
        <c:axId val="89847894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76149677"/>
        <c:crosses val="autoZero"/>
        <c:auto val="1"/>
        <c:lblAlgn val="ctr"/>
        <c:lblOffset val="100"/>
        <c:noMultiLvlLbl val="0"/>
      </c:catAx>
      <c:valAx>
        <c:axId val="97614967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84789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cap="all" spc="50" baseline="0">
                <a:solidFill>
                  <a:schemeClr val="tx1">
                    <a:lumMod val="65000"/>
                    <a:lumOff val="35000"/>
                  </a:schemeClr>
                </a:solidFill>
                <a:latin typeface="+mn-lt"/>
                <a:ea typeface="+mn-ea"/>
                <a:cs typeface="+mn-cs"/>
              </a:defRPr>
            </a:pPr>
            <a:r>
              <a:rPr>
                <a:latin typeface="仿宋" panose="02010609060101010101" pitchFamily="3" charset="-122"/>
                <a:ea typeface="仿宋" panose="02010609060101010101" pitchFamily="3" charset="-122"/>
              </a:rPr>
              <a:t>财政拨款支出决算结构</a:t>
            </a:r>
            <a:endParaRPr>
              <a:latin typeface="仿宋" panose="02010609060101010101" pitchFamily="3" charset="-122"/>
              <a:ea typeface="仿宋" panose="02010609060101010101" pitchFamily="3" charset="-122"/>
            </a:endParaRPr>
          </a:p>
        </c:rich>
      </c:tx>
      <c:layout>
        <c:manualLayout>
          <c:xMode val="edge"/>
          <c:yMode val="edge"/>
          <c:x val="0.388055972013993"/>
          <c:y val="0.0295275590551181"/>
        </c:manualLayout>
      </c:layout>
      <c:overlay val="0"/>
      <c:spPr>
        <a:noFill/>
        <a:ln>
          <a:noFill/>
        </a:ln>
        <a:effectLst/>
      </c:spPr>
    </c:title>
    <c:autoTitleDeleted val="0"/>
    <c:plotArea>
      <c:layout/>
      <c:pieChart>
        <c:varyColors val="1"/>
        <c:ser>
          <c:idx val="0"/>
          <c:order val="0"/>
          <c:tx>
            <c:strRef>
              <c:f>Sheet1!$B$1</c:f>
              <c:strCache>
                <c:ptCount val="1"/>
                <c:pt idx="0">
                  <c:v>财政拨款</c:v>
                </c:pt>
              </c:strCache>
            </c:strRef>
          </c:tx>
          <c:spPr/>
          <c:explosion val="0"/>
          <c:dPt>
            <c:idx val="0"/>
            <c:bubble3D val="0"/>
            <c:spPr>
              <a:solidFill>
                <a:schemeClr val="accent1"/>
              </a:solidFill>
              <a:ln>
                <a:noFill/>
              </a:ln>
              <a:effectLst/>
            </c:spPr>
          </c:dPt>
          <c:dPt>
            <c:idx val="1"/>
            <c:bubble3D val="0"/>
            <c:spPr>
              <a:solidFill>
                <a:schemeClr val="accent2"/>
              </a:solidFill>
              <a:ln>
                <a:noFill/>
              </a:ln>
              <a:effectLst/>
            </c:spPr>
          </c:dPt>
          <c:dPt>
            <c:idx val="2"/>
            <c:bubble3D val="0"/>
            <c:spPr>
              <a:solidFill>
                <a:schemeClr val="accent3"/>
              </a:solidFill>
              <a:ln>
                <a:noFill/>
              </a:ln>
              <a:effectLst/>
            </c:spPr>
          </c:dPt>
          <c:dPt>
            <c:idx val="3"/>
            <c:bubble3D val="0"/>
            <c:spPr>
              <a:solidFill>
                <a:schemeClr val="accent4"/>
              </a:solidFill>
              <a:ln>
                <a:noFill/>
              </a:ln>
              <a:effectLst/>
            </c:spPr>
          </c:dPt>
          <c:dLbls>
            <c:dLbl>
              <c:idx val="0"/>
              <c:layout/>
              <c:tx>
                <c:rich>
                  <a:bodyPr rot="0" spcFirstLastPara="0" vertOverflow="ellipsis" vert="horz" wrap="square" lIns="38100" tIns="19050" rIns="38100" bIns="19050" anchor="ctr" anchorCtr="1"/>
                  <a:lstStyle/>
                  <a:p>
                    <a:pPr defTabSz="914400">
                      <a:defRPr lang="zh-CN" sz="900" b="1" i="0" u="none" strike="noStrike" kern="1200" baseline="0">
                        <a:solidFill>
                          <a:schemeClr val="lt1"/>
                        </a:solidFill>
                        <a:latin typeface="+mn-lt"/>
                        <a:ea typeface="+mn-ea"/>
                        <a:cs typeface="+mn-cs"/>
                      </a:defRPr>
                    </a:pPr>
                    <a:r>
                      <a:rPr lang="en-US" altLang="zh-CN"/>
                      <a:t>81</a:t>
                    </a:r>
                    <a:r>
                      <a:t>%</a:t>
                    </a:r>
                  </a:p>
                </c:rich>
              </c:tx>
              <c:dLblPos val="inEnd"/>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公共安全类</c:v>
                </c:pt>
                <c:pt idx="1">
                  <c:v>社会保障和就业</c:v>
                </c:pt>
                <c:pt idx="2">
                  <c:v>住房保障</c:v>
                </c:pt>
                <c:pt idx="3">
                  <c:v>医疗卫生与计划生育</c:v>
                </c:pt>
              </c:strCache>
            </c:strRef>
          </c:cat>
          <c:val>
            <c:numRef>
              <c:f>Sheet1!$B$2:$B$5</c:f>
              <c:numCache>
                <c:formatCode>0%</c:formatCode>
                <c:ptCount val="4"/>
                <c:pt idx="0">
                  <c:v>0.81</c:v>
                </c:pt>
                <c:pt idx="1" c:formatCode="0.00%">
                  <c:v>0.081</c:v>
                </c:pt>
                <c:pt idx="2" c:formatCode="0.00%">
                  <c:v>0.048</c:v>
                </c:pt>
                <c:pt idx="3" c:formatCode="0.00%">
                  <c:v>0.061</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A65E7BDE-DE8D-4B1F-9303-30D3BA4219C7}">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29</Pages>
  <Words>6949</Words>
  <Characters>8579</Characters>
  <Lines>80</Lines>
  <Paragraphs>22</Paragraphs>
  <TotalTime>4</TotalTime>
  <ScaleCrop>false</ScaleCrop>
  <LinksUpToDate>false</LinksUpToDate>
  <CharactersWithSpaces>8824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稳一生</cp:lastModifiedBy>
  <cp:lastPrinted>2019-08-02T01:01:00Z</cp:lastPrinted>
  <dcterms:modified xsi:type="dcterms:W3CDTF">2023-06-27T13:15:29Z</dcterms:modified>
  <dc:subject>石家庄市xxx部门</dc:subject>
  <dc:title>2017年度部门决算</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8B30F76DE17C47EBAC09B060530F3938</vt:lpwstr>
  </property>
</Properties>
</file>