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ms-word.document.macroEnabled.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-996315</wp:posOffset>
            </wp:positionH>
            <wp:positionV relativeFrom="paragraph">
              <wp:posOffset>-1790700</wp:posOffset>
            </wp:positionV>
            <wp:extent cx="7812405" cy="11132820"/>
            <wp:effectExtent l="0" t="0" r="5715" b="7620"/>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812405" cy="11132820"/>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540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int="eastAsia" w:hAnsi="宋体" w:asciiTheme="minorEastAsia" w:eastAsiaTheme="minorEastAsia"/>
                      <w:color w:val="FDEFBE"/>
                      <w:sz w:val="96"/>
                      <w:szCs w:val="96"/>
                      <w:lang w:eastAsia="zh-CN"/>
                    </w:rPr>
                  </w:pPr>
                  <w:r>
                    <w:rPr>
                      <w:rFonts w:hint="eastAsia" w:hAnsi="宋体" w:asciiTheme="minorEastAsia" w:eastAsiaTheme="minorEastAsia"/>
                      <w:color w:val="FDEFBE"/>
                      <w:sz w:val="96"/>
                      <w:szCs w:val="96"/>
                      <w:lang w:eastAsia="zh-CN"/>
                    </w:rPr>
                    <w:t>计生协</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w:t>
      </w:r>
      <w:r>
        <w:rPr>
          <w:rFonts w:hint="eastAsia" w:ascii="楷体_GB2312" w:hAnsi="楷体" w:eastAsia="楷体_GB2312" w:cs="楷体"/>
          <w:b/>
          <w:sz w:val="40"/>
          <w:szCs w:val="40"/>
          <w:lang w:eastAsia="zh-CN"/>
        </w:rPr>
        <w:t>二十五</w:t>
      </w:r>
      <w:r>
        <w:rPr>
          <w:rFonts w:hint="eastAsia" w:ascii="楷体_GB2312" w:hAnsi="楷体" w:eastAsia="楷体_GB2312" w:cs="楷体"/>
          <w:b/>
          <w:sz w:val="40"/>
          <w:szCs w:val="40"/>
        </w:rPr>
        <w:t>日</w:t>
      </w:r>
    </w:p>
    <w:p>
      <w:pPr>
        <w:widowControl/>
        <w:spacing w:after="0" w:line="600" w:lineRule="exact"/>
        <w:jc w:val="left"/>
        <w:rPr>
          <w:rFonts w:ascii="楷体" w:hAnsi="楷体" w:eastAsia="楷体" w:cs="楷体"/>
          <w:sz w:val="32"/>
          <w:szCs w:val="32"/>
          <w:highlight w:val="yellow"/>
        </w:rPr>
      </w:pPr>
      <w:r>
        <w:rPr>
          <w:sz w:val="48"/>
          <w:szCs w:val="28"/>
        </w:rPr>
        <w:pict>
          <v:group id="_x0000_s1189" o:spid="_x0000_s1189" o:spt="203" style="position:absolute;left:0pt;margin-left:-80.8pt;margin-top:39.95pt;height:46.7pt;width:250.05pt;mso-position-vertical-relative:page;z-index:251711488;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aspectratio="f"/>
            <v:rect id="矩形 13" o:spid="_x0000_s1190"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aspectratio="f"/>
            </v:rect>
            <v:rect id="矩形 14" o:spid="_x0000_s1191"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v:textbox>
            </v:rect>
            <w10:anchorlock/>
          </v:group>
        </w:pict>
      </w: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hint="eastAsia"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80" w:firstLineChars="400"/>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计生协</w:t>
      </w:r>
      <w:r>
        <w:rPr>
          <w:rFonts w:eastAsia="黑体"/>
          <w:sz w:val="32"/>
          <w:szCs w:val="32"/>
        </w:rPr>
        <w:t>201</w:t>
      </w:r>
      <w:r>
        <w:rPr>
          <w:rFonts w:hint="eastAsia" w:eastAsia="黑体"/>
          <w:sz w:val="32"/>
          <w:szCs w:val="32"/>
        </w:rPr>
        <w:t>8</w:t>
      </w:r>
      <w:r>
        <w:rPr>
          <w:rFonts w:eastAsia="黑体"/>
          <w:sz w:val="32"/>
          <w:szCs w:val="32"/>
        </w:rPr>
        <w:t>年部门决算情况说明</w:t>
      </w:r>
      <w:r>
        <w:rPr>
          <w:sz w:val="48"/>
          <w:szCs w:val="28"/>
        </w:rPr>
        <w:pict>
          <v:group id="_x0000_s1126" o:spid="_x0000_s1126" o:spt="203" style="position:absolute;left:0pt;margin-left:-81.4pt;margin-top:50.75pt;height:46.7pt;width:250.05pt;mso-position-vertical-relative:page;z-index:251691008;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aspectratio="f"/>
            <v:rect id="矩形 13" o:spid="_x0000_s1127"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aspectratio="f"/>
            </v:rect>
            <v:rect id="矩形 14" o:spid="_x0000_s1128"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v:textbox>
            </v:rect>
            <w10:anchorlock/>
          </v:group>
        </w:pict>
      </w:r>
      <w:r>
        <w:rPr>
          <w:sz w:val="44"/>
        </w:rPr>
        <w:pict>
          <v:group id="_x0000_s1108" o:spid="_x0000_s1108" o:spt="203" style="position:absolute;left:0pt;margin-left:-78.85pt;margin-top:37.75pt;height:13.75pt;width:222.8pt;mso-position-vertical-relative:page;z-index:251674624;mso-width-relative:page;mso-height-relative:page;" coordorigin="4551,52615" coordsize="8546,1398203"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aspectratio="f"/>
            <v:rect id="矩形 13" o:spid="_x0000_s1110" o:spt="1" style="position:absolute;left:4551;top:52615;height:1175;width:8546;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color2="#FFFFFF" focussize="0,0"/>
              <v:stroke on="f" weight="2pt"/>
              <v:imagedata o:title=""/>
              <o:lock v:ext="edit" aspectratio="f"/>
            </v:rect>
            <v:rect id="矩形 14" o:spid="_x0000_s1109"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color2="#FFFFFF"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028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w:pict>
          <v:shape id="_x0000_s1107" o:spid="_x0000_s1107" o:spt="202" type="#_x0000_t202" style="position:absolute;left:0pt;margin-left:-97.3pt;margin-top:259.1pt;height:81.7pt;width:613.65pt;z-index:25167257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pageBreakBefore w:val="0"/>
        <w:widowControl w:val="0"/>
        <w:kinsoku/>
        <w:wordWrap/>
        <w:overflowPunct/>
        <w:topLinePunct w:val="0"/>
        <w:autoSpaceDE/>
        <w:autoSpaceDN/>
        <w:bidi w:val="0"/>
        <w:adjustRightInd/>
        <w:spacing w:before="0" w:after="0" w:line="578" w:lineRule="exact"/>
        <w:jc w:val="left"/>
        <w:textAlignment w:val="auto"/>
        <w:rPr>
          <w:rFonts w:ascii="黑体" w:eastAsia="黑体" w:cs="黑体" w:hAnsiTheme="minorHAnsi"/>
          <w:b w:val="0"/>
          <w:bCs w:val="0"/>
          <w:kern w:val="0"/>
          <w:sz w:val="32"/>
          <w:szCs w:val="32"/>
        </w:rPr>
      </w:pPr>
      <w:r>
        <w:rPr>
          <w:b w:val="0"/>
          <w:bCs w:val="0"/>
          <w:sz w:val="32"/>
          <w:szCs w:val="32"/>
        </w:rPr>
        <w:pict>
          <v:group id="组合 15" o:spid="_x0000_s1120" o:spt="203" style="position:absolute;left:0pt;margin-left:-68.8pt;margin-top:51.5pt;height:46.7pt;width:245.25pt;mso-position-vertical-relative:page;z-index:251681792;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aspectratio="f"/>
            <v:rect id="矩形 13" o:spid="_x0000_s1121"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22"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v:textbox>
            </v:rect>
            <w10:anchorlock/>
          </v:group>
        </w:pict>
      </w:r>
      <w:r>
        <w:rPr>
          <w:b w:val="0"/>
          <w:bCs w:val="0"/>
          <w:sz w:val="32"/>
          <w:szCs w:val="32"/>
        </w:rPr>
        <w:pict>
          <v:group id="_x0000_s1104" o:spid="_x0000_s1104" o:spt="203" style="position:absolute;left:0pt;margin-left:-80.8pt;margin-top:39.5pt;height:46.7pt;width:245.25pt;mso-position-vertical-relative:page;z-index:251666432;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v:rect id="_x0000_s1106" o:spid="_x0000_s1106"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105" o:spid="_x0000_s1105"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黑体" w:eastAsia="黑体" w:cs="黑体" w:hAnsiTheme="minorHAnsi"/>
          <w:b w:val="0"/>
          <w:bCs w:val="0"/>
          <w:kern w:val="0"/>
          <w:sz w:val="32"/>
          <w:szCs w:val="32"/>
        </w:rPr>
        <w:t>一、部门职责</w:t>
      </w:r>
    </w:p>
    <w:p>
      <w:pPr>
        <w:keepNext w:val="0"/>
        <w:keepLines w:val="0"/>
        <w:pageBreakBefore w:val="0"/>
        <w:widowControl w:val="0"/>
        <w:kinsoku/>
        <w:wordWrap/>
        <w:overflowPunct/>
        <w:topLinePunct w:val="0"/>
        <w:autoSpaceDE/>
        <w:autoSpaceDN/>
        <w:bidi w:val="0"/>
        <w:adjustRightInd/>
        <w:snapToGrid w:val="0"/>
        <w:spacing w:after="0" w:line="578" w:lineRule="exact"/>
        <w:ind w:firstLine="640" w:firstLineChars="200"/>
        <w:jc w:val="both"/>
        <w:textAlignment w:val="auto"/>
        <w:rPr>
          <w:rFonts w:ascii="Calibri" w:hAnsi="Calibri"/>
          <w:color w:val="000000"/>
          <w:sz w:val="32"/>
          <w:szCs w:val="32"/>
        </w:rPr>
      </w:pPr>
      <w:r>
        <w:rPr>
          <w:rFonts w:ascii="仿宋_GB2312" w:hAnsi="Calibri" w:eastAsia="仿宋_GB2312"/>
          <w:sz w:val="32"/>
          <w:szCs w:val="32"/>
        </w:rPr>
        <w:t>（一）贯彻落实国家的计划生育方针、政策和法律、法规，</w:t>
      </w:r>
      <w:r>
        <w:rPr>
          <w:rFonts w:ascii="仿宋_GB2312" w:hAnsi="Calibri" w:eastAsia="仿宋_GB2312"/>
          <w:color w:val="000000"/>
          <w:sz w:val="32"/>
          <w:szCs w:val="32"/>
        </w:rPr>
        <w:t>发动</w:t>
      </w:r>
      <w:r>
        <w:rPr>
          <w:rFonts w:hint="eastAsia" w:ascii="仿宋_GB2312" w:hAnsi="Calibri" w:eastAsia="仿宋_GB2312"/>
          <w:color w:val="000000"/>
          <w:sz w:val="32"/>
          <w:szCs w:val="32"/>
        </w:rPr>
        <w:t>群众贯彻执行国家人口与</w:t>
      </w:r>
      <w:r>
        <w:rPr>
          <w:rFonts w:ascii="仿宋_GB2312" w:hAnsi="Calibri" w:eastAsia="仿宋_GB2312"/>
          <w:color w:val="000000"/>
          <w:sz w:val="32"/>
          <w:szCs w:val="32"/>
        </w:rPr>
        <w:t>计划生育</w:t>
      </w:r>
      <w:r>
        <w:rPr>
          <w:rFonts w:hint="eastAsia" w:ascii="仿宋_GB2312" w:hAnsi="Calibri" w:eastAsia="仿宋_GB2312"/>
          <w:color w:val="000000"/>
          <w:sz w:val="32"/>
          <w:szCs w:val="32"/>
        </w:rPr>
        <w:t>政策</w:t>
      </w:r>
      <w:r>
        <w:rPr>
          <w:rFonts w:ascii="仿宋_GB2312" w:hAnsi="Calibri" w:eastAsia="仿宋_GB2312"/>
          <w:color w:val="000000"/>
          <w:sz w:val="32"/>
          <w:szCs w:val="32"/>
        </w:rPr>
        <w:t>。</w:t>
      </w:r>
    </w:p>
    <w:p>
      <w:pPr>
        <w:keepNext w:val="0"/>
        <w:keepLines w:val="0"/>
        <w:pageBreakBefore w:val="0"/>
        <w:widowControl w:val="0"/>
        <w:kinsoku/>
        <w:wordWrap/>
        <w:overflowPunct/>
        <w:topLinePunct w:val="0"/>
        <w:autoSpaceDE/>
        <w:autoSpaceDN/>
        <w:bidi w:val="0"/>
        <w:adjustRightInd/>
        <w:snapToGrid w:val="0"/>
        <w:spacing w:after="0" w:line="578" w:lineRule="exact"/>
        <w:ind w:firstLine="640" w:firstLineChars="200"/>
        <w:jc w:val="both"/>
        <w:textAlignment w:val="auto"/>
        <w:rPr>
          <w:rFonts w:ascii="Calibri" w:hAnsi="Calibri"/>
          <w:sz w:val="32"/>
          <w:szCs w:val="32"/>
        </w:rPr>
      </w:pPr>
      <w:r>
        <w:rPr>
          <w:rFonts w:ascii="仿宋_GB2312" w:hAnsi="Calibri" w:eastAsia="仿宋_GB2312"/>
          <w:sz w:val="32"/>
          <w:szCs w:val="32"/>
        </w:rPr>
        <w:t>（二）指导</w:t>
      </w:r>
      <w:r>
        <w:rPr>
          <w:rFonts w:hint="eastAsia" w:ascii="仿宋_GB2312" w:hAnsi="Calibri" w:eastAsia="仿宋_GB2312"/>
          <w:sz w:val="32"/>
          <w:szCs w:val="32"/>
        </w:rPr>
        <w:t>基层协会</w:t>
      </w:r>
      <w:r>
        <w:rPr>
          <w:rFonts w:ascii="仿宋_GB2312" w:hAnsi="Calibri" w:eastAsia="仿宋_GB2312"/>
          <w:sz w:val="32"/>
          <w:szCs w:val="32"/>
        </w:rPr>
        <w:t>向群众宣传国家计划生育方针、政策和法律、法规，宣传人口科学理论，传播</w:t>
      </w:r>
      <w:r>
        <w:rPr>
          <w:rFonts w:hint="eastAsia" w:ascii="仿宋_GB2312" w:hAnsi="Calibri" w:eastAsia="仿宋_GB2312"/>
          <w:sz w:val="32"/>
          <w:szCs w:val="32"/>
        </w:rPr>
        <w:t>优生优育、</w:t>
      </w:r>
      <w:r>
        <w:rPr>
          <w:rFonts w:ascii="仿宋_GB2312" w:hAnsi="Calibri" w:eastAsia="仿宋_GB2312"/>
          <w:sz w:val="32"/>
          <w:szCs w:val="32"/>
        </w:rPr>
        <w:t>生殖健康等科学技术知识。</w:t>
      </w:r>
    </w:p>
    <w:p>
      <w:pPr>
        <w:keepNext w:val="0"/>
        <w:keepLines w:val="0"/>
        <w:pageBreakBefore w:val="0"/>
        <w:widowControl w:val="0"/>
        <w:kinsoku/>
        <w:wordWrap/>
        <w:overflowPunct/>
        <w:topLinePunct w:val="0"/>
        <w:autoSpaceDE/>
        <w:autoSpaceDN/>
        <w:bidi w:val="0"/>
        <w:adjustRightInd/>
        <w:snapToGrid w:val="0"/>
        <w:spacing w:after="0" w:line="578" w:lineRule="exact"/>
        <w:ind w:firstLine="640" w:firstLineChars="200"/>
        <w:jc w:val="both"/>
        <w:textAlignment w:val="auto"/>
        <w:rPr>
          <w:rFonts w:ascii="Calibri" w:hAnsi="Calibri"/>
          <w:sz w:val="32"/>
          <w:szCs w:val="32"/>
        </w:rPr>
      </w:pPr>
      <w:r>
        <w:rPr>
          <w:rFonts w:ascii="仿宋_GB2312" w:hAnsi="Calibri" w:eastAsia="仿宋_GB2312"/>
          <w:sz w:val="32"/>
          <w:szCs w:val="32"/>
        </w:rPr>
        <w:t>（三）</w:t>
      </w:r>
      <w:r>
        <w:rPr>
          <w:rFonts w:hint="eastAsia" w:ascii="仿宋_GB2312" w:hAnsi="Calibri" w:eastAsia="仿宋_GB2312"/>
          <w:sz w:val="32"/>
          <w:szCs w:val="32"/>
        </w:rPr>
        <w:t>广泛</w:t>
      </w:r>
      <w:r>
        <w:rPr>
          <w:rFonts w:hint="eastAsia" w:ascii="仿宋_GB2312" w:hAnsi="Calibri" w:eastAsia="仿宋_GB2312"/>
          <w:sz w:val="32"/>
          <w:szCs w:val="32"/>
          <w:highlight w:val="none"/>
        </w:rPr>
        <w:t>开展</w:t>
      </w:r>
      <w:r>
        <w:rPr>
          <w:rFonts w:ascii="仿宋_GB2312" w:hAnsi="Calibri" w:eastAsia="仿宋_GB2312"/>
          <w:sz w:val="32"/>
          <w:szCs w:val="32"/>
        </w:rPr>
        <w:t>生育关怀</w:t>
      </w:r>
      <w:r>
        <w:rPr>
          <w:rFonts w:hint="eastAsia" w:ascii="仿宋_GB2312" w:hAnsi="Calibri" w:eastAsia="仿宋_GB2312"/>
          <w:sz w:val="32"/>
          <w:szCs w:val="32"/>
        </w:rPr>
        <w:t>.亲情关爱</w:t>
      </w:r>
      <w:r>
        <w:rPr>
          <w:rFonts w:ascii="仿宋_GB2312" w:hAnsi="Calibri" w:eastAsia="仿宋_GB2312"/>
          <w:sz w:val="32"/>
          <w:szCs w:val="32"/>
        </w:rPr>
        <w:t>行动</w:t>
      </w:r>
      <w:r>
        <w:rPr>
          <w:rFonts w:hint="eastAsia" w:ascii="仿宋_GB2312" w:hAnsi="Calibri" w:eastAsia="仿宋_GB2312"/>
          <w:sz w:val="32"/>
          <w:szCs w:val="32"/>
        </w:rPr>
        <w:t>，开展计划生育系列保险等社会保障事业</w:t>
      </w:r>
      <w:r>
        <w:rPr>
          <w:rFonts w:ascii="仿宋_GB2312" w:hAnsi="Calibri" w:eastAsia="仿宋_GB2312"/>
          <w:sz w:val="32"/>
          <w:szCs w:val="32"/>
        </w:rPr>
        <w:t>，帮助群众解决实际困难和后顾之忧。</w:t>
      </w:r>
    </w:p>
    <w:p>
      <w:pPr>
        <w:keepNext w:val="0"/>
        <w:keepLines w:val="0"/>
        <w:pageBreakBefore w:val="0"/>
        <w:widowControl w:val="0"/>
        <w:kinsoku/>
        <w:wordWrap/>
        <w:overflowPunct/>
        <w:topLinePunct w:val="0"/>
        <w:autoSpaceDE/>
        <w:autoSpaceDN/>
        <w:bidi w:val="0"/>
        <w:adjustRightInd/>
        <w:snapToGrid w:val="0"/>
        <w:spacing w:after="0" w:line="578" w:lineRule="exact"/>
        <w:ind w:firstLine="640" w:firstLineChars="200"/>
        <w:jc w:val="both"/>
        <w:textAlignment w:val="auto"/>
        <w:rPr>
          <w:rFonts w:ascii="Calibri" w:hAnsi="Calibri"/>
          <w:sz w:val="32"/>
          <w:szCs w:val="32"/>
        </w:rPr>
      </w:pPr>
      <w:r>
        <w:rPr>
          <w:rFonts w:ascii="仿宋_GB2312" w:hAnsi="Calibri" w:eastAsia="仿宋_GB2312"/>
          <w:sz w:val="32"/>
          <w:szCs w:val="32"/>
        </w:rPr>
        <w:t>（四）履行民主参与和民主监督职能，反映群众的意愿与</w:t>
      </w:r>
      <w:r>
        <w:rPr>
          <w:rFonts w:hint="eastAsia" w:ascii="仿宋_GB2312" w:hAnsi="Calibri" w:eastAsia="仿宋_GB2312"/>
          <w:sz w:val="32"/>
          <w:szCs w:val="32"/>
        </w:rPr>
        <w:t>诉</w:t>
      </w:r>
      <w:r>
        <w:rPr>
          <w:rFonts w:ascii="仿宋_GB2312" w:hAnsi="Calibri" w:eastAsia="仿宋_GB2312"/>
          <w:sz w:val="32"/>
          <w:szCs w:val="32"/>
        </w:rPr>
        <w:t>求，依法维护</w:t>
      </w:r>
      <w:r>
        <w:rPr>
          <w:rFonts w:hint="eastAsia" w:ascii="仿宋_GB2312" w:hAnsi="Calibri" w:eastAsia="仿宋_GB2312"/>
          <w:sz w:val="32"/>
          <w:szCs w:val="32"/>
        </w:rPr>
        <w:t>育龄</w:t>
      </w:r>
      <w:r>
        <w:rPr>
          <w:rFonts w:ascii="仿宋_GB2312" w:hAnsi="Calibri" w:eastAsia="仿宋_GB2312"/>
          <w:sz w:val="32"/>
          <w:szCs w:val="32"/>
        </w:rPr>
        <w:t>群众</w:t>
      </w:r>
      <w:r>
        <w:rPr>
          <w:rFonts w:hint="eastAsia" w:ascii="仿宋_GB2312" w:hAnsi="Calibri" w:eastAsia="仿宋_GB2312"/>
          <w:sz w:val="32"/>
          <w:szCs w:val="32"/>
        </w:rPr>
        <w:t>的</w:t>
      </w:r>
      <w:r>
        <w:rPr>
          <w:rFonts w:ascii="仿宋_GB2312" w:hAnsi="Calibri" w:eastAsia="仿宋_GB2312"/>
          <w:sz w:val="32"/>
          <w:szCs w:val="32"/>
        </w:rPr>
        <w:t>合法权益。</w:t>
      </w:r>
    </w:p>
    <w:p>
      <w:pPr>
        <w:pStyle w:val="2"/>
        <w:pageBreakBefore w:val="0"/>
        <w:widowControl w:val="0"/>
        <w:kinsoku/>
        <w:wordWrap/>
        <w:overflowPunct/>
        <w:topLinePunct w:val="0"/>
        <w:autoSpaceDE/>
        <w:autoSpaceDN/>
        <w:bidi w:val="0"/>
        <w:adjustRightInd/>
        <w:spacing w:before="0" w:after="0" w:line="578" w:lineRule="exact"/>
        <w:jc w:val="left"/>
        <w:textAlignment w:val="auto"/>
        <w:rPr>
          <w:rFonts w:hint="eastAsia" w:ascii="仿宋_GB2312" w:hAnsi="Calibri" w:eastAsia="仿宋_GB2312" w:cs="Times New Roman"/>
          <w:b w:val="0"/>
          <w:bCs w:val="0"/>
          <w:kern w:val="2"/>
          <w:sz w:val="32"/>
          <w:szCs w:val="32"/>
          <w:lang w:val="en-US" w:eastAsia="zh-CN" w:bidi="ar-SA"/>
        </w:rPr>
      </w:pPr>
      <w:r>
        <w:rPr>
          <w:rFonts w:ascii="仿宋_GB2312" w:hAnsi="Calibri" w:eastAsia="仿宋_GB2312" w:cs="Times New Roman"/>
          <w:b w:val="0"/>
          <w:bCs w:val="0"/>
          <w:kern w:val="2"/>
          <w:sz w:val="32"/>
          <w:szCs w:val="32"/>
          <w:lang w:val="en-US" w:eastAsia="zh-CN" w:bidi="ar-SA"/>
        </w:rPr>
        <w:t>（五）承担</w:t>
      </w:r>
      <w:r>
        <w:rPr>
          <w:rFonts w:hint="eastAsia" w:ascii="仿宋_GB2312" w:hAnsi="Calibri" w:eastAsia="仿宋_GB2312" w:cs="Times New Roman"/>
          <w:b w:val="0"/>
          <w:bCs w:val="0"/>
          <w:kern w:val="2"/>
          <w:sz w:val="32"/>
          <w:szCs w:val="32"/>
          <w:lang w:val="en-US" w:eastAsia="zh-CN" w:bidi="ar-SA"/>
        </w:rPr>
        <w:t>区委、区政府和省、市</w:t>
      </w:r>
      <w:r>
        <w:rPr>
          <w:rFonts w:ascii="仿宋_GB2312" w:hAnsi="Calibri" w:eastAsia="仿宋_GB2312" w:cs="Times New Roman"/>
          <w:b w:val="0"/>
          <w:bCs w:val="0"/>
          <w:kern w:val="2"/>
          <w:sz w:val="32"/>
          <w:szCs w:val="32"/>
          <w:lang w:val="en-US" w:eastAsia="zh-CN" w:bidi="ar-SA"/>
        </w:rPr>
        <w:t>计划生育协会交办的有关事项。</w:t>
      </w:r>
    </w:p>
    <w:p>
      <w:pPr>
        <w:pStyle w:val="2"/>
        <w:pageBreakBefore w:val="0"/>
        <w:widowControl w:val="0"/>
        <w:kinsoku/>
        <w:wordWrap/>
        <w:overflowPunct/>
        <w:topLinePunct w:val="0"/>
        <w:autoSpaceDE/>
        <w:autoSpaceDN/>
        <w:bidi w:val="0"/>
        <w:adjustRightInd/>
        <w:spacing w:before="0" w:after="0" w:line="578" w:lineRule="exact"/>
        <w:jc w:val="left"/>
        <w:textAlignment w:val="auto"/>
        <w:rPr>
          <w:rFonts w:hint="eastAsia"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keepNext w:val="0"/>
        <w:keepLines w:val="0"/>
        <w:pageBreakBefore w:val="0"/>
        <w:kinsoku/>
        <w:wordWrap/>
        <w:overflowPunct/>
        <w:topLinePunct w:val="0"/>
        <w:bidi w:val="0"/>
        <w:snapToGrid w:val="0"/>
        <w:spacing w:after="0" w:line="360" w:lineRule="auto"/>
        <w:ind w:firstLine="640" w:firstLineChars="200"/>
        <w:jc w:val="both"/>
        <w:textAlignment w:val="auto"/>
        <w:rPr>
          <w:rFonts w:ascii="仿宋_GB2312" w:hAnsi="Calibri" w:eastAsia="仿宋_GB2312"/>
          <w:sz w:val="32"/>
          <w:szCs w:val="32"/>
        </w:rPr>
      </w:pPr>
      <w:r>
        <w:rPr>
          <w:rFonts w:hint="eastAsia" w:ascii="仿宋_GB2312" w:hAnsi="Calibri" w:eastAsia="仿宋_GB2312"/>
          <w:sz w:val="32"/>
          <w:szCs w:val="32"/>
        </w:rPr>
        <w:t>从决算编报单位构成看，纳入2018 年度本部门决算汇编范围的独立核算单位（以下简称“单位”）共</w:t>
      </w:r>
      <w:r>
        <w:rPr>
          <w:rFonts w:hint="eastAsia" w:ascii="仿宋_GB2312" w:hAnsi="Calibri" w:eastAsia="仿宋_GB2312"/>
          <w:sz w:val="32"/>
          <w:szCs w:val="32"/>
          <w:lang w:val="en-US" w:eastAsia="zh-CN"/>
        </w:rPr>
        <w:t>1</w:t>
      </w:r>
      <w:r>
        <w:rPr>
          <w:rFonts w:hint="eastAsia" w:ascii="仿宋_GB2312" w:hAnsi="Calibri" w:eastAsia="仿宋_GB2312"/>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hint="eastAsia" w:ascii="仿宋_GB2312" w:cs="ArialUnicodeMS" w:hAnsiTheme="minorHAnsi" w:eastAsiaTheme="minorEastAsia"/>
                <w:kern w:val="0"/>
                <w:sz w:val="28"/>
                <w:szCs w:val="28"/>
                <w:lang w:eastAsia="zh-CN"/>
              </w:rPr>
            </w:pPr>
            <w:r>
              <w:rPr>
                <w:rFonts w:hint="eastAsia" w:ascii="仿宋_GB2312" w:cs="ArialUnicodeMS" w:hAnsiTheme="minorHAnsi" w:eastAsiaTheme="minorEastAsia"/>
                <w:kern w:val="0"/>
                <w:sz w:val="28"/>
                <w:szCs w:val="28"/>
              </w:rPr>
              <w:t>石家庄市鹿泉区</w:t>
            </w:r>
            <w:r>
              <w:rPr>
                <w:rFonts w:hint="eastAsia" w:ascii="仿宋_GB2312" w:cs="ArialUnicodeMS" w:hAnsiTheme="minorHAnsi" w:eastAsiaTheme="minorEastAsia"/>
                <w:kern w:val="0"/>
                <w:sz w:val="28"/>
                <w:szCs w:val="28"/>
                <w:lang w:eastAsia="zh-CN"/>
              </w:rPr>
              <w:t>计划生育协会</w:t>
            </w:r>
          </w:p>
        </w:tc>
        <w:tc>
          <w:tcPr>
            <w:tcW w:w="2445" w:type="dxa"/>
          </w:tcPr>
          <w:p>
            <w:pPr>
              <w:spacing w:after="0" w:line="560" w:lineRule="exact"/>
              <w:jc w:val="center"/>
              <w:rPr>
                <w:rFonts w:hint="eastAsia" w:ascii="仿宋_GB2312" w:cs="ArialUnicodeMS" w:hAnsiTheme="minorHAnsi" w:eastAsiaTheme="minorEastAsia"/>
                <w:kern w:val="0"/>
                <w:sz w:val="28"/>
                <w:szCs w:val="28"/>
                <w:lang w:eastAsia="zh-CN"/>
              </w:rPr>
            </w:pPr>
            <w:r>
              <w:rPr>
                <w:rFonts w:hint="eastAsia" w:ascii="仿宋_GB2312" w:cs="ArialUnicodeMS" w:hAnsiTheme="minorHAnsi" w:eastAsiaTheme="minorEastAsia"/>
                <w:kern w:val="0"/>
                <w:sz w:val="28"/>
                <w:szCs w:val="28"/>
                <w:lang w:eastAsia="zh-CN"/>
              </w:rPr>
              <w:t>参公事业单位</w:t>
            </w:r>
          </w:p>
        </w:tc>
        <w:tc>
          <w:tcPr>
            <w:tcW w:w="2665" w:type="dxa"/>
          </w:tcPr>
          <w:p>
            <w:pPr>
              <w:spacing w:after="0" w:line="560" w:lineRule="exact"/>
              <w:jc w:val="center"/>
              <w:rPr>
                <w:rFonts w:ascii="仿宋_GB2312" w:cs="ArialUnicodeMS" w:hAnsiTheme="minorHAnsi" w:eastAsiaTheme="minorEastAsia"/>
                <w:kern w:val="0"/>
                <w:sz w:val="28"/>
                <w:szCs w:val="28"/>
              </w:rPr>
            </w:pPr>
            <w:r>
              <w:rPr>
                <w:rFonts w:hint="eastAsia" w:ascii="仿宋_GB2312" w:cs="ArialUnicodeMS" w:hAnsiTheme="minorHAnsi" w:eastAsiaTheme="minorEastAsia"/>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both"/>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103" o:spid="_x0000_s1103" o:spt="202" type="#_x0000_t202" style="position:absolute;left:0pt;margin-left:-74.2pt;margin-top:120.3pt;height:159.1pt;width:596.2pt;z-index:25166745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sz w:val="44"/>
              </w:rPr>
              <w:pict>
                <v:group id="_x0000_s1117" o:spid="_x0000_s1117" o:spt="203" style="position:absolute;left:0pt;margin-left:-64.25pt;margin-top:-82.6pt;height:41.2pt;width:243.2pt;mso-position-vertical-relative:page;z-index:251693056;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aspectratio="f"/>
                  <v:rect id="矩形 13" o:spid="_x0000_s1118" o:spt="1" style="position:absolute;left:4551;top:52615;height:1175;width:8546;v-text-anchor:middle;" fillcolor="#D9D9D9"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path/>
                    <v:fill on="t" focussize="0,0"/>
                    <v:stroke on="f" weight="2pt"/>
                    <v:imagedata o:title=""/>
                    <o:lock v:ext="edit" aspectratio="f"/>
                  </v:rect>
                  <v:rect id="矩形 14" o:spid="_x0000_s1119"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w:r>
            <w:r>
              <w:rPr>
                <w:sz w:val="44"/>
              </w:rPr>
              <w:pict>
                <v:group id="_x0000_s1100" o:spid="_x0000_s1100" o:spt="203" style="position:absolute;left:0pt;margin-left:-70.25pt;margin-top:-81.85pt;height:41.2pt;width:243.2pt;mso-position-vertical-relative:page;z-index:251675648;mso-width-relative:page;mso-height-relative:page;" coordorigin="4551,52615" coordsize="8546,1398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OCvFSPcAAAADQEAAA8AAAAAAAAAAQAgAAAA&#10;IgAAAGRycy9kb3ducmV2LnhtbFBLAQIUABQAAAAIAIdO4kAubploJAMAAO4IAAAOAAAAAAAAAAEA&#10;IAAAACsBAABkcnMvZTJvRG9jLnhtbFBLBQYAAAAABgAGAFkBAADBBgAAAAA=&#10;">
                  <o:lock v:ext="edit"/>
                  <v:rect id="矩形 13" o:spid="_x0000_s1102"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01"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4603"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2"/>
                <w:szCs w:val="22"/>
                <w:lang w:eastAsia="zh-CN"/>
              </w:rPr>
              <w:t>石家庄市鹿泉区计划生育协会</w:t>
            </w:r>
            <w:r>
              <w:rPr>
                <w:rFonts w:hint="eastAsia" w:ascii="宋体" w:hAnsi="宋体" w:cs="宋体"/>
                <w:color w:val="000000"/>
                <w:kern w:val="0"/>
                <w:szCs w:val="21"/>
                <w:lang w:eastAsia="zh-CN"/>
              </w:rPr>
              <w:t>计生协</w:t>
            </w: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147.56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right="100"/>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5.25</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134.48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4.11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147.56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99.88</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13.29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17.02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hint="default" w:ascii="宋体" w:hAnsi="宋体" w:cs="宋体"/>
                <w:color w:val="000000"/>
                <w:sz w:val="18"/>
                <w:szCs w:val="18"/>
                <w:lang w:val="en-US"/>
              </w:rPr>
            </w:pPr>
            <w:r>
              <w:rPr>
                <w:rFonts w:hint="eastAsia" w:ascii="宋体" w:hAnsi="宋体" w:cs="宋体"/>
                <w:color w:val="000000"/>
                <w:sz w:val="18"/>
                <w:szCs w:val="18"/>
                <w:lang w:val="en-US" w:eastAsia="zh-CN"/>
              </w:rPr>
              <w:t>160.86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160.86</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463"/>
        <w:gridCol w:w="1536"/>
        <w:gridCol w:w="372"/>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w:t>
            </w:r>
            <w:r>
              <w:rPr>
                <w:sz w:val="44"/>
              </w:rPr>
              <w:pict>
                <v:group id="_x0000_s1114" o:spid="_x0000_s1114" o:spt="203" style="position:absolute;left:0pt;margin-left:-76.75pt;margin-top:-82.6pt;height:41.2pt;width:243.2pt;mso-position-vertical-relative:page;z-index:251693056;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aspectratio="f"/>
                  <v:rect id="矩形 13" o:spid="_x0000_s1115" o:spt="1" style="position:absolute;left:4551;top:52615;height:1175;width:8546;v-text-anchor:middle;" fillcolor="#D9D9D9"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path/>
                    <v:fill on="t" focussize="0,0"/>
                    <v:stroke on="f" weight="2pt"/>
                    <v:imagedata o:title=""/>
                    <o:lock v:ext="edit" aspectratio="f"/>
                  </v:rect>
                  <v:rect id="矩形 14" o:spid="_x0000_s1116"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w:r>
            <w:r>
              <w:rPr>
                <w:sz w:val="44"/>
              </w:rPr>
              <w:pict>
                <v:group id="_x0000_s1097" o:spid="_x0000_s1097" o:spt="203" style="position:absolute;left:0pt;margin-left:-82.75pt;margin-top:-81.1pt;height:41.2pt;width:243.2pt;mso-position-vertical-relative:page;z-index:251676672;mso-width-relative:page;mso-height-relative:page;" coordorigin="4551,52615" coordsize="8546,1398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v:rect id="矩形 13" o:spid="_x0000_s1099" o:spt="1" style="position:absolute;left:4551;top:52615;height:1175;width:8546;v-text-anchor:middle;" fillcolor="#D9D9D9"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8"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4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5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7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4776" w:type="dxa"/>
            <w:gridSpan w:val="10"/>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r>
              <w:rPr>
                <w:rFonts w:hint="eastAsia" w:ascii="宋体" w:hAnsi="宋体" w:cs="宋体"/>
                <w:color w:val="000000"/>
                <w:kern w:val="0"/>
                <w:szCs w:val="21"/>
              </w:rPr>
              <w:t>部门：</w:t>
            </w:r>
            <w:r>
              <w:rPr>
                <w:rFonts w:hint="eastAsia" w:ascii="宋体" w:hAnsi="宋体" w:cs="宋体"/>
                <w:color w:val="000000"/>
                <w:kern w:val="0"/>
                <w:sz w:val="22"/>
                <w:szCs w:val="22"/>
                <w:lang w:eastAsia="zh-CN"/>
              </w:rPr>
              <w:t>石家庄市鹿泉区计划生育协会</w:t>
            </w:r>
            <w:r>
              <w:rPr>
                <w:rFonts w:hint="eastAsia" w:ascii="宋体" w:hAnsi="宋体" w:cs="宋体"/>
                <w:color w:val="000000"/>
                <w:kern w:val="0"/>
                <w:szCs w:val="21"/>
                <w:lang w:eastAsia="zh-CN"/>
              </w:rPr>
              <w:t>计生协</w:t>
            </w: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513" w:type="dxa"/>
            <w:gridSpan w:val="4"/>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759"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97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536"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759"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51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75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511" w:hRule="exact"/>
          <w:jc w:val="center"/>
        </w:trPr>
        <w:tc>
          <w:tcPr>
            <w:tcW w:w="251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75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cs="宋体"/>
                <w:b/>
                <w:color w:val="000000"/>
                <w:sz w:val="18"/>
                <w:szCs w:val="18"/>
                <w:lang w:val="en-US" w:eastAsia="zh-CN"/>
              </w:rPr>
            </w:pPr>
            <w:r>
              <w:rPr>
                <w:rFonts w:hint="eastAsia" w:ascii="宋体" w:hAnsi="宋体" w:cs="宋体"/>
                <w:b/>
                <w:i w:val="0"/>
                <w:color w:val="000000"/>
                <w:kern w:val="0"/>
                <w:sz w:val="22"/>
                <w:szCs w:val="22"/>
                <w:u w:val="none"/>
                <w:lang w:val="en-US" w:eastAsia="zh-CN" w:bidi="ar"/>
              </w:rPr>
              <w:t>147.56</w:t>
            </w: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cs="宋体"/>
                <w:b/>
                <w:color w:val="000000"/>
                <w:sz w:val="18"/>
                <w:szCs w:val="18"/>
                <w:lang w:val="en-US"/>
              </w:rPr>
            </w:pPr>
            <w:r>
              <w:rPr>
                <w:rFonts w:hint="eastAsia" w:ascii="宋体" w:hAnsi="宋体" w:cs="宋体"/>
                <w:b/>
                <w:i w:val="0"/>
                <w:color w:val="000000"/>
                <w:kern w:val="0"/>
                <w:sz w:val="22"/>
                <w:szCs w:val="22"/>
                <w:u w:val="none"/>
                <w:lang w:val="en-US" w:eastAsia="zh-CN" w:bidi="ar"/>
              </w:rPr>
              <w:t>147.56</w:t>
            </w: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cs="宋体"/>
                <w:b/>
                <w:color w:val="000000"/>
                <w:sz w:val="18"/>
                <w:szCs w:val="18"/>
                <w:lang w:val="en-US"/>
              </w:rPr>
            </w:pPr>
            <w:r>
              <w:rPr>
                <w:rFonts w:hint="eastAsia" w:ascii="宋体" w:hAnsi="宋体" w:cs="宋体"/>
                <w:b/>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67" w:hRule="exact"/>
          <w:jc w:val="center"/>
        </w:trPr>
        <w:tc>
          <w:tcPr>
            <w:tcW w:w="97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w:t>
            </w:r>
          </w:p>
        </w:tc>
        <w:tc>
          <w:tcPr>
            <w:tcW w:w="15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社会保障和就业支出</w:t>
            </w:r>
          </w:p>
        </w:tc>
        <w:tc>
          <w:tcPr>
            <w:tcW w:w="75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6.86</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6.86</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67" w:hRule="exact"/>
          <w:jc w:val="center"/>
        </w:trPr>
        <w:tc>
          <w:tcPr>
            <w:tcW w:w="97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20805</w:t>
            </w:r>
          </w:p>
        </w:tc>
        <w:tc>
          <w:tcPr>
            <w:tcW w:w="15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行政事业单位离退休</w:t>
            </w:r>
          </w:p>
        </w:tc>
        <w:tc>
          <w:tcPr>
            <w:tcW w:w="75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6.86</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6.86</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919" w:hRule="exact"/>
          <w:jc w:val="center"/>
        </w:trPr>
        <w:tc>
          <w:tcPr>
            <w:tcW w:w="97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2080505</w:t>
            </w:r>
          </w:p>
        </w:tc>
        <w:tc>
          <w:tcPr>
            <w:tcW w:w="15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 xml:space="preserve">  机关事业单位基本养老保险缴费支出</w:t>
            </w:r>
          </w:p>
        </w:tc>
        <w:tc>
          <w:tcPr>
            <w:tcW w:w="75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6.86</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6.86</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641" w:hRule="exact"/>
          <w:jc w:val="center"/>
        </w:trPr>
        <w:tc>
          <w:tcPr>
            <w:tcW w:w="97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w:t>
            </w:r>
          </w:p>
        </w:tc>
        <w:tc>
          <w:tcPr>
            <w:tcW w:w="15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医疗卫生与计划生育支出</w:t>
            </w:r>
          </w:p>
        </w:tc>
        <w:tc>
          <w:tcPr>
            <w:tcW w:w="75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136.59</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136.59</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3.60</w:t>
            </w:r>
          </w:p>
        </w:tc>
      </w:tr>
      <w:tr>
        <w:tblPrEx>
          <w:tblCellMar>
            <w:top w:w="0" w:type="dxa"/>
            <w:left w:w="0" w:type="dxa"/>
            <w:bottom w:w="0" w:type="dxa"/>
            <w:right w:w="0" w:type="dxa"/>
          </w:tblCellMar>
        </w:tblPrEx>
        <w:trPr>
          <w:trHeight w:val="609" w:hRule="exact"/>
          <w:jc w:val="center"/>
        </w:trPr>
        <w:tc>
          <w:tcPr>
            <w:tcW w:w="97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21001</w:t>
            </w:r>
          </w:p>
        </w:tc>
        <w:tc>
          <w:tcPr>
            <w:tcW w:w="15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rPr>
            </w:pPr>
            <w:r>
              <w:rPr>
                <w:rFonts w:hint="eastAsia" w:ascii="宋体" w:hAnsi="宋体" w:cs="宋体"/>
                <w:color w:val="000000"/>
                <w:kern w:val="0"/>
                <w:sz w:val="20"/>
                <w:szCs w:val="20"/>
                <w:lang w:val="en-US" w:eastAsia="zh-CN"/>
              </w:rPr>
              <w:t>医疗卫生与计划生育管理事务</w:t>
            </w:r>
          </w:p>
        </w:tc>
        <w:tc>
          <w:tcPr>
            <w:tcW w:w="75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84.61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84.61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3.60</w:t>
            </w:r>
          </w:p>
        </w:tc>
      </w:tr>
      <w:tr>
        <w:tblPrEx>
          <w:tblCellMar>
            <w:top w:w="0" w:type="dxa"/>
            <w:left w:w="0" w:type="dxa"/>
            <w:bottom w:w="0" w:type="dxa"/>
            <w:right w:w="0" w:type="dxa"/>
          </w:tblCellMar>
        </w:tblPrEx>
        <w:trPr>
          <w:trHeight w:val="567" w:hRule="exact"/>
          <w:jc w:val="center"/>
        </w:trPr>
        <w:tc>
          <w:tcPr>
            <w:tcW w:w="97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kern w:val="0"/>
                <w:sz w:val="22"/>
                <w:szCs w:val="22"/>
              </w:rPr>
            </w:pPr>
            <w:r>
              <w:rPr>
                <w:rFonts w:hint="eastAsia" w:ascii="宋体" w:hAnsi="宋体" w:eastAsia="宋体" w:cs="宋体"/>
                <w:i w:val="0"/>
                <w:color w:val="000000"/>
                <w:kern w:val="0"/>
                <w:sz w:val="22"/>
                <w:szCs w:val="22"/>
                <w:u w:val="none"/>
                <w:lang w:val="en-US" w:eastAsia="zh-CN" w:bidi="ar"/>
              </w:rPr>
              <w:t>2100101</w:t>
            </w:r>
          </w:p>
        </w:tc>
        <w:tc>
          <w:tcPr>
            <w:tcW w:w="15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 xml:space="preserve">  行政运行</w:t>
            </w:r>
          </w:p>
        </w:tc>
        <w:tc>
          <w:tcPr>
            <w:tcW w:w="75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79.61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79.61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3.60</w:t>
            </w:r>
          </w:p>
        </w:tc>
      </w:tr>
      <w:tr>
        <w:tblPrEx>
          <w:tblCellMar>
            <w:top w:w="0" w:type="dxa"/>
            <w:left w:w="0" w:type="dxa"/>
            <w:bottom w:w="0" w:type="dxa"/>
            <w:right w:w="0" w:type="dxa"/>
          </w:tblCellMar>
        </w:tblPrEx>
        <w:trPr>
          <w:trHeight w:val="907" w:hRule="exact"/>
          <w:jc w:val="center"/>
        </w:trPr>
        <w:tc>
          <w:tcPr>
            <w:tcW w:w="97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kern w:val="0"/>
                <w:sz w:val="22"/>
                <w:szCs w:val="22"/>
              </w:rPr>
            </w:pPr>
            <w:r>
              <w:rPr>
                <w:rFonts w:hint="eastAsia" w:ascii="宋体" w:hAnsi="宋体" w:eastAsia="宋体" w:cs="宋体"/>
                <w:i w:val="0"/>
                <w:color w:val="000000"/>
                <w:kern w:val="0"/>
                <w:sz w:val="22"/>
                <w:szCs w:val="22"/>
                <w:u w:val="none"/>
                <w:lang w:val="en-US" w:eastAsia="zh-CN" w:bidi="ar"/>
              </w:rPr>
              <w:t>2100199</w:t>
            </w:r>
          </w:p>
        </w:tc>
        <w:tc>
          <w:tcPr>
            <w:tcW w:w="15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 xml:space="preserve">  其他医疗卫生与计划生育管理事务支出</w:t>
            </w:r>
          </w:p>
        </w:tc>
        <w:tc>
          <w:tcPr>
            <w:tcW w:w="75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5.00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67" w:hRule="exact"/>
          <w:jc w:val="center"/>
        </w:trPr>
        <w:tc>
          <w:tcPr>
            <w:tcW w:w="97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21007</w:t>
            </w:r>
          </w:p>
        </w:tc>
        <w:tc>
          <w:tcPr>
            <w:tcW w:w="153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计划生育事务</w:t>
            </w:r>
          </w:p>
        </w:tc>
        <w:tc>
          <w:tcPr>
            <w:tcW w:w="759" w:type="dxa"/>
            <w:gridSpan w:val="3"/>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46.87</w:t>
            </w:r>
          </w:p>
        </w:tc>
        <w:tc>
          <w:tcPr>
            <w:tcW w:w="920"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46.87</w:t>
            </w:r>
          </w:p>
        </w:tc>
        <w:tc>
          <w:tcPr>
            <w:tcW w:w="92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67" w:hRule="exact"/>
          <w:jc w:val="center"/>
        </w:trPr>
        <w:tc>
          <w:tcPr>
            <w:tcW w:w="97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2100717</w:t>
            </w:r>
          </w:p>
        </w:tc>
        <w:tc>
          <w:tcPr>
            <w:tcW w:w="153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 xml:space="preserve"> 计划生育服务</w:t>
            </w:r>
          </w:p>
        </w:tc>
        <w:tc>
          <w:tcPr>
            <w:tcW w:w="759" w:type="dxa"/>
            <w:gridSpan w:val="3"/>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46.87</w:t>
            </w:r>
          </w:p>
        </w:tc>
        <w:tc>
          <w:tcPr>
            <w:tcW w:w="920"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46.87</w:t>
            </w:r>
          </w:p>
        </w:tc>
        <w:tc>
          <w:tcPr>
            <w:tcW w:w="92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CellMar>
            <w:top w:w="0" w:type="dxa"/>
            <w:left w:w="0" w:type="dxa"/>
            <w:bottom w:w="0" w:type="dxa"/>
            <w:right w:w="0" w:type="dxa"/>
          </w:tblCellMar>
        </w:tblPrEx>
        <w:trPr>
          <w:trHeight w:val="567" w:hRule="exact"/>
          <w:jc w:val="center"/>
        </w:trPr>
        <w:tc>
          <w:tcPr>
            <w:tcW w:w="97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21011</w:t>
            </w:r>
          </w:p>
        </w:tc>
        <w:tc>
          <w:tcPr>
            <w:tcW w:w="153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行政事业单位医疗</w:t>
            </w:r>
          </w:p>
        </w:tc>
        <w:tc>
          <w:tcPr>
            <w:tcW w:w="759" w:type="dxa"/>
            <w:gridSpan w:val="3"/>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5.11</w:t>
            </w:r>
          </w:p>
        </w:tc>
        <w:tc>
          <w:tcPr>
            <w:tcW w:w="920"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5.11</w:t>
            </w:r>
          </w:p>
        </w:tc>
        <w:tc>
          <w:tcPr>
            <w:tcW w:w="92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CellMar>
            <w:top w:w="0" w:type="dxa"/>
            <w:left w:w="0" w:type="dxa"/>
            <w:bottom w:w="0" w:type="dxa"/>
            <w:right w:w="0" w:type="dxa"/>
          </w:tblCellMar>
        </w:tblPrEx>
        <w:trPr>
          <w:trHeight w:val="567" w:hRule="exact"/>
          <w:jc w:val="center"/>
        </w:trPr>
        <w:tc>
          <w:tcPr>
            <w:tcW w:w="97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2101101</w:t>
            </w:r>
          </w:p>
        </w:tc>
        <w:tc>
          <w:tcPr>
            <w:tcW w:w="153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 xml:space="preserve"> 行政单位医疗</w:t>
            </w:r>
          </w:p>
        </w:tc>
        <w:tc>
          <w:tcPr>
            <w:tcW w:w="759" w:type="dxa"/>
            <w:gridSpan w:val="3"/>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5.11</w:t>
            </w:r>
          </w:p>
        </w:tc>
        <w:tc>
          <w:tcPr>
            <w:tcW w:w="920"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5.11</w:t>
            </w:r>
          </w:p>
        </w:tc>
        <w:tc>
          <w:tcPr>
            <w:tcW w:w="92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CellMar>
            <w:top w:w="0" w:type="dxa"/>
            <w:left w:w="0" w:type="dxa"/>
            <w:bottom w:w="0" w:type="dxa"/>
            <w:right w:w="0" w:type="dxa"/>
          </w:tblCellMar>
        </w:tblPrEx>
        <w:trPr>
          <w:trHeight w:val="567" w:hRule="exact"/>
          <w:jc w:val="center"/>
        </w:trPr>
        <w:tc>
          <w:tcPr>
            <w:tcW w:w="97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221</w:t>
            </w:r>
          </w:p>
        </w:tc>
        <w:tc>
          <w:tcPr>
            <w:tcW w:w="153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住房保障支出</w:t>
            </w:r>
          </w:p>
        </w:tc>
        <w:tc>
          <w:tcPr>
            <w:tcW w:w="759" w:type="dxa"/>
            <w:gridSpan w:val="3"/>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4.11</w:t>
            </w:r>
          </w:p>
        </w:tc>
        <w:tc>
          <w:tcPr>
            <w:tcW w:w="920"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4.11</w:t>
            </w:r>
          </w:p>
        </w:tc>
        <w:tc>
          <w:tcPr>
            <w:tcW w:w="92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CellMar>
            <w:top w:w="0" w:type="dxa"/>
            <w:left w:w="0" w:type="dxa"/>
            <w:bottom w:w="0" w:type="dxa"/>
            <w:right w:w="0" w:type="dxa"/>
          </w:tblCellMar>
        </w:tblPrEx>
        <w:trPr>
          <w:trHeight w:val="567" w:hRule="exact"/>
          <w:jc w:val="center"/>
        </w:trPr>
        <w:tc>
          <w:tcPr>
            <w:tcW w:w="97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22102</w:t>
            </w:r>
          </w:p>
        </w:tc>
        <w:tc>
          <w:tcPr>
            <w:tcW w:w="153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住房改革支出</w:t>
            </w:r>
          </w:p>
        </w:tc>
        <w:tc>
          <w:tcPr>
            <w:tcW w:w="759" w:type="dxa"/>
            <w:gridSpan w:val="3"/>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4.11</w:t>
            </w:r>
          </w:p>
        </w:tc>
        <w:tc>
          <w:tcPr>
            <w:tcW w:w="920"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4.11</w:t>
            </w:r>
          </w:p>
        </w:tc>
        <w:tc>
          <w:tcPr>
            <w:tcW w:w="92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r>
        <w:tblPrEx>
          <w:tblCellMar>
            <w:top w:w="0" w:type="dxa"/>
            <w:left w:w="0" w:type="dxa"/>
            <w:bottom w:w="0" w:type="dxa"/>
            <w:right w:w="0" w:type="dxa"/>
          </w:tblCellMar>
        </w:tblPrEx>
        <w:trPr>
          <w:trHeight w:val="567" w:hRule="exact"/>
          <w:jc w:val="center"/>
        </w:trPr>
        <w:tc>
          <w:tcPr>
            <w:tcW w:w="977"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c>
          <w:tcPr>
            <w:tcW w:w="153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p>
        </w:tc>
        <w:tc>
          <w:tcPr>
            <w:tcW w:w="759" w:type="dxa"/>
            <w:gridSpan w:val="3"/>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20"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c>
          <w:tcPr>
            <w:tcW w:w="92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p>
        </w:tc>
      </w:tr>
    </w:tbl>
    <w:p>
      <w:pPr>
        <w:widowControl/>
        <w:spacing w:after="0" w:line="560" w:lineRule="exact"/>
        <w:jc w:val="left"/>
        <w:rPr>
          <w:rFonts w:hint="eastAsia" w:ascii="仿宋_GB2312" w:hAnsiTheme="majorEastAsia" w:eastAsiaTheme="min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85" w:type="dxa"/>
        <w:tblInd w:w="17" w:type="dxa"/>
        <w:tblLayout w:type="fixed"/>
        <w:tblCellMar>
          <w:top w:w="0" w:type="dxa"/>
          <w:left w:w="0" w:type="dxa"/>
          <w:bottom w:w="0" w:type="dxa"/>
          <w:right w:w="0" w:type="dxa"/>
        </w:tblCellMar>
      </w:tblPr>
      <w:tblGrid>
        <w:gridCol w:w="275"/>
        <w:gridCol w:w="289"/>
        <w:gridCol w:w="505"/>
        <w:gridCol w:w="1956"/>
        <w:gridCol w:w="106"/>
        <w:gridCol w:w="794"/>
        <w:gridCol w:w="324"/>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8985"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w:t>
            </w:r>
            <w:r>
              <w:rPr>
                <w:sz w:val="44"/>
              </w:rPr>
              <w:pict>
                <v:group id="_x0000_s1129" o:spid="_x0000_s1129" o:spt="203" style="position:absolute;left:0pt;margin-left:-75.65pt;margin-top:-81.85pt;height:41.2pt;width:243.2pt;mso-position-vertical-relative:page;z-index:251694080;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aspectratio="f"/>
                  <v:rect id="矩形 13" o:spid="_x0000_s1130" o:spt="1" style="position:absolute;left:4551;top:52615;height:1175;width:8546;v-text-anchor:middle;" fillcolor="#D9D9D9"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path/>
                    <v:fill on="t" focussize="0,0"/>
                    <v:stroke on="f" weight="2pt"/>
                    <v:imagedata o:title=""/>
                    <o:lock v:ext="edit" aspectratio="f"/>
                  </v:rect>
                  <v:rect id="矩形 14" o:spid="_x0000_s1131"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w:r>
            <w:r>
              <w:rPr>
                <w:sz w:val="44"/>
              </w:rPr>
              <w:pict>
                <v:group id="_x0000_s1094" o:spid="_x0000_s1094" o:spt="203" style="position:absolute;left:0pt;margin-left:-80.9pt;margin-top:-81.1pt;height:41.2pt;width:243.2pt;mso-position-vertical-relative:page;z-index:251677696;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cmlLK3AAAAA0BAAAPAAAAAAAAAAEA&#10;IAAAACIAAABkcnMvZG93bnJldi54bWxQSwECFAAUAAAACACHTuJATKGUYCgDAADuCAAADgAAAAAA&#10;AAABACAAAAArAQAAZHJzL2Uyb0RvYy54bWxQSwUGAAAAAAYABgBZAQAAxQYAAAAA&#10;">
                  <o:lock v:ext="edit"/>
                  <v:rect id="矩形 13" o:spid="_x0000_s1096" o:spt="1" style="position:absolute;left:4551;top:52615;height:1175;width:8546;v-text-anchor:middle;" fillcolor="#D9D9D9"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5"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表</w:t>
            </w:r>
          </w:p>
        </w:tc>
      </w:tr>
      <w:tr>
        <w:tblPrEx>
          <w:tblCellMar>
            <w:top w:w="0" w:type="dxa"/>
            <w:left w:w="0" w:type="dxa"/>
            <w:bottom w:w="0" w:type="dxa"/>
            <w:right w:w="0" w:type="dxa"/>
          </w:tblCellMar>
        </w:tblPrEx>
        <w:trPr>
          <w:trHeight w:val="404" w:hRule="atLeast"/>
        </w:trPr>
        <w:tc>
          <w:tcPr>
            <w:tcW w:w="27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0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95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0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5369"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r>
              <w:rPr>
                <w:rFonts w:hint="eastAsia" w:ascii="宋体" w:hAnsi="宋体" w:cs="宋体"/>
                <w:color w:val="000000"/>
                <w:kern w:val="0"/>
                <w:szCs w:val="21"/>
              </w:rPr>
              <w:t>部门：</w:t>
            </w:r>
            <w:r>
              <w:rPr>
                <w:rFonts w:hint="eastAsia" w:ascii="宋体" w:hAnsi="宋体" w:cs="宋体"/>
                <w:color w:val="000000"/>
                <w:kern w:val="0"/>
                <w:sz w:val="22"/>
                <w:szCs w:val="22"/>
                <w:lang w:eastAsia="zh-CN"/>
              </w:rPr>
              <w:t>石家庄市鹿泉区计划生育协会</w:t>
            </w:r>
            <w:r>
              <w:rPr>
                <w:rFonts w:hint="eastAsia" w:ascii="宋体" w:hAnsi="宋体" w:cs="宋体"/>
                <w:color w:val="000000"/>
                <w:kern w:val="0"/>
                <w:szCs w:val="21"/>
                <w:lang w:eastAsia="zh-CN"/>
              </w:rPr>
              <w:t>计生协</w:t>
            </w: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507" w:hRule="atLeast"/>
        </w:trPr>
        <w:tc>
          <w:tcPr>
            <w:tcW w:w="302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900"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726"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593" w:hRule="atLeast"/>
        </w:trPr>
        <w:tc>
          <w:tcPr>
            <w:tcW w:w="10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9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900"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726"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3025"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9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567" w:hRule="exact"/>
        </w:trPr>
        <w:tc>
          <w:tcPr>
            <w:tcW w:w="3025"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9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cs="宋体"/>
                <w:b/>
                <w:color w:val="000000"/>
                <w:szCs w:val="21"/>
                <w:lang w:val="en-US"/>
              </w:rPr>
            </w:pPr>
            <w:r>
              <w:rPr>
                <w:rFonts w:hint="eastAsia" w:ascii="宋体" w:hAnsi="宋体" w:cs="宋体"/>
                <w:b/>
                <w:i w:val="0"/>
                <w:color w:val="000000"/>
                <w:kern w:val="0"/>
                <w:sz w:val="22"/>
                <w:szCs w:val="22"/>
                <w:u w:val="none"/>
                <w:lang w:val="en-US" w:eastAsia="zh-CN" w:bidi="ar"/>
              </w:rPr>
              <w:t>143.84</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cs="宋体"/>
                <w:b/>
                <w:color w:val="000000"/>
                <w:szCs w:val="21"/>
                <w:lang w:val="en-US"/>
              </w:rPr>
            </w:pPr>
            <w:r>
              <w:rPr>
                <w:rFonts w:hint="eastAsia" w:ascii="宋体" w:hAnsi="宋体" w:cs="宋体"/>
                <w:b/>
                <w:i w:val="0"/>
                <w:color w:val="000000"/>
                <w:kern w:val="0"/>
                <w:sz w:val="22"/>
                <w:szCs w:val="22"/>
                <w:u w:val="none"/>
                <w:lang w:val="en-US" w:eastAsia="zh-CN" w:bidi="ar"/>
              </w:rPr>
              <w:t>92.64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cs="宋体"/>
                <w:b/>
                <w:color w:val="000000"/>
                <w:szCs w:val="21"/>
                <w:lang w:val="en-US"/>
              </w:rPr>
            </w:pPr>
            <w:r>
              <w:rPr>
                <w:rFonts w:hint="eastAsia" w:ascii="宋体" w:hAnsi="宋体" w:cs="宋体"/>
                <w:b/>
                <w:i w:val="0"/>
                <w:color w:val="000000"/>
                <w:kern w:val="0"/>
                <w:sz w:val="22"/>
                <w:szCs w:val="22"/>
                <w:u w:val="none"/>
                <w:lang w:val="en-US" w:eastAsia="zh-CN" w:bidi="ar"/>
              </w:rPr>
              <w:t>51.2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657" w:hRule="exact"/>
        </w:trPr>
        <w:tc>
          <w:tcPr>
            <w:tcW w:w="10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w:t>
            </w:r>
          </w:p>
        </w:tc>
        <w:tc>
          <w:tcPr>
            <w:tcW w:w="19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社会保障和就业支出</w:t>
            </w:r>
          </w:p>
        </w:tc>
        <w:tc>
          <w:tcPr>
            <w:tcW w:w="9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5.25</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5.25</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67" w:hRule="exact"/>
        </w:trPr>
        <w:tc>
          <w:tcPr>
            <w:tcW w:w="10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20805</w:t>
            </w:r>
          </w:p>
        </w:tc>
        <w:tc>
          <w:tcPr>
            <w:tcW w:w="19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行政事业单位离退休</w:t>
            </w:r>
          </w:p>
        </w:tc>
        <w:tc>
          <w:tcPr>
            <w:tcW w:w="9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5.25</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5.25</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973" w:hRule="exact"/>
        </w:trPr>
        <w:tc>
          <w:tcPr>
            <w:tcW w:w="10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2080505</w:t>
            </w:r>
          </w:p>
        </w:tc>
        <w:tc>
          <w:tcPr>
            <w:tcW w:w="19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机关事业单位基本养老保险缴费支出</w:t>
            </w:r>
          </w:p>
        </w:tc>
        <w:tc>
          <w:tcPr>
            <w:tcW w:w="9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5.25</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5.25</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607" w:hRule="exact"/>
        </w:trPr>
        <w:tc>
          <w:tcPr>
            <w:tcW w:w="10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w:t>
            </w:r>
          </w:p>
        </w:tc>
        <w:tc>
          <w:tcPr>
            <w:tcW w:w="19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医疗卫生与计划生育支出</w:t>
            </w:r>
          </w:p>
        </w:tc>
        <w:tc>
          <w:tcPr>
            <w:tcW w:w="9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134.48</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83.28</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51.20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1" w:hRule="exact"/>
        </w:trPr>
        <w:tc>
          <w:tcPr>
            <w:tcW w:w="10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21001</w:t>
            </w:r>
          </w:p>
        </w:tc>
        <w:tc>
          <w:tcPr>
            <w:tcW w:w="19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医疗卫生与计划生育管理事务</w:t>
            </w:r>
          </w:p>
        </w:tc>
        <w:tc>
          <w:tcPr>
            <w:tcW w:w="9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83.17</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78.17</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5" w:hRule="exact"/>
        </w:trPr>
        <w:tc>
          <w:tcPr>
            <w:tcW w:w="10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kern w:val="0"/>
                <w:sz w:val="22"/>
                <w:szCs w:val="22"/>
              </w:rPr>
            </w:pPr>
            <w:r>
              <w:rPr>
                <w:rFonts w:hint="eastAsia" w:ascii="宋体" w:hAnsi="宋体" w:eastAsia="宋体" w:cs="宋体"/>
                <w:i w:val="0"/>
                <w:color w:val="000000"/>
                <w:kern w:val="0"/>
                <w:sz w:val="22"/>
                <w:szCs w:val="22"/>
                <w:u w:val="none"/>
                <w:lang w:val="en-US" w:eastAsia="zh-CN" w:bidi="ar"/>
              </w:rPr>
              <w:t>2100101</w:t>
            </w:r>
          </w:p>
        </w:tc>
        <w:tc>
          <w:tcPr>
            <w:tcW w:w="19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行政运行</w:t>
            </w:r>
          </w:p>
        </w:tc>
        <w:tc>
          <w:tcPr>
            <w:tcW w:w="9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78.17</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78.17</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005" w:hRule="exact"/>
        </w:trPr>
        <w:tc>
          <w:tcPr>
            <w:tcW w:w="10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2100199</w:t>
            </w:r>
          </w:p>
        </w:tc>
        <w:tc>
          <w:tcPr>
            <w:tcW w:w="19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其他医疗卫生与计划生育管理事务支出</w:t>
            </w:r>
          </w:p>
        </w:tc>
        <w:tc>
          <w:tcPr>
            <w:tcW w:w="9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5.00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19" w:hRule="exact"/>
        </w:trPr>
        <w:tc>
          <w:tcPr>
            <w:tcW w:w="10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21007</w:t>
            </w:r>
          </w:p>
        </w:tc>
        <w:tc>
          <w:tcPr>
            <w:tcW w:w="19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计划生育事务</w:t>
            </w:r>
          </w:p>
        </w:tc>
        <w:tc>
          <w:tcPr>
            <w:tcW w:w="9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46.20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46.20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37" w:hRule="exact"/>
        </w:trPr>
        <w:tc>
          <w:tcPr>
            <w:tcW w:w="10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kern w:val="0"/>
                <w:sz w:val="22"/>
                <w:szCs w:val="22"/>
              </w:rPr>
            </w:pPr>
            <w:r>
              <w:rPr>
                <w:rFonts w:hint="eastAsia" w:ascii="宋体" w:hAnsi="宋体" w:eastAsia="宋体" w:cs="宋体"/>
                <w:i w:val="0"/>
                <w:color w:val="000000"/>
                <w:kern w:val="0"/>
                <w:sz w:val="22"/>
                <w:szCs w:val="22"/>
                <w:u w:val="none"/>
                <w:lang w:val="en-US" w:eastAsia="zh-CN" w:bidi="ar"/>
              </w:rPr>
              <w:t>2100717</w:t>
            </w:r>
          </w:p>
        </w:tc>
        <w:tc>
          <w:tcPr>
            <w:tcW w:w="19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计划生育服务</w:t>
            </w:r>
          </w:p>
        </w:tc>
        <w:tc>
          <w:tcPr>
            <w:tcW w:w="9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46.20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46.20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67" w:hRule="exact"/>
        </w:trPr>
        <w:tc>
          <w:tcPr>
            <w:tcW w:w="10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kern w:val="0"/>
                <w:sz w:val="22"/>
                <w:szCs w:val="22"/>
              </w:rPr>
            </w:pPr>
            <w:r>
              <w:rPr>
                <w:rFonts w:hint="eastAsia" w:ascii="宋体" w:hAnsi="宋体" w:eastAsia="宋体" w:cs="宋体"/>
                <w:i w:val="0"/>
                <w:color w:val="000000"/>
                <w:kern w:val="0"/>
                <w:sz w:val="22"/>
                <w:szCs w:val="22"/>
                <w:u w:val="none"/>
                <w:lang w:val="en-US" w:eastAsia="zh-CN" w:bidi="ar"/>
              </w:rPr>
              <w:t>21011</w:t>
            </w:r>
          </w:p>
        </w:tc>
        <w:tc>
          <w:tcPr>
            <w:tcW w:w="19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行政事业单位医疗</w:t>
            </w:r>
          </w:p>
        </w:tc>
        <w:tc>
          <w:tcPr>
            <w:tcW w:w="9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5.11</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5.11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01" w:hRule="exact"/>
        </w:trPr>
        <w:tc>
          <w:tcPr>
            <w:tcW w:w="10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kern w:val="0"/>
                <w:sz w:val="22"/>
                <w:szCs w:val="22"/>
              </w:rPr>
            </w:pPr>
            <w:r>
              <w:rPr>
                <w:rFonts w:hint="eastAsia" w:ascii="宋体" w:hAnsi="宋体" w:eastAsia="宋体" w:cs="宋体"/>
                <w:i w:val="0"/>
                <w:color w:val="000000"/>
                <w:kern w:val="0"/>
                <w:sz w:val="22"/>
                <w:szCs w:val="22"/>
                <w:u w:val="none"/>
                <w:lang w:val="en-US" w:eastAsia="zh-CN" w:bidi="ar"/>
              </w:rPr>
              <w:t>2101101</w:t>
            </w:r>
          </w:p>
        </w:tc>
        <w:tc>
          <w:tcPr>
            <w:tcW w:w="19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行政单位医疗</w:t>
            </w:r>
          </w:p>
        </w:tc>
        <w:tc>
          <w:tcPr>
            <w:tcW w:w="9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5.11</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5.11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53" w:hRule="exact"/>
        </w:trPr>
        <w:tc>
          <w:tcPr>
            <w:tcW w:w="10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221</w:t>
            </w:r>
          </w:p>
        </w:tc>
        <w:tc>
          <w:tcPr>
            <w:tcW w:w="19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住房保障支出</w:t>
            </w:r>
          </w:p>
        </w:tc>
        <w:tc>
          <w:tcPr>
            <w:tcW w:w="9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4.11</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4.11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13" w:hRule="exact"/>
        </w:trPr>
        <w:tc>
          <w:tcPr>
            <w:tcW w:w="10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22102</w:t>
            </w:r>
          </w:p>
        </w:tc>
        <w:tc>
          <w:tcPr>
            <w:tcW w:w="19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住房改革支出</w:t>
            </w:r>
          </w:p>
        </w:tc>
        <w:tc>
          <w:tcPr>
            <w:tcW w:w="9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4.11</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4.11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67" w:hRule="exact"/>
        </w:trPr>
        <w:tc>
          <w:tcPr>
            <w:tcW w:w="10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2210201</w:t>
            </w:r>
          </w:p>
        </w:tc>
        <w:tc>
          <w:tcPr>
            <w:tcW w:w="19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住房公积金</w:t>
            </w:r>
          </w:p>
        </w:tc>
        <w:tc>
          <w:tcPr>
            <w:tcW w:w="9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4.11</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4.11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0.00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67" w:hRule="exact"/>
        </w:trPr>
        <w:tc>
          <w:tcPr>
            <w:tcW w:w="8985"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w:t>
            </w:r>
            <w:r>
              <w:rPr>
                <w:sz w:val="44"/>
              </w:rPr>
              <w:pict>
                <v:group id="_x0000_s1132" o:spid="_x0000_s1132" o:spt="203" style="position:absolute;left:0pt;margin-left:-74.9pt;margin-top:-81.85pt;height:41.2pt;width:243.2pt;mso-position-vertical-relative:page;z-index:251695104;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aspectratio="f"/>
                  <v:rect id="矩形 13" o:spid="_x0000_s1133" o:spt="1" style="position:absolute;left:4551;top:52615;height:1175;width:8546;v-text-anchor:middle;" fillcolor="#D9D9D9"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path/>
                    <v:fill on="t" focussize="0,0"/>
                    <v:stroke on="f" weight="2pt"/>
                    <v:imagedata o:title=""/>
                    <o:lock v:ext="edit" aspectratio="f"/>
                  </v:rect>
                  <v:rect id="矩形 14" o:spid="_x0000_s1134"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w:r>
            <w:r>
              <w:rPr>
                <w:sz w:val="44"/>
              </w:rPr>
              <w:pict>
                <v:group id="_x0000_s1091" o:spid="_x0000_s1091" o:spt="203" style="position:absolute;left:0pt;margin-left:-80.9pt;margin-top:-81.1pt;height:41.2pt;width:243.2pt;mso-position-vertical-relative:page;z-index:251678720;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F5b3vwpAwAA7ggAAA4AAAAA&#10;AAAAAQAgAAAAKwEAAGRycy9lMm9Eb2MueG1sUEsFBgAAAAAGAAYAWQEAAMYGAAAAAA==&#10;">
                  <o:lock v:ext="edit"/>
                  <v:rect id="矩形 13" o:spid="_x0000_s1093" o:spt="1" style="position:absolute;left:4551;top:52615;height:1175;width:8546;v-text-anchor:middle;" fillcolor="#D9D9D9" filled="t" stroked="f" coordsize="21600,21600" o:gfxdata="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SdN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92" o:spt="1" style="position:absolute;left:4577;top:52890;height:1123;width:8324;v-text-anchor:middle;" fillcolor="#AD002D" filled="t" stroked="t" coordsize="21600,21600" o:gfxdata="UEsDBAoAAAAAAIdO4kAAAAAAAAAAAAAAAAAEAAAAZHJzL1BLAwQUAAAACACHTuJAZyF8mLsAAADb&#10;AAAADwAAAGRycy9kb3ducmV2LnhtbEWPS4sCMRCE78L+h9ALe9PExdV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F8m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pPr>
                          <w:r>
                            <w:rPr>
                              <w:rFonts w:hint="eastAsia" w:ascii="楷体" w:hAnsi="楷体" w:eastAsia="楷体" w:cs="楷体"/>
                              <w:b/>
                              <w:bCs/>
                              <w:color w:val="FDEFBE"/>
                              <w:kern w:val="0"/>
                              <w:sz w:val="32"/>
                              <w:szCs w:val="32"/>
                            </w:rPr>
                            <w:t>2018年度部门决算☞决算报表</w:t>
                          </w:r>
                        </w:p>
                      </w:txbxContent>
                    </v:textbox>
                  </v:rect>
                  <w10:anchorlock/>
                </v:group>
              </w:pict>
            </w:r>
            <w:r>
              <w:rPr>
                <w:rFonts w:hint="eastAsia" w:ascii="黑体" w:hAnsi="宋体" w:eastAsia="黑体" w:cs="黑体"/>
                <w:color w:val="000000"/>
                <w:kern w:val="0"/>
                <w:sz w:val="40"/>
                <w:szCs w:val="40"/>
              </w:rPr>
              <w:t>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rPr>
              <w:t>部门：</w:t>
            </w:r>
            <w:r>
              <w:rPr>
                <w:rFonts w:hint="eastAsia" w:ascii="宋体" w:hAnsi="宋体" w:cs="宋体"/>
                <w:color w:val="000000"/>
                <w:kern w:val="0"/>
                <w:sz w:val="22"/>
                <w:szCs w:val="22"/>
                <w:lang w:eastAsia="zh-CN"/>
              </w:rPr>
              <w:t>石家庄市鹿泉区计划生育协会</w:t>
            </w:r>
            <w:r>
              <w:rPr>
                <w:rFonts w:hint="eastAsia" w:ascii="宋体" w:hAnsi="宋体" w:cs="宋体"/>
                <w:color w:val="000000"/>
                <w:kern w:val="0"/>
                <w:szCs w:val="21"/>
                <w:lang w:eastAsia="zh-CN"/>
              </w:rPr>
              <w:t>计生协</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147.56</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0.00</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5.25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5.25</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134.48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134.48</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4.11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4.11</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147.56</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143.84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143.84</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13.29</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17.02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17.02</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13.29</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160.86</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160.86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160.86</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590" w:hRule="exac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w:t>
            </w:r>
            <w:r>
              <w:rPr>
                <w:sz w:val="44"/>
              </w:rPr>
              <w:pict>
                <v:group id="_x0000_s1135" o:spid="_x0000_s1135" o:spt="203" style="position:absolute;left:0pt;margin-left:-74.9pt;margin-top:-81.85pt;height:41.2pt;width:243.2pt;mso-position-vertical-relative:page;z-index:251696128;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aspectratio="f"/>
                  <v:rect id="矩形 13" o:spid="_x0000_s1136" o:spt="1" style="position:absolute;left:4551;top:52615;height:1175;width:8546;v-text-anchor:middle;" fillcolor="#D9D9D9"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path/>
                    <v:fill on="t" focussize="0,0"/>
                    <v:stroke on="f" weight="2pt"/>
                    <v:imagedata o:title=""/>
                    <o:lock v:ext="edit" aspectratio="f"/>
                  </v:rect>
                  <v:rect id="矩形 14" o:spid="_x0000_s1137"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w:r>
            <w:r>
              <w:rPr>
                <w:sz w:val="44"/>
              </w:rPr>
              <w:pict>
                <v:group id="_x0000_s1088" o:spid="_x0000_s1088" o:spt="203" style="position:absolute;left:0pt;margin-left:-80.9pt;margin-top:-81.1pt;height:41.2pt;width:243.2pt;mso-position-vertical-relative:page;z-index:251679744;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JpSytwAAAANAQAADwAAAAAAAAABACAA&#10;AAAiAAAAZHJzL2Rvd25yZXYueG1sUEsBAhQAFAAAAAgAh07iQLS7gBcmAwAA7ggAAA4AAAAAAAAA&#10;AQAgAAAAKwEAAGRycy9lMm9Eb2MueG1sUEsFBgAAAAAGAAYAWQEAAMMGAAAAAA==&#10;">
                  <o:lock v:ext="edit"/>
                  <v:rect id="矩形 13" o:spid="_x0000_s1090" o:spt="1" style="position:absolute;left:4551;top:52615;height:1175;width:8546;v-text-anchor:middle;" fillcolor="#D9D9D9" filled="t" stroked="f" coordsize="21600,21600" o:gfxdata="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YDQr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89" o:spt="1" style="position:absolute;left:4577;top:52890;height:1123;width:8324;v-text-anchor:middle;" fillcolor="#AD002D" filled="t" stroked="t" coordsize="21600,21600" o:gfxdata="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kg0wa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590" w:hRule="exac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590" w:hRule="exact"/>
        </w:trPr>
        <w:tc>
          <w:tcPr>
            <w:tcW w:w="5739"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r>
              <w:rPr>
                <w:rFonts w:hint="eastAsia" w:ascii="宋体" w:hAnsi="宋体" w:cs="宋体"/>
                <w:color w:val="000000"/>
                <w:kern w:val="0"/>
                <w:szCs w:val="21"/>
              </w:rPr>
              <w:t>部门：</w:t>
            </w:r>
            <w:r>
              <w:rPr>
                <w:rFonts w:hint="eastAsia" w:ascii="宋体" w:hAnsi="宋体" w:cs="宋体"/>
                <w:color w:val="000000"/>
                <w:kern w:val="0"/>
                <w:sz w:val="22"/>
                <w:szCs w:val="22"/>
                <w:lang w:eastAsia="zh-CN"/>
              </w:rPr>
              <w:t>石家庄市鹿泉区计划生育协会</w:t>
            </w:r>
            <w:r>
              <w:rPr>
                <w:rFonts w:hint="eastAsia" w:ascii="宋体" w:hAnsi="宋体" w:cs="宋体"/>
                <w:color w:val="000000"/>
                <w:kern w:val="0"/>
                <w:szCs w:val="21"/>
                <w:lang w:eastAsia="zh-CN"/>
              </w:rPr>
              <w:t>计生协计生协</w:t>
            </w: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590" w:hRule="exac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590" w:hRule="exac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590" w:hRule="exac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exac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30" w:hRule="exac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424" w:hRule="exac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143.84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92.64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51.2</w:t>
            </w:r>
          </w:p>
        </w:tc>
      </w:tr>
      <w:tr>
        <w:tblPrEx>
          <w:tblCellMar>
            <w:top w:w="0" w:type="dxa"/>
            <w:left w:w="0" w:type="dxa"/>
            <w:bottom w:w="0" w:type="dxa"/>
            <w:right w:w="0" w:type="dxa"/>
          </w:tblCellMar>
        </w:tblPrEx>
        <w:trPr>
          <w:trHeight w:val="590"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5.25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5.25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90"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行政事业单位离退休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5.25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5.25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90"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2080505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 xml:space="preserve">  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5.25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5.25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90"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医疗卫生与计划生育支出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134.48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83.28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51.20</w:t>
            </w:r>
          </w:p>
        </w:tc>
      </w:tr>
      <w:tr>
        <w:tblPrEx>
          <w:tblCellMar>
            <w:top w:w="0" w:type="dxa"/>
            <w:left w:w="0" w:type="dxa"/>
            <w:bottom w:w="0" w:type="dxa"/>
            <w:right w:w="0" w:type="dxa"/>
          </w:tblCellMar>
        </w:tblPrEx>
        <w:trPr>
          <w:trHeight w:val="590"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医疗卫生与计划生育管理事务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83.17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78.17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5.00</w:t>
            </w:r>
          </w:p>
        </w:tc>
      </w:tr>
      <w:tr>
        <w:tblPrEx>
          <w:tblCellMar>
            <w:top w:w="0" w:type="dxa"/>
            <w:left w:w="0" w:type="dxa"/>
            <w:bottom w:w="0" w:type="dxa"/>
            <w:right w:w="0" w:type="dxa"/>
          </w:tblCellMar>
        </w:tblPrEx>
        <w:trPr>
          <w:trHeight w:val="448"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kern w:val="0"/>
                <w:sz w:val="22"/>
                <w:szCs w:val="22"/>
              </w:rPr>
            </w:pPr>
            <w:r>
              <w:rPr>
                <w:rFonts w:hint="eastAsia" w:ascii="宋体" w:hAnsi="宋体" w:eastAsia="宋体" w:cs="宋体"/>
                <w:i w:val="0"/>
                <w:color w:val="000000"/>
                <w:kern w:val="0"/>
                <w:sz w:val="22"/>
                <w:szCs w:val="22"/>
                <w:u w:val="none"/>
                <w:lang w:val="en-US" w:eastAsia="zh-CN" w:bidi="ar"/>
              </w:rPr>
              <w:t>2100101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 xml:space="preserve">  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78.17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78.17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90"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2100199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 xml:space="preserve">  其他医疗卫生与计划生育管理事务支出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5.00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5.00</w:t>
            </w:r>
          </w:p>
        </w:tc>
      </w:tr>
      <w:tr>
        <w:tblPrEx>
          <w:tblCellMar>
            <w:top w:w="0" w:type="dxa"/>
            <w:left w:w="0" w:type="dxa"/>
            <w:bottom w:w="0" w:type="dxa"/>
            <w:right w:w="0" w:type="dxa"/>
          </w:tblCellMar>
        </w:tblPrEx>
        <w:trPr>
          <w:trHeight w:val="590"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21007</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计划生育事务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46.20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46.20</w:t>
            </w:r>
          </w:p>
        </w:tc>
      </w:tr>
      <w:tr>
        <w:tblPrEx>
          <w:tblCellMar>
            <w:top w:w="0" w:type="dxa"/>
            <w:left w:w="0" w:type="dxa"/>
            <w:bottom w:w="0" w:type="dxa"/>
            <w:right w:w="0" w:type="dxa"/>
          </w:tblCellMar>
        </w:tblPrEx>
        <w:trPr>
          <w:trHeight w:val="590"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kern w:val="0"/>
                <w:sz w:val="22"/>
                <w:szCs w:val="22"/>
              </w:rPr>
            </w:pPr>
            <w:r>
              <w:rPr>
                <w:rFonts w:hint="eastAsia" w:ascii="宋体" w:hAnsi="宋体" w:eastAsia="宋体" w:cs="宋体"/>
                <w:i w:val="0"/>
                <w:color w:val="000000"/>
                <w:kern w:val="0"/>
                <w:sz w:val="22"/>
                <w:szCs w:val="22"/>
                <w:u w:val="none"/>
                <w:lang w:val="en-US" w:eastAsia="zh-CN" w:bidi="ar"/>
              </w:rPr>
              <w:t>2100717</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 xml:space="preserve">  计划生育服务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46.20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46.20</w:t>
            </w:r>
          </w:p>
        </w:tc>
      </w:tr>
      <w:tr>
        <w:tblPrEx>
          <w:tblCellMar>
            <w:top w:w="0" w:type="dxa"/>
            <w:left w:w="0" w:type="dxa"/>
            <w:bottom w:w="0" w:type="dxa"/>
            <w:right w:w="0" w:type="dxa"/>
          </w:tblCellMar>
        </w:tblPrEx>
        <w:trPr>
          <w:trHeight w:val="590"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kern w:val="0"/>
                <w:sz w:val="22"/>
                <w:szCs w:val="22"/>
              </w:rPr>
            </w:pPr>
            <w:r>
              <w:rPr>
                <w:rFonts w:hint="eastAsia" w:ascii="宋体" w:hAnsi="宋体" w:eastAsia="宋体" w:cs="宋体"/>
                <w:i w:val="0"/>
                <w:color w:val="000000"/>
                <w:kern w:val="0"/>
                <w:sz w:val="22"/>
                <w:szCs w:val="22"/>
                <w:u w:val="none"/>
                <w:lang w:val="en-US" w:eastAsia="zh-CN" w:bidi="ar"/>
              </w:rPr>
              <w:t>21011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行政事业单位医疗</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5.11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5.11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90"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kern w:val="0"/>
                <w:sz w:val="22"/>
                <w:szCs w:val="22"/>
              </w:rPr>
            </w:pPr>
            <w:r>
              <w:rPr>
                <w:rFonts w:hint="eastAsia" w:ascii="宋体" w:hAnsi="宋体" w:eastAsia="宋体" w:cs="宋体"/>
                <w:i w:val="0"/>
                <w:color w:val="000000"/>
                <w:kern w:val="0"/>
                <w:sz w:val="22"/>
                <w:szCs w:val="22"/>
                <w:u w:val="none"/>
                <w:lang w:val="en-US" w:eastAsia="zh-CN" w:bidi="ar"/>
              </w:rPr>
              <w:t>2101101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 xml:space="preserve">  行政单位医疗</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5.11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5.11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90"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221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住房保障支出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4.11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4.11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90"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22102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住房改革支出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4.11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4.11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590"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kern w:val="0"/>
                <w:sz w:val="22"/>
                <w:szCs w:val="22"/>
              </w:rPr>
            </w:pPr>
            <w:r>
              <w:rPr>
                <w:rFonts w:hint="eastAsia" w:ascii="宋体" w:hAnsi="宋体" w:eastAsia="宋体" w:cs="宋体"/>
                <w:i w:val="0"/>
                <w:color w:val="000000"/>
                <w:kern w:val="0"/>
                <w:sz w:val="22"/>
                <w:szCs w:val="22"/>
                <w:u w:val="none"/>
                <w:lang w:val="en-US" w:eastAsia="zh-CN" w:bidi="ar"/>
              </w:rPr>
              <w:t>2210201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 xml:space="preserve">  住房公积金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Cs w:val="21"/>
              </w:rPr>
            </w:pPr>
            <w:r>
              <w:rPr>
                <w:rFonts w:hint="eastAsia" w:ascii="宋体" w:hAnsi="宋体" w:eastAsia="宋体" w:cs="宋体"/>
                <w:i w:val="0"/>
                <w:color w:val="000000"/>
                <w:kern w:val="0"/>
                <w:sz w:val="22"/>
                <w:szCs w:val="22"/>
                <w:u w:val="none"/>
                <w:lang w:val="en-US" w:eastAsia="zh-CN" w:bidi="ar"/>
              </w:rPr>
              <w:t>4.11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Cs w:val="21"/>
              </w:rPr>
            </w:pPr>
            <w:r>
              <w:rPr>
                <w:rFonts w:hint="eastAsia" w:ascii="宋体" w:hAnsi="宋体" w:eastAsia="宋体" w:cs="宋体"/>
                <w:i w:val="0"/>
                <w:color w:val="000000"/>
                <w:kern w:val="0"/>
                <w:sz w:val="22"/>
                <w:szCs w:val="22"/>
                <w:u w:val="none"/>
                <w:lang w:val="en-US" w:eastAsia="zh-CN" w:bidi="ar"/>
              </w:rPr>
              <w:t>4.11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0.00</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color w:val="000000"/>
                <w:kern w:val="0"/>
                <w:sz w:val="22"/>
                <w:szCs w:val="22"/>
                <w:lang w:eastAsia="zh-CN"/>
              </w:rPr>
              <w:t>石家庄市鹿泉区计划生育协会</w:t>
            </w:r>
            <w:r>
              <w:rPr>
                <w:rFonts w:hint="eastAsia" w:ascii="宋体" w:hAnsi="宋体" w:cs="宋体"/>
                <w:color w:val="000000"/>
                <w:kern w:val="0"/>
                <w:szCs w:val="21"/>
                <w:lang w:eastAsia="zh-CN"/>
              </w:rPr>
              <w:t>计生协</w:t>
            </w:r>
            <w:r>
              <w:rPr>
                <w:sz w:val="44"/>
              </w:rPr>
              <w:pict>
                <v:group id="_x0000_s1138" o:spid="_x0000_s1138" o:spt="203" style="position:absolute;left:0pt;margin-left:-67.25pt;margin-top:-130.15pt;height:41.2pt;width:243.2pt;mso-position-vertical-relative:page;z-index:251697152;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aspectratio="f"/>
                  <v:rect id="矩形 13" o:spid="_x0000_s1139" o:spt="1" style="position:absolute;left:4551;top:52615;height:1175;width:8546;v-text-anchor:middle;" fillcolor="#D9D9D9"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path/>
                    <v:fill on="t" focussize="0,0"/>
                    <v:stroke on="f" weight="2pt"/>
                    <v:imagedata o:title=""/>
                    <o:lock v:ext="edit" aspectratio="f"/>
                  </v:rect>
                  <v:rect id="矩形 14" o:spid="_x0000_s1140"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w:r>
            <w:r>
              <w:rPr>
                <w:sz w:val="44"/>
              </w:rPr>
              <w:pict>
                <v:group id="_x0000_s1085" o:spid="_x0000_s1085" o:spt="203" style="position:absolute;left:0pt;margin-left:-73.25pt;margin-top:-129.4pt;height:41.2pt;width:243.2pt;mso-position-vertical-relative:page;z-index:251680768;mso-width-relative:page;mso-height-relative:page;" coordorigin="4551,52615" coordsize="8546,1398203"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sDI+9N0AAAAOAQAADwAAAAAAAAABACAA&#10;AAAiAAAAZHJzL2Rvd25yZXYueG1sUEsBAhQAFAAAAAgAh07iQORqdSQlAwAA7ggAAA4AAAAAAAAA&#10;AQAgAAAALAEAAGRycy9lMm9Eb2MueG1sUEsFBgAAAAAGAAYAWQEAAMMGAAAAAA==&#10;">
                  <o:lock v:ext="edit"/>
                  <v:rect id="矩形 13" o:spid="_x0000_s1087" o:spt="1" style="position:absolute;left:4551;top:52615;height:1175;width:8546;v-text-anchor:middle;" fillcolor="#D9D9D9" filled="t" stroked="f" coordsize="21600,21600" o:gfxdata="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Jg3r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86" o:spt="1" style="position:absolute;left:4577;top:52890;height:1123;width:8324;v-text-anchor:middle;" fillcolor="#AD002D" filled="t" stroked="t" coordsize="21600,21600" o:gfxdata="UEsDBAoAAAAAAIdO4kAAAAAAAAAAAAAAAAAEAAAAZHJzL1BLAwQUAAAACACHTuJAncPsRrsAAADb&#10;AAAADwAAAGRycy9kb3ducmV2LnhtbEWPS4sCMRCE7wv+h9CCtzUZQ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PsR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76.94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12.51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20.37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1.47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15.23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23.12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0.68</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0.68</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5.25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5.65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5.23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2.59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0.41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4.99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0.16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2.50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2.48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default" w:ascii="宋体" w:hAnsi="宋体" w:cs="宋体"/>
                <w:color w:val="000000"/>
                <w:kern w:val="0"/>
                <w:sz w:val="16"/>
                <w:szCs w:val="16"/>
                <w:lang w:val="en-US" w:eastAsia="zh-CN"/>
              </w:rPr>
            </w:pPr>
            <w:r>
              <w:rPr>
                <w:rFonts w:hint="eastAsia" w:ascii="宋体" w:hAnsi="宋体" w:cs="宋体"/>
                <w:color w:val="000000"/>
                <w:kern w:val="0"/>
                <w:sz w:val="16"/>
                <w:szCs w:val="16"/>
                <w:lang w:val="en-US" w:eastAsia="zh-CN"/>
              </w:rPr>
              <w:t>0.02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0.76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0.69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3.52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hint="eastAsia" w:ascii="宋体" w:hAnsi="宋体" w:cs="宋体"/>
                <w:color w:val="000000"/>
                <w:kern w:val="0"/>
                <w:sz w:val="16"/>
                <w:szCs w:val="16"/>
              </w:rPr>
            </w:pPr>
            <w:r>
              <w:rPr>
                <w:rFonts w:hint="eastAsia" w:ascii="宋体" w:hAnsi="宋体" w:cs="宋体"/>
                <w:color w:val="000000"/>
                <w:kern w:val="0"/>
                <w:sz w:val="16"/>
                <w:szCs w:val="16"/>
                <w:lang w:val="en-US" w:eastAsia="zh-CN"/>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lang w:val="en-US" w:eastAsia="zh-CN"/>
              </w:rPr>
              <w:t>79.</w:t>
            </w:r>
            <w:r>
              <w:rPr>
                <w:rFonts w:hint="eastAsia" w:ascii="宋体" w:hAnsi="宋体" w:cs="宋体"/>
                <w:color w:val="000000"/>
                <w:sz w:val="16"/>
                <w:szCs w:val="16"/>
              </w:rPr>
              <w:t>45</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13.19</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w:t>
            </w:r>
            <w:r>
              <w:rPr>
                <w:sz w:val="44"/>
              </w:rPr>
              <w:pict>
                <v:group id="_x0000_s1141" o:spid="_x0000_s1141" o:spt="203" style="position:absolute;left:0pt;margin-left:-76.75pt;margin-top:-81.85pt;height:41.2pt;width:243.2pt;mso-position-vertical-relative:page;z-index:251698176;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aspectratio="f"/>
                  <v:rect id="矩形 13" o:spid="_x0000_s1142" o:spt="1" style="position:absolute;left:4551;top:52615;height:1175;width:8546;v-text-anchor:middle;" fillcolor="#D9D9D9"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path/>
                    <v:fill on="t" focussize="0,0"/>
                    <v:stroke on="f" weight="2pt"/>
                    <v:imagedata o:title=""/>
                    <o:lock v:ext="edit" aspectratio="f"/>
                  </v:rect>
                  <v:rect id="矩形 14" o:spid="_x0000_s1143"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w:r>
            <w:r>
              <w:rPr>
                <w:sz w:val="44"/>
              </w:rPr>
              <w:pict>
                <v:group id="_x0000_s1082" o:spid="_x0000_s1082" o:spt="203" style="position:absolute;left:0pt;margin-left:-82.75pt;margin-top:-81.1pt;height:41.2pt;width:243.2pt;mso-position-vertical-relative:page;z-index:251681792;mso-width-relative:page;mso-height-relative:page;" coordorigin="4551,52615" coordsize="8546,1398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wnm4jcAAAADQEAAA8AAAAAAAAAAQAgAAAA&#10;IgAAAGRycy9kb3ducmV2LnhtbFBLAQIUABQAAAAIAIdO4kBoNz3RJAMAAO4IAAAOAAAAAAAAAAEA&#10;IAAAACsBAABkcnMvZTJvRG9jLnhtbFBLBQYAAAAABgAGAFkBAADBBgAAAAA=&#10;">
                  <o:lock v:ext="edit"/>
                  <v:rect id="矩形 13" o:spid="_x0000_s1084" o:spt="1" style="position:absolute;left:4551;top:52615;height:1175;width:8546;v-text-anchor:middle;" fillcolor="#D9D9D9"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83"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rPr>
              <w:t>部门：</w:t>
            </w:r>
            <w:r>
              <w:rPr>
                <w:rFonts w:hint="eastAsia" w:ascii="宋体" w:hAnsi="宋体" w:cs="宋体"/>
                <w:color w:val="000000"/>
                <w:kern w:val="0"/>
                <w:sz w:val="22"/>
                <w:szCs w:val="22"/>
                <w:lang w:eastAsia="zh-CN"/>
              </w:rPr>
              <w:t>石家庄市鹿泉区计划生育协会</w:t>
            </w:r>
            <w:r>
              <w:rPr>
                <w:rFonts w:hint="eastAsia" w:ascii="宋体" w:hAnsi="宋体" w:cs="宋体"/>
                <w:color w:val="000000"/>
                <w:kern w:val="0"/>
                <w:szCs w:val="21"/>
                <w:lang w:eastAsia="zh-CN"/>
              </w:rPr>
              <w:t>计生协</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eastAsia" w:ascii="宋体" w:hAnsi="宋体" w:eastAsia="宋体" w:cs="宋体"/>
                <w:color w:val="000000"/>
                <w:szCs w:val="21"/>
                <w:lang w:eastAsia="zh-CN"/>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eastAsia" w:ascii="宋体" w:hAnsi="宋体" w:eastAsia="宋体" w:cs="宋体"/>
                <w:color w:val="000000"/>
                <w:szCs w:val="21"/>
                <w:lang w:eastAsia="zh-CN"/>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eastAsia" w:ascii="宋体" w:hAnsi="宋体" w:eastAsia="宋体" w:cs="宋体"/>
                <w:color w:val="000000"/>
                <w:szCs w:val="21"/>
                <w:lang w:eastAsia="zh-CN"/>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eastAsia" w:ascii="宋体" w:hAnsi="宋体" w:eastAsia="宋体" w:cs="宋体"/>
                <w:color w:val="000000"/>
                <w:szCs w:val="21"/>
                <w:lang w:eastAsia="zh-CN"/>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eastAsia" w:ascii="宋体" w:hAnsi="宋体" w:eastAsia="宋体" w:cs="宋体"/>
                <w:color w:val="000000"/>
                <w:szCs w:val="21"/>
                <w:lang w:eastAsia="zh-CN"/>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eastAsia" w:ascii="宋体" w:hAnsi="宋体" w:eastAsia="宋体" w:cs="宋体"/>
                <w:color w:val="000000"/>
                <w:szCs w:val="21"/>
                <w:lang w:eastAsia="zh-CN"/>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hint="eastAsia" w:ascii="宋体" w:hAnsi="宋体" w:cs="宋体"/>
                <w:color w:val="000000"/>
                <w:kern w:val="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  本部门本年度无相关收入（或支出、收支及结转结余等）情况，按要求空表列示。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w:t>
            </w:r>
            <w:r>
              <w:rPr>
                <w:sz w:val="44"/>
              </w:rPr>
              <w:pict>
                <v:group id="_x0000_s1144" o:spid="_x0000_s1144" o:spt="203" style="position:absolute;left:0pt;margin-left:-74.9pt;margin-top:-81.1pt;height:41.2pt;width:243.2pt;mso-position-vertical-relative:page;z-index:251699200;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aspectratio="f"/>
                  <v:rect id="矩形 13" o:spid="_x0000_s1145" o:spt="1" style="position:absolute;left:4551;top:52615;height:1175;width:8546;v-text-anchor:middle;" fillcolor="#D9D9D9"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path/>
                    <v:fill on="t" focussize="0,0"/>
                    <v:stroke on="f" weight="2pt"/>
                    <v:imagedata o:title=""/>
                    <o:lock v:ext="edit" aspectratio="f"/>
                  </v:rect>
                  <v:rect id="矩形 14" o:spid="_x0000_s1146"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w:r>
            <w:r>
              <w:rPr>
                <w:sz w:val="44"/>
              </w:rPr>
              <w:pict>
                <v:group id="_x0000_s1079" o:spid="_x0000_s1079" o:spt="203" style="position:absolute;left:0pt;margin-left:-80.9pt;margin-top:-81.1pt;height:41.2pt;width:243.2pt;mso-position-vertical-relative:page;z-index:251682816;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ByaUsrcAAAADQEAAA8AAAAAAAAAAQAg&#10;AAAAIgAAAGRycy9kb3ducmV2LnhtbFBLAQIUABQAAAAIAIdO4kDg5H2kJwMAAO4IAAAOAAAAAAAA&#10;AAEAIAAAACsBAABkcnMvZTJvRG9jLnhtbFBLBQYAAAAABgAGAFkBAADEBgAAAAA=&#10;">
                  <o:lock v:ext="edit"/>
                  <v:rect id="矩形 13" o:spid="_x0000_s1081" o:spt="1" style="position:absolute;left:4551;top:52615;height:1175;width:8546;v-text-anchor:middle;" fillcolor="#D9D9D9"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80"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36"/>
                <w:szCs w:val="36"/>
              </w:rPr>
              <w:t>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5208" w:type="dxa"/>
            <w:gridSpan w:val="8"/>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r>
              <w:rPr>
                <w:rFonts w:hint="eastAsia" w:ascii="宋体" w:hAnsi="宋体" w:cs="宋体"/>
                <w:color w:val="000000"/>
                <w:kern w:val="0"/>
                <w:szCs w:val="21"/>
              </w:rPr>
              <w:t>部门：</w:t>
            </w:r>
            <w:r>
              <w:rPr>
                <w:rFonts w:hint="eastAsia" w:ascii="宋体" w:hAnsi="宋体" w:cs="宋体"/>
                <w:color w:val="000000"/>
                <w:kern w:val="0"/>
                <w:sz w:val="22"/>
                <w:szCs w:val="22"/>
                <w:lang w:eastAsia="zh-CN"/>
              </w:rPr>
              <w:t>石家庄市鹿泉区计划生育协会</w:t>
            </w:r>
            <w:r>
              <w:rPr>
                <w:rFonts w:hint="eastAsia" w:ascii="宋体" w:hAnsi="宋体" w:cs="宋体"/>
                <w:color w:val="000000"/>
                <w:kern w:val="0"/>
                <w:szCs w:val="21"/>
                <w:lang w:eastAsia="zh-CN"/>
              </w:rPr>
              <w:t>计生协</w:t>
            </w: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hint="eastAsia" w:ascii="宋体" w:hAnsi="宋体" w:cs="宋体"/>
                <w:color w:val="000000"/>
                <w:kern w:val="0"/>
                <w:szCs w:val="21"/>
              </w:rPr>
            </w:pPr>
            <w:r>
              <w:rPr>
                <w:rFonts w:hint="eastAsia" w:ascii="宋体" w:hAnsi="宋体" w:cs="宋体"/>
                <w:color w:val="000000"/>
                <w:kern w:val="0"/>
                <w:szCs w:val="21"/>
              </w:rPr>
              <w:t xml:space="preserve">注：本表反映部门本年度政府性基金预算财政拨款收入、支出及结转和结余情况。 </w:t>
            </w:r>
          </w:p>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本部门本年度无相关收入（或支出、收支及结转结余等）情况，按要求空表列示。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w:t>
            </w:r>
            <w:r>
              <w:rPr>
                <w:sz w:val="44"/>
              </w:rPr>
              <w:pict>
                <v:group id="_x0000_s1147" o:spid="_x0000_s1147" o:spt="203" style="position:absolute;left:0pt;margin-left:-74.9pt;margin-top:-80.35pt;height:41.2pt;width:243.2pt;mso-position-vertical-relative:page;z-index:251700224;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aspectratio="f"/>
                  <v:rect id="矩形 13" o:spid="_x0000_s1148" o:spt="1" style="position:absolute;left:4551;top:52615;height:1175;width:8546;v-text-anchor:middle;" fillcolor="#D9D9D9"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path/>
                    <v:fill on="t" focussize="0,0"/>
                    <v:stroke on="f" weight="2pt"/>
                    <v:imagedata o:title=""/>
                    <o:lock v:ext="edit" aspectratio="f"/>
                  </v:rect>
                  <v:rect id="矩形 14" o:spid="_x0000_s1149"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w:r>
            <w:r>
              <w:rPr>
                <w:sz w:val="44"/>
              </w:rPr>
              <w:pict>
                <v:group id="_x0000_s1076" o:spid="_x0000_s1076" o:spt="203" style="position:absolute;left:0pt;margin-left:-80.9pt;margin-top:-81.1pt;height:41.2pt;width:243.2pt;mso-position-vertical-relative:page;z-index:251683840;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Li3ANIpAwAA7ggAAA4AAAAA&#10;AAAAAQAgAAAAKwEAAGRycy9lMm9Eb2MueG1sUEsFBgAAAAAGAAYAWQEAAMYGAAAAAA==&#10;">
                  <o:lock v:ext="edit"/>
                  <v:rect id="矩形 13" o:spid="_x0000_s1078" o:spt="1" style="position:absolute;left:4551;top:52615;height:1175;width:8546;v-text-anchor:middle;" fillcolor="#D9D9D9"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77"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5362"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r>
              <w:rPr>
                <w:rFonts w:hint="eastAsia" w:ascii="宋体" w:hAnsi="宋体" w:cs="宋体"/>
                <w:color w:val="000000"/>
                <w:kern w:val="0"/>
                <w:sz w:val="22"/>
                <w:szCs w:val="22"/>
              </w:rPr>
              <w:t>编制单位：</w:t>
            </w:r>
            <w:r>
              <w:rPr>
                <w:rFonts w:hint="eastAsia" w:ascii="宋体" w:hAnsi="宋体" w:cs="宋体"/>
                <w:color w:val="000000"/>
                <w:kern w:val="0"/>
                <w:sz w:val="22"/>
                <w:szCs w:val="22"/>
                <w:lang w:eastAsia="zh-CN"/>
              </w:rPr>
              <w:t>石家庄市鹿泉区计划生育协会</w:t>
            </w: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hint="eastAsia" w:ascii="宋体" w:hAnsi="宋体" w:cs="宋体"/>
                <w:color w:val="000000"/>
                <w:kern w:val="0"/>
                <w:sz w:val="22"/>
                <w:szCs w:val="22"/>
              </w:rPr>
            </w:pPr>
            <w:r>
              <w:rPr>
                <w:rFonts w:hint="eastAsia" w:ascii="宋体" w:hAnsi="宋体" w:cs="宋体"/>
                <w:color w:val="000000"/>
                <w:kern w:val="0"/>
                <w:sz w:val="22"/>
                <w:szCs w:val="22"/>
              </w:rPr>
              <w:t>注：本表反映部门本年度国有资本经营预算财政拨款支出情况。</w:t>
            </w:r>
          </w:p>
          <w:p>
            <w:pPr>
              <w:widowControl/>
              <w:spacing w:after="0" w:line="240" w:lineRule="auto"/>
              <w:jc w:val="left"/>
              <w:textAlignment w:val="center"/>
              <w:rPr>
                <w:rFonts w:hint="eastAsia" w:ascii="宋体" w:hAnsi="宋体" w:cs="宋体"/>
                <w:color w:val="000000"/>
                <w:kern w:val="0"/>
                <w:sz w:val="22"/>
                <w:szCs w:val="22"/>
              </w:rPr>
            </w:pPr>
            <w:r>
              <w:rPr>
                <w:rFonts w:hint="eastAsia" w:ascii="宋体" w:hAnsi="宋体" w:cs="宋体"/>
                <w:color w:val="000000"/>
                <w:kern w:val="0"/>
                <w:sz w:val="22"/>
                <w:szCs w:val="22"/>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w:t>
            </w:r>
            <w:r>
              <w:rPr>
                <w:sz w:val="44"/>
              </w:rPr>
              <w:pict>
                <v:group id="_x0000_s1150" o:spid="_x0000_s1150" o:spt="203" style="position:absolute;left:0pt;margin-left:-74.9pt;margin-top:-80.35pt;height:41.2pt;width:243.2pt;mso-position-vertical-relative:page;z-index:251701248;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aspectratio="f"/>
                  <v:rect id="矩形 13" o:spid="_x0000_s1151" o:spt="1" style="position:absolute;left:4551;top:52615;height:1175;width:8546;v-text-anchor:middle;" fillcolor="#D9D9D9"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path/>
                    <v:fill on="t" focussize="0,0"/>
                    <v:stroke on="f" weight="2pt"/>
                    <v:imagedata o:title=""/>
                    <o:lock v:ext="edit" aspectratio="f"/>
                  </v:rect>
                  <v:rect id="矩形 14" o:spid="_x0000_s1152"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w:r>
            <w:r>
              <w:rPr>
                <w:sz w:val="44"/>
              </w:rPr>
              <w:pict>
                <v:group id="_x0000_s1073" o:spid="_x0000_s1073" o:spt="203" style="position:absolute;left:0pt;margin-left:-80.9pt;margin-top:-81.1pt;height:41.2pt;width:243.2pt;mso-position-vertical-relative:page;z-index:251684864;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ByaUsrcAAAADQEAAA8AAAAAAAAAAQAgAAAAIgAA&#10;AGRycy9kb3ducmV2LnhtbFBLAQIUABQAAAAIAIdO4kCmJVCBIQMAAO4IAAAOAAAAAAAAAAEAIAAA&#10;ACsBAABkcnMvZTJvRG9jLnhtbFBLBQYAAAAABgAGAFkBAAC+BgAAAAA=&#10;">
                  <o:lock v:ext="edit"/>
                  <v:rect id="矩形 13" o:spid="_x0000_s1075" o:spt="1" style="position:absolute;left:4551;top:52615;height:1175;width:8546;v-text-anchor:middle;" fillcolor="#D9D9D9"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74"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 w:val="22"/>
                <w:szCs w:val="22"/>
                <w:lang w:eastAsia="zh-CN"/>
              </w:rPr>
              <w:t>石家庄市鹿泉区计划生育协会</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hint="eastAsia" w:ascii="宋体" w:hAnsi="宋体" w:cs="宋体"/>
                <w:color w:val="000000"/>
                <w:kern w:val="0"/>
                <w:szCs w:val="21"/>
              </w:rPr>
            </w:pPr>
            <w:r>
              <w:rPr>
                <w:rFonts w:hint="eastAsia" w:ascii="宋体" w:hAnsi="宋体" w:cs="宋体"/>
                <w:color w:val="000000"/>
                <w:kern w:val="0"/>
                <w:szCs w:val="21"/>
              </w:rPr>
              <w:t>注：本表反映部门本年度纳入部门预算范围的政府采购预算及支出情况。</w:t>
            </w:r>
          </w:p>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 本部门本年度无相关收入（或支出、收支及结转结余等）情况，按要求空表列示。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233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72" o:spid="_x0000_s1072" o:spt="202" type="#_x0000_t202" style="position:absolute;left:0pt;margin-left:-78.7pt;margin-top:232.8pt;height:159.1pt;width:596.2pt;z-index:251668480;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pageBreakBefore w:val="0"/>
        <w:kinsoku/>
        <w:wordWrap/>
        <w:overflowPunct/>
        <w:topLinePunct w:val="0"/>
        <w:autoSpaceDE/>
        <w:autoSpaceDN/>
        <w:bidi w:val="0"/>
        <w:spacing w:before="0" w:after="0" w:line="578" w:lineRule="exact"/>
        <w:ind w:left="0" w:leftChars="0" w:firstLine="640" w:firstLineChars="200"/>
        <w:textAlignment w:val="auto"/>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组合 18" o:spid="_x0000_s1153" o:spt="203" style="position:absolute;left:0pt;margin-left:11.45pt;margin-top:41.3pt;height:43.95pt;width:301.85pt;mso-position-horizontal-relative:page;mso-position-vertical-relative:page;z-index:25170227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aspectratio="f"/>
            <v:rect id="矩形 13" o:spid="_x0000_s1154"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55"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cs="DengXian-Regular" w:eastAsiaTheme="minorEastAsia"/>
          <w:sz w:val="32"/>
          <w:szCs w:val="32"/>
        </w:rPr>
      </w:pPr>
      <w:r>
        <w:rPr>
          <w:rFonts w:hint="eastAsia" w:ascii="仿宋_GB2312" w:eastAsia="仿宋_GB2312" w:cs="DengXian-Regular"/>
          <w:sz w:val="32"/>
          <w:szCs w:val="32"/>
        </w:rPr>
        <w:t>2018年本年收入147.56万元，本年支出143.84万元，年末结转和结余17.02万元，2017年度结转和结余15.22万元；2017年收入110.63万元，支出99.88万元，同比年收入增加36.93万元，支出增加43.96万元。原因为人员经费增加。</w:t>
      </w:r>
    </w:p>
    <w:p>
      <w:pPr>
        <w:pStyle w:val="3"/>
        <w:pageBreakBefore w:val="0"/>
        <w:kinsoku/>
        <w:wordWrap/>
        <w:overflowPunct/>
        <w:topLinePunct w:val="0"/>
        <w:autoSpaceDE/>
        <w:autoSpaceDN/>
        <w:bidi w:val="0"/>
        <w:spacing w:before="0" w:after="0" w:line="578" w:lineRule="exact"/>
        <w:ind w:left="0" w:leftChars="0" w:firstLine="640" w:firstLineChars="200"/>
        <w:textAlignment w:val="auto"/>
        <w:rPr>
          <w:rFonts w:ascii="黑体" w:eastAsia="黑体"/>
          <w:b w:val="0"/>
          <w:bCs w:val="0"/>
        </w:rPr>
      </w:pPr>
      <w:r>
        <w:rPr>
          <w:rFonts w:hint="eastAsia" w:ascii="黑体" w:eastAsia="黑体"/>
          <w:b w:val="0"/>
          <w:bCs w:val="0"/>
        </w:rPr>
        <w:t>二、收入决算情况说明</w:t>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pPr>
      <w:r>
        <w:rPr>
          <w:rFonts w:hint="eastAsia" w:ascii="仿宋_GB2312" w:eastAsia="仿宋_GB2312" w:cs="DengXian-Regular"/>
          <w:sz w:val="32"/>
          <w:szCs w:val="32"/>
        </w:rPr>
        <w:t>2018年度部门财政拨款收入147.56万元。占财政拨款为100%。如图所示：</w:t>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sz w:val="32"/>
          <w:szCs w:val="32"/>
        </w:rPr>
      </w:pP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hint="eastAsia" w:ascii="仿宋_GB2312" w:eastAsia="仿宋_GB2312" w:cs="DengXian-Regular"/>
          <w:sz w:val="32"/>
          <w:szCs w:val="32"/>
          <w:lang w:eastAsia="zh-CN"/>
        </w:rPr>
      </w:pP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sz w:val="32"/>
          <w:szCs w:val="32"/>
        </w:rPr>
      </w:pP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sz w:val="32"/>
          <w:szCs w:val="32"/>
        </w:rPr>
      </w:pP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sz w:val="32"/>
          <w:szCs w:val="32"/>
        </w:rPr>
      </w:pPr>
    </w:p>
    <w:p>
      <w:pPr>
        <w:pageBreakBefore w:val="0"/>
        <w:kinsoku/>
        <w:wordWrap/>
        <w:overflowPunct/>
        <w:topLinePunct w:val="0"/>
        <w:autoSpaceDE/>
        <w:autoSpaceDN/>
        <w:bidi w:val="0"/>
        <w:adjustRightInd w:val="0"/>
        <w:snapToGrid w:val="0"/>
        <w:spacing w:after="0" w:line="578" w:lineRule="exact"/>
        <w:ind w:left="0" w:leftChars="0" w:firstLine="420" w:firstLineChars="200"/>
        <w:textAlignment w:val="auto"/>
        <w:rPr>
          <w:rFonts w:ascii="仿宋_GB2312" w:eastAsia="仿宋_GB2312" w:cs="DengXian-Regular"/>
          <w:sz w:val="32"/>
          <w:szCs w:val="32"/>
        </w:rPr>
      </w:pPr>
      <w:r>
        <w:pict>
          <v:shape id="_x0000_s1068" o:spid="_x0000_s1068" o:spt="202" type="#_x0000_t202" style="position:absolute;left:0pt;margin-left:101.65pt;margin-top:24.55pt;height:32.1pt;width:194.15pt;z-index:251671552;mso-width-relative:page;mso-height-relative:page;" fillcolor="#FFFFFF" filled="t" stroked="f" coordsize="21600,21600" o:gfxdata="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D6xdDbVAAAACQEAAA8AAAAAAAAAAQAgAAAAIgAAAGRycy9k&#10;b3ducmV2LnhtbFBLAQIUABQAAAAIAIdO4kAN4euiPgIAAE8EAAAOAAAAAAAAAAEAIAAAACQBAABk&#10;cnMvZTJvRG9jLnhtbFBLBQYAAAAABgAGAFkBAADUBQ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w:pict>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lang w:eastAsia="zh-CN"/>
        </w:rPr>
        <w:drawing>
          <wp:anchor distT="0" distB="0" distL="114300" distR="114300" simplePos="0" relativeHeight="251665408" behindDoc="0" locked="0" layoutInCell="1" allowOverlap="1">
            <wp:simplePos x="0" y="0"/>
            <wp:positionH relativeFrom="column">
              <wp:posOffset>1223645</wp:posOffset>
            </wp:positionH>
            <wp:positionV relativeFrom="paragraph">
              <wp:posOffset>-2253615</wp:posOffset>
            </wp:positionV>
            <wp:extent cx="2822575" cy="2124075"/>
            <wp:effectExtent l="4445" t="4445" r="11430" b="5080"/>
            <wp:wrapNone/>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sz w:val="32"/>
          <w:szCs w:val="32"/>
        </w:rPr>
      </w:pPr>
    </w:p>
    <w:p>
      <w:pPr>
        <w:pStyle w:val="3"/>
        <w:pageBreakBefore w:val="0"/>
        <w:kinsoku/>
        <w:wordWrap/>
        <w:overflowPunct/>
        <w:topLinePunct w:val="0"/>
        <w:autoSpaceDE/>
        <w:autoSpaceDN/>
        <w:bidi w:val="0"/>
        <w:spacing w:before="0" w:after="0" w:line="578" w:lineRule="exact"/>
        <w:ind w:left="0" w:leftChars="0" w:firstLine="640" w:firstLineChars="200"/>
        <w:textAlignment w:val="auto"/>
        <w:rPr>
          <w:rFonts w:ascii="黑体" w:eastAsia="黑体"/>
          <w:b w:val="0"/>
          <w:bCs w:val="0"/>
        </w:rPr>
      </w:pPr>
      <w:r>
        <w:rPr>
          <w:rFonts w:hint="eastAsia" w:ascii="黑体" w:eastAsia="黑体"/>
          <w:b w:val="0"/>
          <w:bCs w:val="0"/>
        </w:rPr>
        <w:t>三、支出决算情况说明</w:t>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rPr>
        <w:t>本年支出 143.84万元，其中：基本支出92.</w:t>
      </w:r>
      <w:r>
        <w:rPr>
          <w:rFonts w:hint="eastAsia" w:ascii="仿宋_GB2312" w:eastAsia="仿宋_GB2312" w:cs="DengXian-Regular"/>
          <w:sz w:val="32"/>
          <w:szCs w:val="32"/>
          <w:lang w:val="en-US" w:eastAsia="zh-CN"/>
        </w:rPr>
        <w:t>64</w:t>
      </w:r>
      <w:r>
        <w:rPr>
          <w:rFonts w:hint="eastAsia" w:ascii="仿宋_GB2312" w:eastAsia="仿宋_GB2312" w:cs="DengXian-Regular"/>
          <w:sz w:val="32"/>
          <w:szCs w:val="32"/>
        </w:rPr>
        <w:t>万元，占64.</w:t>
      </w:r>
      <w:r>
        <w:rPr>
          <w:rFonts w:hint="eastAsia" w:ascii="仿宋_GB2312" w:eastAsia="仿宋_GB2312" w:cs="DengXian-Regular"/>
          <w:sz w:val="32"/>
          <w:szCs w:val="32"/>
          <w:lang w:val="en-US" w:eastAsia="zh-CN"/>
        </w:rPr>
        <w:t>4</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51.2</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35.6</w:t>
      </w:r>
      <w:r>
        <w:rPr>
          <w:rFonts w:hint="eastAsia" w:ascii="仿宋_GB2312" w:eastAsia="仿宋_GB2312" w:cs="DengXian-Regular"/>
          <w:sz w:val="32"/>
          <w:szCs w:val="32"/>
        </w:rPr>
        <w:t>%。如图所示：</w:t>
      </w:r>
    </w:p>
    <w:p>
      <w:pPr>
        <w:pStyle w:val="5"/>
        <w:pageBreakBefore w:val="0"/>
        <w:kinsoku/>
        <w:wordWrap/>
        <w:overflowPunct/>
        <w:topLinePunct w:val="0"/>
        <w:autoSpaceDE/>
        <w:autoSpaceDN/>
        <w:bidi w:val="0"/>
        <w:spacing w:line="578" w:lineRule="exact"/>
        <w:ind w:left="0" w:leftChars="0" w:firstLine="562" w:firstLineChars="200"/>
        <w:textAlignment w:val="auto"/>
        <w:rPr>
          <w:rFonts w:ascii="黑体" w:eastAsia="黑体"/>
          <w:b w:val="0"/>
          <w:bCs w:val="0"/>
        </w:rPr>
      </w:pPr>
      <w:r>
        <w:rPr>
          <w:rFonts w:hint="eastAsia" w:eastAsiaTheme="majorEastAsia"/>
          <w:lang w:eastAsia="zh-CN"/>
        </w:rPr>
        <w:drawing>
          <wp:anchor distT="0" distB="0" distL="114300" distR="114300" simplePos="0" relativeHeight="251710464" behindDoc="0" locked="0" layoutInCell="1" allowOverlap="1">
            <wp:simplePos x="0" y="0"/>
            <wp:positionH relativeFrom="column">
              <wp:posOffset>804545</wp:posOffset>
            </wp:positionH>
            <wp:positionV relativeFrom="paragraph">
              <wp:posOffset>-52070</wp:posOffset>
            </wp:positionV>
            <wp:extent cx="4069715" cy="2686685"/>
            <wp:effectExtent l="4445" t="4445" r="21590" b="13970"/>
            <wp:wrapNone/>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rPr>
          <w:rFonts w:hint="eastAsia"/>
          <w:lang w:val="en-US" w:eastAsia="zh-CN"/>
        </w:rPr>
        <w:t xml:space="preserve">        </w:t>
      </w:r>
      <w:r>
        <w:rPr>
          <w:sz w:val="44"/>
        </w:rPr>
        <w:pict>
          <v:group id="_x0000_s1156" o:spid="_x0000_s1156" o:spt="203" style="position:absolute;left:0pt;margin-left:11.45pt;margin-top:41.3pt;height:43.95pt;width:301.85pt;mso-position-horizontal-relative:page;mso-position-vertical-relative:page;z-index:25170329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aspectratio="f"/>
            <v:rect id="矩形 13" o:spid="_x0000_s1157"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58"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w:r>
    </w:p>
    <w:p>
      <w:pPr>
        <w:pStyle w:val="3"/>
        <w:pageBreakBefore w:val="0"/>
        <w:kinsoku/>
        <w:wordWrap/>
        <w:overflowPunct/>
        <w:topLinePunct w:val="0"/>
        <w:autoSpaceDE/>
        <w:autoSpaceDN/>
        <w:bidi w:val="0"/>
        <w:spacing w:before="0" w:after="0" w:line="578" w:lineRule="exact"/>
        <w:ind w:left="0" w:leftChars="0" w:firstLine="640" w:firstLineChars="200"/>
        <w:textAlignment w:val="auto"/>
        <w:rPr>
          <w:rFonts w:hint="eastAsia" w:ascii="黑体" w:eastAsia="黑体"/>
          <w:b w:val="0"/>
          <w:bCs w:val="0"/>
        </w:rPr>
      </w:pPr>
    </w:p>
    <w:p>
      <w:pPr>
        <w:rPr>
          <w:rFonts w:hint="eastAsia" w:ascii="黑体" w:eastAsia="黑体"/>
          <w:b w:val="0"/>
          <w:bCs w:val="0"/>
        </w:rPr>
      </w:pPr>
    </w:p>
    <w:p>
      <w:pPr>
        <w:rPr>
          <w:rFonts w:hint="eastAsia" w:ascii="黑体" w:eastAsia="黑体"/>
          <w:b w:val="0"/>
          <w:bCs w:val="0"/>
        </w:rPr>
      </w:pPr>
    </w:p>
    <w:p>
      <w:r>
        <w:pict>
          <v:shape id="_x0000_s1064" o:spid="_x0000_s1064" o:spt="202" type="#_x0000_t202" style="position:absolute;left:0pt;margin-left:107.7pt;margin-top:19.25pt;height:31.45pt;width:248.75pt;z-index:-251645952;mso-width-relative:page;mso-height-relative:page;" fillcolor="#FFFFFF" filled="t" stroked="f" coordsize="21600,21600" o:gfxdata="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BZy3evVAAAACgEAAA8AAAAAAAAAAQAgAAAAIgAA&#10;AGRycy9kb3ducmV2LnhtbFBLAQIUABQAAAAIAIdO4kBhe4bERAIAAE8EAAAOAAAAAAAAAAEAIAAA&#10;ACQBAABkcnMvZTJvRG9jLnhtbFBLBQYAAAAABgAGAFkBAADaBQAAAAA=&#10;">
            <v:path/>
            <v:fill on="t" color2="#FFFFFF"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w:pict>
      </w:r>
    </w:p>
    <w:p>
      <w:pPr>
        <w:rPr>
          <w:rFonts w:hint="eastAsia"/>
        </w:rPr>
      </w:pPr>
    </w:p>
    <w:p>
      <w:pPr>
        <w:pageBreakBefore w:val="0"/>
        <w:kinsoku/>
        <w:wordWrap/>
        <w:overflowPunct/>
        <w:topLinePunct w:val="0"/>
        <w:autoSpaceDE/>
        <w:autoSpaceDN/>
        <w:bidi w:val="0"/>
        <w:spacing w:after="0" w:line="578" w:lineRule="exact"/>
        <w:ind w:left="0" w:leftChars="0" w:firstLine="640" w:firstLineChars="200"/>
        <w:textAlignment w:val="auto"/>
        <w:rPr>
          <w:rFonts w:hint="eastAsia" w:ascii="黑体" w:eastAsia="黑体" w:hAnsiTheme="majorHAnsi" w:cstheme="majorBidi"/>
          <w:b w:val="0"/>
          <w:bCs w:val="0"/>
          <w:kern w:val="2"/>
          <w:sz w:val="32"/>
          <w:szCs w:val="32"/>
          <w:lang w:val="en-US" w:eastAsia="zh-CN" w:bidi="ar-SA"/>
        </w:rPr>
      </w:pPr>
      <w:r>
        <w:rPr>
          <w:rFonts w:hint="eastAsia" w:ascii="黑体" w:eastAsia="黑体" w:hAnsiTheme="majorHAnsi" w:cstheme="majorBidi"/>
          <w:b w:val="0"/>
          <w:bCs w:val="0"/>
          <w:kern w:val="2"/>
          <w:sz w:val="32"/>
          <w:szCs w:val="32"/>
          <w:lang w:val="en-US" w:eastAsia="zh-CN" w:bidi="ar-SA"/>
        </w:rPr>
        <w:t>四、财政拨款收入支出决算情况说明</w:t>
      </w:r>
    </w:p>
    <w:p>
      <w:pPr>
        <w:pageBreakBefore w:val="0"/>
        <w:kinsoku/>
        <w:wordWrap/>
        <w:overflowPunct/>
        <w:topLinePunct w:val="0"/>
        <w:autoSpaceDE/>
        <w:autoSpaceDN/>
        <w:bidi w:val="0"/>
        <w:spacing w:after="0" w:line="578" w:lineRule="exact"/>
        <w:ind w:left="0" w:leftChars="0" w:firstLine="643" w:firstLineChars="200"/>
        <w:textAlignment w:val="auto"/>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hint="eastAsia"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w:t>
      </w:r>
      <w:r>
        <w:rPr>
          <w:rFonts w:hint="eastAsia" w:ascii="仿宋" w:hAnsi="仿宋" w:eastAsia="仿宋" w:cs="仿宋"/>
          <w:color w:val="000000"/>
          <w:sz w:val="32"/>
          <w:szCs w:val="32"/>
          <w:lang w:val="en-US" w:eastAsia="zh-CN"/>
        </w:rPr>
        <w:t>147.56</w:t>
      </w:r>
      <w:r>
        <w:rPr>
          <w:rFonts w:hint="eastAsia" w:ascii="仿宋_GB2312" w:eastAsia="仿宋_GB2312" w:cs="DengXian-Regular"/>
          <w:sz w:val="32"/>
          <w:szCs w:val="32"/>
        </w:rPr>
        <w:t>万元,比2017年度</w:t>
      </w:r>
      <w:r>
        <w:rPr>
          <w:rFonts w:hint="eastAsia" w:ascii="仿宋" w:hAnsi="仿宋" w:eastAsia="仿宋" w:cs="仿宋"/>
          <w:color w:val="000000"/>
          <w:sz w:val="32"/>
          <w:szCs w:val="32"/>
        </w:rPr>
        <w:t>增加</w:t>
      </w:r>
      <w:r>
        <w:rPr>
          <w:rFonts w:hint="eastAsia" w:ascii="仿宋" w:hAnsi="仿宋" w:eastAsia="仿宋" w:cs="仿宋"/>
          <w:color w:val="000000"/>
          <w:sz w:val="32"/>
          <w:szCs w:val="32"/>
          <w:lang w:val="en-US" w:eastAsia="zh-CN"/>
        </w:rPr>
        <w:t>36.93</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25.03</w:t>
      </w:r>
      <w:r>
        <w:rPr>
          <w:rFonts w:hint="eastAsia" w:ascii="仿宋_GB2312" w:eastAsia="仿宋_GB2312" w:cs="DengXian-Regular"/>
          <w:sz w:val="32"/>
          <w:szCs w:val="32"/>
        </w:rPr>
        <w:t>%，主要是工资增加；本年支出</w:t>
      </w:r>
      <w:r>
        <w:rPr>
          <w:rFonts w:hint="eastAsia" w:ascii="仿宋" w:hAnsi="仿宋" w:eastAsia="仿宋" w:cs="仿宋"/>
          <w:color w:val="000000"/>
          <w:sz w:val="32"/>
          <w:szCs w:val="32"/>
          <w:lang w:val="en-US" w:eastAsia="zh-CN"/>
        </w:rPr>
        <w:t>143.84</w:t>
      </w:r>
      <w:r>
        <w:rPr>
          <w:rFonts w:hint="eastAsia" w:ascii="仿宋_GB2312" w:eastAsia="仿宋_GB2312" w:cs="DengXian-Regular"/>
          <w:sz w:val="32"/>
          <w:szCs w:val="32"/>
        </w:rPr>
        <w:t>万元，增加</w:t>
      </w:r>
      <w:r>
        <w:rPr>
          <w:rFonts w:hint="eastAsia" w:ascii="仿宋" w:hAnsi="仿宋" w:eastAsia="仿宋" w:cs="仿宋"/>
          <w:color w:val="000000"/>
          <w:sz w:val="32"/>
          <w:szCs w:val="32"/>
          <w:lang w:val="en-US" w:eastAsia="zh-CN"/>
        </w:rPr>
        <w:t>43.96</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30.56</w:t>
      </w:r>
      <w:r>
        <w:rPr>
          <w:rFonts w:hint="eastAsia" w:ascii="仿宋_GB2312" w:eastAsia="仿宋_GB2312" w:cs="DengXian-Regular"/>
          <w:sz w:val="32"/>
          <w:szCs w:val="32"/>
        </w:rPr>
        <w:t>%，主要是工资增加。</w:t>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lang w:eastAsia="zh-CN"/>
        </w:rPr>
        <w:drawing>
          <wp:anchor distT="0" distB="0" distL="114300" distR="114300" simplePos="0" relativeHeight="251708416" behindDoc="0" locked="0" layoutInCell="1" allowOverlap="1">
            <wp:simplePos x="0" y="0"/>
            <wp:positionH relativeFrom="column">
              <wp:posOffset>674370</wp:posOffset>
            </wp:positionH>
            <wp:positionV relativeFrom="paragraph">
              <wp:posOffset>140970</wp:posOffset>
            </wp:positionV>
            <wp:extent cx="4445635" cy="2304415"/>
            <wp:effectExtent l="5080" t="4445" r="14605" b="7620"/>
            <wp:wrapSquare wrapText="bothSides"/>
            <wp:docPr id="6" name="图表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pageBreakBefore w:val="0"/>
        <w:kinsoku/>
        <w:wordWrap/>
        <w:overflowPunct/>
        <w:topLinePunct w:val="0"/>
        <w:autoSpaceDE/>
        <w:autoSpaceDN/>
        <w:bidi w:val="0"/>
        <w:adjustRightInd w:val="0"/>
        <w:snapToGrid w:val="0"/>
        <w:spacing w:after="0" w:line="578" w:lineRule="exact"/>
        <w:ind w:left="0" w:leftChars="0" w:firstLine="420" w:firstLineChars="200"/>
        <w:textAlignment w:val="auto"/>
        <w:rPr>
          <w:rFonts w:ascii="仿宋_GB2312" w:eastAsia="仿宋_GB2312" w:cs="DengXian-Regular"/>
          <w:sz w:val="32"/>
          <w:szCs w:val="32"/>
        </w:rPr>
      </w:pPr>
      <w:r>
        <w:pict>
          <v:group id="_x0000_s1061" o:spid="_x0000_s1061" o:spt="203" style="position:absolute;left:0pt;margin-left:51.25pt;margin-top:13.45pt;height:210.05pt;width:331.1pt;z-index:-251624448;mso-width-relative:page;mso-height-relative:page;" coordorigin="6151,199960" coordsize="6345,4048203" o:gfxdata="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">
            <o:lock v:ext="edit"/>
            <v:shape id="图片 3" o:spid="_x0000_s1063" o:spt="75" type="#_x0000_t75" style="position:absolute;left:6532;top:199960;height:3271;width:5714;" filled="f" o:preferrelative="t" stroked="f" coordsize="21600,21600" o:gfxdata="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LpERvQAA&#10;ANsAAAAPAAAAAAAAAAEAIAAAACIAAABkcnMvZG93bnJldi54bWxQSwECFAAUAAAACACHTuJAMy8F&#10;njsAAAA5AAAAEAAAAAAAAAABACAAAAAMAQAAZHJzL3NoYXBleG1sLnhtbFBLBQYAAAAABgAGAFsB&#10;AAC2AwAAAAA=&#10;">
              <v:path/>
              <v:fill on="f" focussize="0,0"/>
              <v:stroke on="f" joinstyle="miter"/>
              <v:imagedata r:id="rId11" o:title=""/>
              <o:lock v:ext="edit" aspectratio="t"/>
            </v:shape>
            <v:shape id="_x0000_s1062" o:spid="_x0000_s1062" o:spt="202" type="#_x0000_t202" style="position:absolute;left:6151;top:203196;height:812;width:6345;" fillcolor="#FFFFFF" filled="t" stroked="f" coordsize="21600,21600"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v:group>
        </w:pict>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sz w:val="32"/>
          <w:szCs w:val="32"/>
        </w:rPr>
      </w:pP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sz w:val="32"/>
          <w:szCs w:val="32"/>
        </w:rPr>
      </w:pPr>
    </w:p>
    <w:p>
      <w:pPr>
        <w:pageBreakBefore w:val="0"/>
        <w:kinsoku/>
        <w:wordWrap/>
        <w:overflowPunct/>
        <w:topLinePunct w:val="0"/>
        <w:autoSpaceDE/>
        <w:autoSpaceDN/>
        <w:bidi w:val="0"/>
        <w:spacing w:after="0" w:line="578" w:lineRule="exact"/>
        <w:textAlignment w:val="auto"/>
        <w:rPr>
          <w:rFonts w:hint="eastAsia" w:ascii="楷体_GB2312" w:eastAsia="楷体_GB2312" w:cs="DengXian-Bold"/>
          <w:b/>
          <w:bCs/>
          <w:sz w:val="32"/>
          <w:szCs w:val="32"/>
        </w:rPr>
      </w:pPr>
    </w:p>
    <w:p>
      <w:pPr>
        <w:pageBreakBefore w:val="0"/>
        <w:kinsoku/>
        <w:wordWrap/>
        <w:overflowPunct/>
        <w:topLinePunct w:val="0"/>
        <w:autoSpaceDE/>
        <w:autoSpaceDN/>
        <w:bidi w:val="0"/>
        <w:spacing w:after="0" w:line="578" w:lineRule="exact"/>
        <w:ind w:left="0" w:leftChars="0" w:firstLine="643" w:firstLineChars="200"/>
        <w:textAlignment w:val="auto"/>
        <w:rPr>
          <w:rFonts w:ascii="仿宋_GB2312" w:eastAsia="仿宋_GB2312" w:cs="DengXian-Bold"/>
          <w:b/>
          <w:bCs/>
          <w:sz w:val="32"/>
          <w:szCs w:val="32"/>
        </w:rPr>
      </w:pPr>
      <w:r>
        <w:rPr>
          <w:rFonts w:hint="eastAsia" w:ascii="楷体_GB2312" w:eastAsia="楷体_GB2312" w:cs="DengXian-Bold"/>
          <w:b/>
          <w:bCs/>
          <w:sz w:val="32"/>
          <w:szCs w:val="32"/>
          <w:lang w:val="en-US" w:eastAsia="zh-CN"/>
        </w:rPr>
        <w:t>(</w:t>
      </w:r>
      <w:r>
        <w:rPr>
          <w:rFonts w:hint="eastAsia" w:ascii="楷体_GB2312" w:eastAsia="楷体_GB2312" w:cs="DengXian-Bold"/>
          <w:b/>
          <w:bCs/>
          <w:sz w:val="32"/>
          <w:szCs w:val="32"/>
        </w:rPr>
        <w:t>二）财政拨款收支与年初预算数对比情况</w:t>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color w:val="auto"/>
          <w:sz w:val="32"/>
          <w:szCs w:val="32"/>
        </w:rPr>
      </w:pPr>
      <w:r>
        <w:rPr>
          <w:rFonts w:hint="eastAsia" w:ascii="仿宋_GB2312" w:eastAsia="仿宋_GB2312" w:cs="DengXian-Regular"/>
          <w:sz w:val="32"/>
          <w:szCs w:val="32"/>
        </w:rPr>
        <w:t>本部门2018年度一般公共预算财政拨款收入</w:t>
      </w:r>
      <w:r>
        <w:rPr>
          <w:rFonts w:hint="eastAsia" w:ascii="仿宋" w:hAnsi="仿宋" w:eastAsia="仿宋" w:cs="仿宋"/>
          <w:color w:val="000000"/>
          <w:sz w:val="32"/>
          <w:szCs w:val="32"/>
          <w:lang w:val="en-US" w:eastAsia="zh-CN"/>
        </w:rPr>
        <w:t>147.56</w:t>
      </w:r>
      <w:r>
        <w:rPr>
          <w:rFonts w:hint="eastAsia" w:ascii="仿宋_GB2312" w:eastAsia="仿宋_GB2312" w:cs="DengXian-Regular"/>
          <w:sz w:val="32"/>
          <w:szCs w:val="32"/>
        </w:rPr>
        <w:t>万元，完成年初</w:t>
      </w:r>
      <w:r>
        <w:rPr>
          <w:rFonts w:hint="eastAsia" w:ascii="仿宋_GB2312" w:eastAsia="仿宋_GB2312" w:cs="DengXian-Regular"/>
          <w:color w:val="auto"/>
          <w:sz w:val="32"/>
          <w:szCs w:val="32"/>
        </w:rPr>
        <w:t>预算的</w:t>
      </w:r>
      <w:r>
        <w:rPr>
          <w:rFonts w:hint="eastAsia" w:ascii="仿宋_GB2312" w:eastAsia="仿宋_GB2312" w:cs="DengXian-Regular"/>
          <w:color w:val="auto"/>
          <w:sz w:val="32"/>
          <w:szCs w:val="32"/>
          <w:lang w:val="en-US" w:eastAsia="zh-CN"/>
        </w:rPr>
        <w:t>123.09</w:t>
      </w:r>
      <w:r>
        <w:rPr>
          <w:rFonts w:hint="eastAsia" w:ascii="仿宋_GB2312" w:eastAsia="仿宋_GB2312" w:cs="DengXian-Regular"/>
          <w:color w:val="auto"/>
          <w:sz w:val="32"/>
          <w:szCs w:val="32"/>
        </w:rPr>
        <w:t>%,比年初预算增加</w:t>
      </w:r>
      <w:r>
        <w:rPr>
          <w:rFonts w:hint="eastAsia" w:ascii="仿宋_GB2312" w:eastAsia="仿宋_GB2312" w:cs="DengXian-Regular"/>
          <w:color w:val="auto"/>
          <w:sz w:val="32"/>
          <w:szCs w:val="32"/>
          <w:lang w:val="en-US" w:eastAsia="zh-CN"/>
        </w:rPr>
        <w:t>27.68</w:t>
      </w:r>
      <w:r>
        <w:rPr>
          <w:rFonts w:hint="eastAsia" w:ascii="仿宋_GB2312" w:eastAsia="仿宋_GB2312" w:cs="DengXian-Regular"/>
          <w:color w:val="auto"/>
          <w:sz w:val="32"/>
          <w:szCs w:val="32"/>
        </w:rPr>
        <w:t>万元，决算数大于预算数主要原因是人员增加，各项保险增加；本年支出</w:t>
      </w:r>
      <w:r>
        <w:rPr>
          <w:rFonts w:hint="eastAsia" w:ascii="仿宋" w:hAnsi="仿宋" w:eastAsia="仿宋" w:cs="仿宋"/>
          <w:color w:val="auto"/>
          <w:sz w:val="32"/>
          <w:szCs w:val="32"/>
          <w:lang w:val="en-US" w:eastAsia="zh-CN"/>
        </w:rPr>
        <w:t>143.84</w:t>
      </w:r>
      <w:r>
        <w:rPr>
          <w:rFonts w:hint="eastAsia" w:ascii="仿宋_GB2312" w:eastAsia="仿宋_GB2312" w:cs="DengXian-Regular"/>
          <w:color w:val="auto"/>
          <w:sz w:val="32"/>
          <w:szCs w:val="32"/>
        </w:rPr>
        <w:t>万元，完成年初预算的</w:t>
      </w:r>
      <w:r>
        <w:rPr>
          <w:rFonts w:hint="eastAsia" w:ascii="仿宋_GB2312" w:eastAsia="仿宋_GB2312" w:cs="DengXian-Regular"/>
          <w:color w:val="auto"/>
          <w:sz w:val="32"/>
          <w:szCs w:val="32"/>
          <w:lang w:val="en-US" w:eastAsia="zh-CN"/>
        </w:rPr>
        <w:t>119.99</w:t>
      </w:r>
      <w:r>
        <w:rPr>
          <w:rFonts w:hint="eastAsia" w:ascii="仿宋_GB2312" w:eastAsia="仿宋_GB2312" w:cs="DengXian-Regular"/>
          <w:color w:val="auto"/>
          <w:sz w:val="32"/>
          <w:szCs w:val="32"/>
        </w:rPr>
        <w:t>%,比年初预算增加</w:t>
      </w:r>
      <w:r>
        <w:rPr>
          <w:rFonts w:hint="eastAsia" w:ascii="仿宋_GB2312" w:eastAsia="仿宋_GB2312" w:cs="DengXian-Regular"/>
          <w:color w:val="auto"/>
          <w:sz w:val="32"/>
          <w:szCs w:val="32"/>
          <w:lang w:val="en-US" w:eastAsia="zh-CN"/>
        </w:rPr>
        <w:t>23.96</w:t>
      </w:r>
      <w:r>
        <w:rPr>
          <w:rFonts w:hint="eastAsia" w:ascii="仿宋_GB2312" w:eastAsia="仿宋_GB2312" w:cs="DengXian-Regular"/>
          <w:color w:val="auto"/>
          <w:sz w:val="32"/>
          <w:szCs w:val="32"/>
        </w:rPr>
        <w:t>万元，决算数大于预算数主要原因是人员增加，工资增加。</w:t>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sz w:val="32"/>
          <w:szCs w:val="32"/>
          <w:highlight w:val="yellow"/>
        </w:rPr>
      </w:pP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sz w:val="32"/>
          <w:szCs w:val="32"/>
          <w:highlight w:val="yellow"/>
        </w:rPr>
      </w:pPr>
      <w:r>
        <w:rPr>
          <w:rFonts w:hint="eastAsia" w:ascii="仿宋_GB2312" w:eastAsia="仿宋_GB2312" w:cs="DengXian-Regular"/>
          <w:sz w:val="32"/>
          <w:szCs w:val="32"/>
          <w:highlight w:val="yellow"/>
          <w:lang w:eastAsia="zh-CN"/>
        </w:rPr>
        <w:drawing>
          <wp:anchor distT="0" distB="0" distL="114300" distR="114300" simplePos="0" relativeHeight="251709440" behindDoc="0" locked="0" layoutInCell="1" allowOverlap="1">
            <wp:simplePos x="0" y="0"/>
            <wp:positionH relativeFrom="column">
              <wp:posOffset>600075</wp:posOffset>
            </wp:positionH>
            <wp:positionV relativeFrom="paragraph">
              <wp:posOffset>635</wp:posOffset>
            </wp:positionV>
            <wp:extent cx="4667250" cy="2114550"/>
            <wp:effectExtent l="4445" t="5080" r="14605" b="13970"/>
            <wp:wrapSquare wrapText="bothSides"/>
            <wp:docPr id="8" name="图表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Pr>
          <w:sz w:val="44"/>
        </w:rPr>
        <w:pict>
          <v:group id="_x0000_s1162" o:spid="_x0000_s1162" o:spt="203" style="position:absolute;left:0pt;margin-left:-0.55pt;margin-top:29.3pt;height:43.95pt;width:301.85pt;mso-position-horizontal-relative:page;mso-position-vertical-relative:page;z-index:25170432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aspectratio="f"/>
            <v:rect id="矩形 13" o:spid="_x0000_s1163"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64"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w:r>
      <w:r>
        <w:pict>
          <v:group id="_x0000_s1058" o:spid="_x0000_s1058" o:spt="203" style="position:absolute;left:0pt;margin-left:45.95pt;margin-top:0.4pt;height:208.2pt;width:343.1pt;z-index:-251623424;mso-width-relative:page;mso-height-relative:page;" coordorigin="5233,225704" coordsize="6344,3850203" o:gfxdata="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iYOvrYAAAAhAQAAGQAAAGRycy9fcmVscy9lMm9E&#10;b2MueG1sLnJlbHOFj0FqwzAQRfeF3EHMPpadRSjFsjeh4G1IDjBIY1nEGglJLfXtI8gmgUCX8z//&#10;PaYf//wqfillF1hB17QgiHUwjq2C6+V7/wkiF2SDa2BSsFGGcdh99GdasdRRXlzMolI4K1hKiV9S&#10;Zr2Qx9yESFybOSSPpZ7Jyoj6hpbkoW2PMj0zYHhhiskoSJPpQFy2WM3/s8M8O02noH88cXmjkM5X&#10;dwVislQUeDIOH2HXRLYgh16+PDbcAV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">
            <o:lock v:ext="edit"/>
            <v:shape id="图片 6" o:spid="_x0000_s1060" o:spt="75" type="#_x0000_t75" style="position:absolute;left:5470;top:225704;height:3353;width:5870;"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path/>
              <v:fill on="f" focussize="0,0"/>
              <v:stroke on="f" joinstyle="miter"/>
              <v:imagedata r:id="rId13" o:title=""/>
              <o:lock v:ext="edit" aspectratio="t"/>
            </v:shape>
            <v:shape id="文本框 28" o:spid="_x0000_s1059" o:spt="202" type="#_x0000_t202" style="position:absolute;left:5233;top:228834;height:720;width:6345;" fillcolor="#FFFFFF" filled="t"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v:group>
        </w:pict>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sz w:val="32"/>
          <w:szCs w:val="32"/>
          <w:highlight w:val="yellow"/>
        </w:rPr>
      </w:pP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sz w:val="32"/>
          <w:szCs w:val="32"/>
          <w:highlight w:val="yellow"/>
        </w:rPr>
      </w:pP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sz w:val="32"/>
          <w:szCs w:val="32"/>
          <w:highlight w:val="yellow"/>
        </w:rPr>
      </w:pP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sz w:val="32"/>
          <w:szCs w:val="32"/>
          <w:highlight w:val="yellow"/>
        </w:rPr>
      </w:pP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sz w:val="32"/>
          <w:szCs w:val="32"/>
          <w:highlight w:val="yellow"/>
        </w:rPr>
      </w:pPr>
    </w:p>
    <w:p>
      <w:pPr>
        <w:adjustRightInd w:val="0"/>
        <w:snapToGrid w:val="0"/>
        <w:spacing w:line="560" w:lineRule="exact"/>
        <w:jc w:val="center"/>
        <w:rPr>
          <w:rFonts w:ascii="仿宋_GB2312" w:eastAsia="仿宋_GB2312" w:cs="DengXian-Regular"/>
          <w:sz w:val="32"/>
          <w:szCs w:val="32"/>
          <w:highlight w:val="yellow"/>
        </w:rPr>
      </w:pPr>
      <w:r>
        <w:rPr>
          <w:rFonts w:hint="eastAsia" w:ascii="仿宋_GB2312" w:eastAsia="仿宋_GB2312" w:cs="DengXian-Regular"/>
          <w:sz w:val="28"/>
          <w:szCs w:val="28"/>
        </w:rPr>
        <w:t>图3：2017-2018年财政拨款收支情况</w:t>
      </w:r>
    </w:p>
    <w:p>
      <w:pPr>
        <w:pageBreakBefore w:val="0"/>
        <w:numPr>
          <w:ilvl w:val="0"/>
          <w:numId w:val="1"/>
        </w:numPr>
        <w:kinsoku/>
        <w:wordWrap/>
        <w:overflowPunct/>
        <w:topLinePunct w:val="0"/>
        <w:autoSpaceDE/>
        <w:autoSpaceDN/>
        <w:bidi w:val="0"/>
        <w:adjustRightInd w:val="0"/>
        <w:snapToGrid w:val="0"/>
        <w:spacing w:after="0" w:line="578" w:lineRule="exact"/>
        <w:ind w:left="0" w:leftChars="0" w:firstLine="643" w:firstLineChars="200"/>
        <w:textAlignment w:val="auto"/>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楷体_GB2312" w:eastAsia="楷体_GB2312" w:cs="DengXian-Bold"/>
          <w:b/>
          <w:bCs/>
          <w:sz w:val="32"/>
          <w:szCs w:val="32"/>
        </w:rPr>
      </w:pPr>
      <w:r>
        <w:rPr>
          <w:rFonts w:hint="eastAsia" w:ascii="仿宋_GB2312" w:eastAsia="仿宋_GB2312" w:cs="DengXian-Regular"/>
          <w:sz w:val="32"/>
          <w:szCs w:val="32"/>
        </w:rPr>
        <w:t>2018 年度财政拨款支出</w:t>
      </w:r>
      <w:r>
        <w:rPr>
          <w:rFonts w:hint="eastAsia" w:ascii="仿宋_GB2312" w:eastAsia="仿宋_GB2312" w:cs="DengXian-Regular"/>
          <w:sz w:val="32"/>
          <w:szCs w:val="32"/>
          <w:lang w:val="en-US" w:eastAsia="zh-CN"/>
        </w:rPr>
        <w:t>143.84</w:t>
      </w:r>
      <w:r>
        <w:rPr>
          <w:rFonts w:hint="eastAsia" w:ascii="仿宋_GB2312" w:eastAsia="仿宋_GB2312" w:cs="DengXian-Regular"/>
          <w:sz w:val="32"/>
          <w:szCs w:val="32"/>
        </w:rPr>
        <w:t>万元，主要用于以下方面：医疗卫生与计划生育支出</w:t>
      </w:r>
      <w:r>
        <w:rPr>
          <w:rFonts w:hint="eastAsia" w:ascii="仿宋_GB2312" w:eastAsia="仿宋_GB2312" w:cs="DengXian-Regular"/>
          <w:sz w:val="32"/>
          <w:szCs w:val="32"/>
          <w:lang w:val="en-US" w:eastAsia="zh-CN"/>
        </w:rPr>
        <w:t>134.48</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93.49</w:t>
      </w:r>
      <w:r>
        <w:rPr>
          <w:rFonts w:hint="eastAsia" w:ascii="仿宋_GB2312" w:eastAsia="仿宋_GB2312" w:cs="DengXian-Regular"/>
          <w:sz w:val="32"/>
          <w:szCs w:val="32"/>
        </w:rPr>
        <w:t xml:space="preserve">%；社会保障和就业（类）支出 </w:t>
      </w:r>
      <w:r>
        <w:rPr>
          <w:rFonts w:hint="eastAsia" w:ascii="仿宋_GB2312" w:eastAsia="仿宋_GB2312" w:cs="DengXian-Regular"/>
          <w:sz w:val="32"/>
          <w:szCs w:val="32"/>
          <w:lang w:val="en-US" w:eastAsia="zh-CN"/>
        </w:rPr>
        <w:t>5.25</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3.65</w:t>
      </w:r>
      <w:r>
        <w:rPr>
          <w:rFonts w:hint="eastAsia" w:ascii="仿宋_GB2312" w:eastAsia="仿宋_GB2312" w:cs="DengXian-Regular"/>
          <w:sz w:val="32"/>
          <w:szCs w:val="32"/>
        </w:rPr>
        <w:t>%；住房保障（类）支出</w:t>
      </w:r>
      <w:r>
        <w:rPr>
          <w:rFonts w:hint="eastAsia" w:ascii="仿宋_GB2312" w:eastAsia="仿宋_GB2312" w:cs="DengXian-Regular"/>
          <w:sz w:val="32"/>
          <w:szCs w:val="32"/>
          <w:lang w:val="en-US" w:eastAsia="zh-CN"/>
        </w:rPr>
        <w:t>4.11</w:t>
      </w:r>
      <w:r>
        <w:rPr>
          <w:rFonts w:hint="eastAsia" w:ascii="仿宋_GB2312" w:eastAsia="仿宋_GB2312" w:cs="DengXian-Regular"/>
          <w:sz w:val="32"/>
          <w:szCs w:val="32"/>
        </w:rPr>
        <w:t xml:space="preserve">万元，占 </w:t>
      </w:r>
      <w:r>
        <w:rPr>
          <w:rFonts w:hint="eastAsia" w:ascii="仿宋_GB2312" w:eastAsia="仿宋_GB2312" w:cs="DengXian-Regular"/>
          <w:sz w:val="32"/>
          <w:szCs w:val="32"/>
          <w:lang w:val="en-US" w:eastAsia="zh-CN"/>
        </w:rPr>
        <w:t>2.86</w:t>
      </w:r>
      <w:r>
        <w:rPr>
          <w:rFonts w:hint="eastAsia" w:ascii="仿宋_GB2312" w:eastAsia="仿宋_GB2312" w:cs="DengXian-Regular"/>
          <w:sz w:val="32"/>
          <w:szCs w:val="32"/>
        </w:rPr>
        <w:t>%</w:t>
      </w:r>
      <w:r>
        <w:rPr>
          <w:rFonts w:hint="eastAsia" w:ascii="仿宋_GB2312" w:eastAsia="仿宋_GB2312" w:cs="DengXian-Regular"/>
          <w:sz w:val="32"/>
          <w:szCs w:val="32"/>
          <w:lang w:eastAsia="zh-CN"/>
        </w:rPr>
        <w:t>。</w:t>
      </w:r>
      <w:r>
        <w:pict>
          <v:group id="_x0000_s1055" o:spid="_x0000_s1055" o:spt="203" style="position:absolute;left:0pt;margin-left:86.35pt;margin-top:15.9pt;height:195.05pt;width:296.35pt;z-index:-251625472;mso-width-relative:page;mso-height-relative:page;" coordorigin="6921,180284" coordsize="5331,3886203"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o:lock v:ext="edit"/>
            <v:shape id="图片 1" o:spid="_x0000_s1057" o:spt="75" type="#_x0000_t75" style="position:absolute;left:7157;top:180284;height:2988;width:458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path/>
              <v:fill on="f" focussize="0,0"/>
              <v:stroke on="f" joinstyle="miter"/>
              <v:imagedata r:id="rId14" cropleft="2131f" croptop="1490f" cropright="1218f" cropbottom="5217f" o:title=""/>
              <o:lock v:ext="edit" aspectratio="t"/>
            </v:shape>
            <v:shape id="_x0000_s1056" o:spid="_x0000_s1056" o:spt="202" type="#_x0000_t202" style="position:absolute;left:6921;top:183134;height:1036;width:5331;" fillcolor="#FFFFFF" filled="t"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w:r>
    </w:p>
    <w:p>
      <w:pPr>
        <w:pageBreakBefore w:val="0"/>
        <w:numPr>
          <w:ilvl w:val="0"/>
          <w:numId w:val="1"/>
        </w:numPr>
        <w:kinsoku/>
        <w:wordWrap/>
        <w:overflowPunct/>
        <w:topLinePunct w:val="0"/>
        <w:autoSpaceDE/>
        <w:autoSpaceDN/>
        <w:bidi w:val="0"/>
        <w:adjustRightInd w:val="0"/>
        <w:snapToGrid w:val="0"/>
        <w:spacing w:after="0" w:line="578" w:lineRule="exact"/>
        <w:ind w:left="0" w:leftChars="0" w:firstLine="643" w:firstLineChars="200"/>
        <w:textAlignment w:val="auto"/>
        <w:rPr>
          <w:rFonts w:hint="eastAsia" w:ascii="楷体_GB2312" w:eastAsia="楷体_GB2312" w:cs="DengXian-Bold"/>
          <w:b/>
          <w:bCs/>
          <w:sz w:val="32"/>
          <w:szCs w:val="32"/>
        </w:rPr>
      </w:pPr>
      <w:r>
        <w:rPr>
          <w:rFonts w:hint="eastAsia" w:ascii="楷体_GB2312" w:eastAsia="楷体_GB2312" w:cs="DengXian-Bold"/>
          <w:b/>
          <w:bCs/>
          <w:sz w:val="32"/>
          <w:szCs w:val="32"/>
        </w:rPr>
        <w:pict>
          <v:group id="_x0000_s1192" o:spid="_x0000_s1192" o:spt="203" style="position:absolute;left:0pt;margin-left:-1.75pt;margin-top:29.3pt;height:43.95pt;width:301.85pt;mso-position-horizontal-relative:page;mso-position-vertical-relative:page;z-index:25171251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aspectratio="f"/>
            <v:rect id="矩形 13" o:spid="_x0000_s1193"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94"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w:r>
      <w:r>
        <w:rPr>
          <w:rFonts w:hint="eastAsia" w:ascii="楷体_GB2312" w:eastAsia="楷体_GB2312" w:cs="DengXian-Bold"/>
          <w:b/>
          <w:bCs/>
          <w:sz w:val="32"/>
          <w:szCs w:val="32"/>
        </w:rPr>
        <w:pict>
          <v:group id="_x0000_s1052" o:spid="_x0000_s1052" o:spt="203" style="position:absolute;left:0pt;margin-left:-0.55pt;margin-top:29.3pt;height:43.95pt;width:301.85pt;mso-position-horizontal-relative:page;mso-position-vertical-relative:page;z-index:25168588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v:rect id="矩形 13" o:spid="_x0000_s1054" o:spt="1" style="position:absolute;left:4551;top:52615;height:1175;width:8546;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53"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一般公共预算财政拨款基本支出决算情况说明</w:t>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hint="eastAsia"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仿宋_GB2312" w:eastAsia="仿宋_GB2312" w:cs="DengXian-Regular"/>
          <w:sz w:val="32"/>
          <w:szCs w:val="32"/>
          <w:lang w:val="en-US" w:eastAsia="zh-CN"/>
        </w:rPr>
        <w:t>92.64</w:t>
      </w:r>
      <w:r>
        <w:rPr>
          <w:rFonts w:hint="eastAsia" w:ascii="仿宋_GB2312" w:eastAsia="仿宋_GB2312" w:cs="DengXian-Regular"/>
          <w:sz w:val="32"/>
          <w:szCs w:val="32"/>
        </w:rPr>
        <w:t>万元，其中：人员经费</w:t>
      </w:r>
      <w:r>
        <w:rPr>
          <w:rFonts w:hint="eastAsia" w:ascii="仿宋_GB2312" w:eastAsia="仿宋_GB2312" w:cs="DengXian-Regular"/>
          <w:sz w:val="32"/>
          <w:szCs w:val="32"/>
          <w:lang w:val="en-US" w:eastAsia="zh-CN"/>
        </w:rPr>
        <w:t>79.</w:t>
      </w:r>
      <w:r>
        <w:rPr>
          <w:rFonts w:hint="eastAsia" w:ascii="仿宋_GB2312" w:eastAsia="仿宋_GB2312" w:cs="DengXian-Regular"/>
          <w:sz w:val="32"/>
          <w:szCs w:val="32"/>
        </w:rPr>
        <w:t>45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eastAsia="仿宋_GB2312" w:cs="DengXian-Regular"/>
          <w:sz w:val="32"/>
          <w:szCs w:val="32"/>
          <w:lang w:val="en-US" w:eastAsia="zh-CN"/>
        </w:rPr>
        <w:t>13.19</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pageBreakBefore w:val="0"/>
        <w:kinsoku/>
        <w:wordWrap/>
        <w:overflowPunct/>
        <w:topLinePunct w:val="0"/>
        <w:autoSpaceDE/>
        <w:autoSpaceDN/>
        <w:bidi w:val="0"/>
        <w:spacing w:before="0" w:after="0" w:line="578" w:lineRule="exact"/>
        <w:ind w:left="0" w:leftChars="0" w:firstLine="640" w:firstLineChars="200"/>
        <w:textAlignment w:val="auto"/>
        <w:rPr>
          <w:rFonts w:ascii="黑体" w:eastAsia="黑体"/>
          <w:b w:val="0"/>
          <w:bCs w:val="0"/>
        </w:rPr>
      </w:pPr>
      <w:r>
        <w:rPr>
          <w:rFonts w:hint="eastAsia" w:ascii="黑体" w:eastAsia="黑体"/>
          <w:b w:val="0"/>
          <w:bCs w:val="0"/>
        </w:rPr>
        <w:t>五、一般公共预算财政拨款“三公” 经费支出决算情况说明</w:t>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b w:val="0"/>
          <w:bCs w:val="0"/>
          <w:sz w:val="32"/>
          <w:szCs w:val="32"/>
        </w:rPr>
        <w:t>较年初</w:t>
      </w:r>
      <w:r>
        <w:rPr>
          <w:rFonts w:hint="eastAsia" w:ascii="仿宋_GB2312" w:eastAsia="仿宋_GB2312" w:cs="DengXian-Regular"/>
          <w:b w:val="0"/>
          <w:bCs w:val="0"/>
          <w:sz w:val="32"/>
          <w:szCs w:val="32"/>
          <w:lang w:eastAsia="zh-CN"/>
        </w:rPr>
        <w:t>无变化，</w:t>
      </w:r>
      <w:r>
        <w:rPr>
          <w:rFonts w:hint="eastAsia" w:ascii="仿宋_GB2312" w:eastAsia="仿宋_GB2312" w:cs="DengXian-Regular"/>
          <w:sz w:val="32"/>
          <w:szCs w:val="32"/>
        </w:rPr>
        <w:t>主要是认真贯彻落实中央</w:t>
      </w:r>
      <w:bookmarkStart w:id="0" w:name="_GoBack"/>
      <w:r>
        <w:rPr>
          <w:rFonts w:hint="eastAsia" w:ascii="仿宋_GB2312" w:eastAsia="仿宋_GB2312" w:cs="DengXian-Regular"/>
          <w:sz w:val="32"/>
          <w:szCs w:val="32"/>
        </w:rPr>
        <w:t>八项规定</w:t>
      </w:r>
      <w:bookmarkEnd w:id="0"/>
      <w:r>
        <w:rPr>
          <w:rFonts w:hint="eastAsia" w:ascii="仿宋_GB2312" w:eastAsia="仿宋_GB2312" w:cs="DengXian-Regular"/>
          <w:sz w:val="32"/>
          <w:szCs w:val="32"/>
        </w:rPr>
        <w:t>精神和厉行节约要求，从严控制“三公”经费开支，全年实际</w:t>
      </w:r>
      <w:r>
        <w:rPr>
          <w:rFonts w:hint="eastAsia" w:ascii="仿宋_GB2312" w:eastAsia="仿宋_GB2312" w:cs="DengXian-Regular"/>
          <w:sz w:val="32"/>
          <w:szCs w:val="32"/>
          <w:lang w:eastAsia="zh-CN"/>
        </w:rPr>
        <w:t>无</w:t>
      </w:r>
      <w:r>
        <w:rPr>
          <w:rFonts w:hint="eastAsia" w:ascii="仿宋_GB2312" w:eastAsia="仿宋_GB2312" w:cs="DengXian-Regular"/>
          <w:sz w:val="32"/>
          <w:szCs w:val="32"/>
        </w:rPr>
        <w:t>支出。具体情况如下：</w:t>
      </w:r>
    </w:p>
    <w:p>
      <w:pPr>
        <w:pageBreakBefore w:val="0"/>
        <w:kinsoku/>
        <w:wordWrap/>
        <w:overflowPunct/>
        <w:topLinePunct w:val="0"/>
        <w:autoSpaceDE/>
        <w:autoSpaceDN/>
        <w:bidi w:val="0"/>
        <w:adjustRightInd w:val="0"/>
        <w:snapToGrid w:val="0"/>
        <w:spacing w:after="0" w:line="578" w:lineRule="exact"/>
        <w:ind w:left="0" w:leftChars="0" w:firstLine="643" w:firstLineChars="200"/>
        <w:textAlignment w:val="auto"/>
        <w:rPr>
          <w:rFonts w:ascii="仿宋_GB2312" w:eastAsia="仿宋_GB2312" w:cs="DengXian-Regular"/>
          <w:sz w:val="32"/>
          <w:szCs w:val="32"/>
        </w:rPr>
      </w:pPr>
      <w:r>
        <w:rPr>
          <w:rFonts w:hint="eastAsia" w:ascii="楷体_GB2312" w:eastAsia="楷体_GB2312" w:cs="DengXian-Bold"/>
          <w:b/>
          <w:bCs/>
          <w:sz w:val="32"/>
          <w:szCs w:val="32"/>
        </w:rPr>
        <w:t>（</w:t>
      </w:r>
      <w:r>
        <w:rPr>
          <w:sz w:val="44"/>
        </w:rPr>
        <w:pict>
          <v:group id="_x0000_s1195" o:spid="_x0000_s1195" o:spt="203" style="position:absolute;left:0pt;margin-left:-1.75pt;margin-top:29.3pt;height:43.95pt;width:301.85pt;mso-position-horizontal-relative:page;mso-position-vertical-relative:page;z-index:25171353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aspectratio="f"/>
            <v:rect id="矩形 13" o:spid="_x0000_s1196"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97"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w:r>
      <w:r>
        <w:rPr>
          <w:sz w:val="44"/>
        </w:rPr>
        <w:pict>
          <v:group id="_x0000_s1046" o:spid="_x0000_s1046" o:spt="203" style="position:absolute;left:0pt;margin-left:-0.55pt;margin-top:29.3pt;height:43.95pt;width:301.85pt;mso-position-horizontal-relative:page;mso-position-vertical-relative:page;z-index:25168691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v:rect id="矩形 13" o:spid="_x0000_s1048" o:spt="1" style="position:absolute;left:4551;top:52615;height:1175;width:8546;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7"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w:t>
      </w:r>
    </w:p>
    <w:p>
      <w:pPr>
        <w:pageBreakBefore w:val="0"/>
        <w:kinsoku/>
        <w:wordWrap/>
        <w:overflowPunct/>
        <w:topLinePunct w:val="0"/>
        <w:autoSpaceDE/>
        <w:autoSpaceDN/>
        <w:bidi w:val="0"/>
        <w:adjustRightInd w:val="0"/>
        <w:snapToGrid w:val="0"/>
        <w:spacing w:after="0" w:line="578" w:lineRule="exact"/>
        <w:ind w:left="0" w:leftChars="0" w:firstLine="643" w:firstLineChars="200"/>
        <w:textAlignment w:val="auto"/>
        <w:rPr>
          <w:rFonts w:ascii="仿宋_GB2312" w:eastAsia="仿宋_GB2312" w:cs="DengXian-Regular"/>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w:t>
      </w:r>
      <w:r>
        <w:rPr>
          <w:rFonts w:hint="eastAsia" w:ascii="仿宋_GB2312" w:eastAsia="仿宋_GB2312" w:cs="DengXian-Regular"/>
          <w:sz w:val="32"/>
          <w:szCs w:val="32"/>
          <w:lang w:eastAsia="zh-CN"/>
        </w:rPr>
        <w:t>无公车。</w:t>
      </w:r>
    </w:p>
    <w:p>
      <w:pPr>
        <w:pageBreakBefore w:val="0"/>
        <w:kinsoku/>
        <w:wordWrap/>
        <w:overflowPunct/>
        <w:topLinePunct w:val="0"/>
        <w:autoSpaceDE/>
        <w:autoSpaceDN/>
        <w:bidi w:val="0"/>
        <w:adjustRightInd w:val="0"/>
        <w:snapToGrid w:val="0"/>
        <w:spacing w:after="0" w:line="578" w:lineRule="exact"/>
        <w:ind w:left="0" w:leftChars="0" w:firstLine="643" w:firstLineChars="200"/>
        <w:textAlignment w:val="auto"/>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sz w:val="44"/>
        </w:rPr>
        <w:pict>
          <v:group id="_x0000_s1168" o:spid="_x0000_s1168" o:spt="203" style="position:absolute;left:0pt;margin-left:1.25pt;margin-top:28.1pt;height:43.95pt;width:301.85pt;mso-position-horizontal-relative:page;mso-position-vertical-relative:page;z-index:25170534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aspectratio="f"/>
            <v:rect id="矩形 13" o:spid="_x0000_s1169"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70"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w:r>
      <w:r>
        <w:rPr>
          <w:sz w:val="44"/>
        </w:rPr>
        <w:pict>
          <v:group id="_x0000_s1043" o:spid="_x0000_s1043" o:spt="203" style="position:absolute;left:0pt;margin-left:-0.55pt;margin-top:29.3pt;height:43.95pt;width:301.85pt;mso-position-horizontal-relative:page;mso-position-vertical-relative:page;z-index:251687936;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v:rect id="矩形 13" o:spid="_x0000_s1045" o:spt="1" style="position:absolute;left:4551;top:52615;height:1175;width:8546;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4"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本部门2018年度公务接待共0批次、0人次</w:t>
      </w:r>
    </w:p>
    <w:p>
      <w:pPr>
        <w:pStyle w:val="3"/>
        <w:pageBreakBefore w:val="0"/>
        <w:kinsoku/>
        <w:wordWrap/>
        <w:overflowPunct/>
        <w:topLinePunct w:val="0"/>
        <w:autoSpaceDE/>
        <w:autoSpaceDN/>
        <w:bidi w:val="0"/>
        <w:spacing w:before="0" w:after="0" w:line="578" w:lineRule="exact"/>
        <w:ind w:left="0" w:leftChars="0" w:firstLine="640" w:firstLineChars="200"/>
        <w:textAlignment w:val="auto"/>
        <w:rPr>
          <w:rFonts w:hint="eastAsia" w:ascii="黑体" w:eastAsia="黑体"/>
          <w:b w:val="0"/>
          <w:bCs w:val="0"/>
        </w:rPr>
      </w:pPr>
      <w:r>
        <w:rPr>
          <w:rFonts w:hint="eastAsia" w:ascii="黑体" w:eastAsia="黑体"/>
          <w:b w:val="0"/>
          <w:bCs w:val="0"/>
        </w:rPr>
        <w:t>六、绩效预算情况说明</w:t>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（一）绩效管理工作开展情况。根据《关于开展2018年度财政专项资金部门绩效自评价工作的通知》（石财绩</w:t>
      </w:r>
      <w:r>
        <w:rPr>
          <w:rFonts w:hint="eastAsia" w:ascii="宋体" w:hAnsi="宋体" w:cs="宋体"/>
          <w:sz w:val="32"/>
          <w:szCs w:val="32"/>
        </w:rPr>
        <w:t>[2019]</w:t>
      </w:r>
      <w:r>
        <w:rPr>
          <w:rFonts w:hint="eastAsia" w:ascii="仿宋_GB2312" w:eastAsia="仿宋_GB2312" w:cs="DengXian-Regular"/>
          <w:sz w:val="32"/>
          <w:szCs w:val="32"/>
        </w:rPr>
        <w:t>1号），本单位认真开展了预算绩效管理改革开展情况自查，对部门全面规范绩效预算编制、严格预算执行管理、推进绩效评价工作、推进预决算信息公开等方面进行了自评，考核结果为优秀。</w:t>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hint="eastAsia" w:ascii="仿宋_GB2312" w:eastAsia="仿宋_GB2312" w:cs="DengXian-Regular"/>
          <w:sz w:val="32"/>
          <w:szCs w:val="32"/>
        </w:rPr>
      </w:pPr>
      <w:r>
        <w:rPr>
          <w:rFonts w:hint="eastAsia" w:ascii="仿宋_GB2312" w:eastAsia="仿宋_GB2312" w:cs="DengXian-Regular"/>
          <w:sz w:val="32"/>
          <w:szCs w:val="32"/>
        </w:rPr>
        <w:t>（二）预算项目绩效评价开展情况</w:t>
      </w:r>
      <w:r>
        <w:rPr>
          <w:rFonts w:hint="eastAsia" w:ascii="仿宋_GB2312" w:eastAsia="仿宋_GB2312" w:cs="DengXian-Regular"/>
          <w:sz w:val="32"/>
          <w:szCs w:val="32"/>
          <w:lang w:eastAsia="zh-CN"/>
        </w:rPr>
        <w:t>。</w:t>
      </w:r>
      <w:r>
        <w:rPr>
          <w:rFonts w:hint="eastAsia" w:ascii="仿宋_GB2312" w:eastAsia="仿宋_GB2312" w:cs="DengXian-Regular"/>
          <w:sz w:val="32"/>
          <w:szCs w:val="32"/>
        </w:rPr>
        <w:t>根据预算绩效管理要求，本单位组织对201</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年度一般公共预算项目支出全面开展绩效自评，涉</w:t>
      </w:r>
      <w:r>
        <w:rPr>
          <w:rFonts w:hint="eastAsia" w:ascii="仿宋" w:hAnsi="仿宋" w:eastAsia="仿宋" w:cs="DengXian-Regular"/>
          <w:sz w:val="32"/>
          <w:szCs w:val="32"/>
        </w:rPr>
        <w:t>及</w:t>
      </w:r>
      <w:r>
        <w:rPr>
          <w:rFonts w:hint="eastAsia" w:ascii="仿宋_GB2312" w:hAnsi="仿宋_GB2312" w:eastAsia="仿宋_GB2312" w:cs="仿宋_GB2312"/>
          <w:sz w:val="32"/>
          <w:szCs w:val="32"/>
        </w:rPr>
        <w:t>独生子女家庭意外伤害保险、住院护工补贴保险</w:t>
      </w:r>
      <w:r>
        <w:rPr>
          <w:rFonts w:hint="eastAsia" w:ascii="仿宋_GB2312" w:hAnsi="仿宋_GB2312" w:eastAsia="仿宋_GB2312" w:cs="仿宋_GB2312"/>
          <w:sz w:val="32"/>
          <w:szCs w:val="32"/>
          <w:lang w:eastAsia="zh-CN"/>
        </w:rPr>
        <w:t>和“亲情关爱”七项帮扶措施</w:t>
      </w:r>
      <w:r>
        <w:rPr>
          <w:rFonts w:hint="eastAsia" w:ascii="仿宋" w:hAnsi="仿宋" w:eastAsia="仿宋" w:cs="DengXian-Regular"/>
          <w:sz w:val="32"/>
          <w:szCs w:val="32"/>
        </w:rPr>
        <w:t>等2个</w:t>
      </w:r>
      <w:r>
        <w:rPr>
          <w:rFonts w:hint="eastAsia" w:ascii="仿宋_GB2312" w:eastAsia="仿宋_GB2312" w:cs="DengXian-Regular"/>
          <w:sz w:val="32"/>
          <w:szCs w:val="32"/>
        </w:rPr>
        <w:t>项目，涉及资金</w:t>
      </w:r>
      <w:r>
        <w:rPr>
          <w:rFonts w:hint="eastAsia" w:ascii="仿宋_GB2312" w:eastAsia="黑体" w:cs="DengXian-Regular"/>
          <w:sz w:val="32"/>
          <w:szCs w:val="32"/>
          <w:lang w:val="en-US" w:eastAsia="zh-CN"/>
        </w:rPr>
        <w:t>34.49</w:t>
      </w:r>
      <w:r>
        <w:rPr>
          <w:rFonts w:hint="eastAsia" w:ascii="仿宋_GB2312" w:eastAsia="仿宋_GB2312" w:cs="DengXian-Regular"/>
          <w:sz w:val="32"/>
          <w:szCs w:val="32"/>
        </w:rPr>
        <w:t>万元。从评价情况看，评价结果为优秀的项目有</w:t>
      </w:r>
      <w:r>
        <w:rPr>
          <w:rFonts w:hint="eastAsia" w:ascii="仿宋_GB2312" w:eastAsia="黑体" w:cs="DengXian-Regular"/>
          <w:sz w:val="32"/>
          <w:szCs w:val="32"/>
        </w:rPr>
        <w:t>2</w:t>
      </w:r>
      <w:r>
        <w:rPr>
          <w:rFonts w:hint="eastAsia" w:ascii="仿宋_GB2312" w:eastAsia="仿宋_GB2312" w:cs="DengXian-Regular"/>
          <w:sz w:val="32"/>
          <w:szCs w:val="32"/>
        </w:rPr>
        <w:t>个。</w:t>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hint="eastAsia" w:ascii="仿宋_GB2312" w:eastAsia="仿宋_GB2312" w:cs="DengXian-Regular"/>
          <w:sz w:val="32"/>
          <w:szCs w:val="32"/>
        </w:rPr>
      </w:pPr>
      <w:r>
        <w:rPr>
          <w:rFonts w:hint="eastAsia" w:ascii="仿宋_GB2312" w:eastAsia="仿宋_GB2312" w:cs="DengXian-Regular"/>
          <w:sz w:val="32"/>
          <w:szCs w:val="32"/>
        </w:rPr>
        <w:t>（三）预算项目绩效自评选例</w:t>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hint="eastAsia" w:ascii="仿宋_GB2312" w:eastAsia="仿宋_GB2312" w:cs="DengXian-Regular"/>
          <w:sz w:val="32"/>
          <w:szCs w:val="32"/>
        </w:rPr>
      </w:pPr>
      <w:r>
        <w:rPr>
          <w:rFonts w:hint="eastAsia" w:ascii="仿宋_GB2312" w:eastAsia="仿宋_GB2312" w:cs="DengXian-Regular"/>
          <w:sz w:val="32"/>
          <w:szCs w:val="32"/>
        </w:rPr>
        <w:t>本单位党员活动经费项目绩效自评：根据年初设定的绩效目标，独生子女家庭意外伤害保险、住院护工补贴保险自评结果为优秀。项目全年预算数为</w:t>
      </w:r>
      <w:r>
        <w:rPr>
          <w:rFonts w:hint="eastAsia" w:ascii="仿宋_GB2312" w:eastAsia="仿宋_GB2312" w:cs="DengXian-Regular"/>
          <w:sz w:val="32"/>
          <w:szCs w:val="32"/>
          <w:lang w:val="en-US" w:eastAsia="zh-CN"/>
        </w:rPr>
        <w:t>13.92</w:t>
      </w:r>
      <w:r>
        <w:rPr>
          <w:rFonts w:hint="eastAsia" w:ascii="仿宋_GB2312" w:eastAsia="仿宋_GB2312" w:cs="DengXian-Regular"/>
          <w:sz w:val="32"/>
          <w:szCs w:val="32"/>
        </w:rPr>
        <w:t>万元，执行数为</w:t>
      </w:r>
      <w:r>
        <w:rPr>
          <w:rFonts w:hint="eastAsia" w:ascii="仿宋_GB2312" w:eastAsia="仿宋_GB2312" w:cs="DengXian-Regular"/>
          <w:sz w:val="32"/>
          <w:szCs w:val="32"/>
          <w:lang w:val="en-US" w:eastAsia="zh-CN"/>
        </w:rPr>
        <w:t>13.86</w:t>
      </w:r>
      <w:r>
        <w:rPr>
          <w:rFonts w:hint="eastAsia" w:ascii="仿宋_GB2312" w:eastAsia="仿宋_GB2312" w:cs="DengXian-Regular"/>
          <w:sz w:val="32"/>
          <w:szCs w:val="32"/>
        </w:rPr>
        <w:t>万元，完成预算的</w:t>
      </w:r>
      <w:r>
        <w:rPr>
          <w:rFonts w:hint="eastAsia" w:ascii="仿宋_GB2312" w:eastAsia="仿宋_GB2312" w:cs="DengXian-Regular"/>
          <w:sz w:val="32"/>
          <w:szCs w:val="32"/>
          <w:lang w:val="en-US" w:eastAsia="zh-CN"/>
        </w:rPr>
        <w:t>99</w:t>
      </w:r>
      <w:r>
        <w:rPr>
          <w:rFonts w:hint="eastAsia" w:ascii="仿宋_GB2312" w:eastAsia="仿宋_GB2312" w:cs="DengXian-Regular"/>
          <w:sz w:val="32"/>
          <w:szCs w:val="32"/>
        </w:rPr>
        <w:t>%。主要产出和效果是得到</w:t>
      </w:r>
      <w:r>
        <w:rPr>
          <w:rFonts w:hint="eastAsia" w:ascii="仿宋_GB2312" w:eastAsia="仿宋_GB2312" w:cs="DengXian-Regular"/>
          <w:sz w:val="32"/>
          <w:szCs w:val="32"/>
          <w:lang w:eastAsia="zh-CN"/>
        </w:rPr>
        <w:t>对符合政策的计生群众的入保率达到</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w:t>
      </w:r>
    </w:p>
    <w:p>
      <w:pPr>
        <w:pStyle w:val="3"/>
        <w:pageBreakBefore w:val="0"/>
        <w:kinsoku/>
        <w:wordWrap/>
        <w:overflowPunct/>
        <w:topLinePunct w:val="0"/>
        <w:autoSpaceDE/>
        <w:autoSpaceDN/>
        <w:bidi w:val="0"/>
        <w:spacing w:before="0" w:after="0" w:line="578" w:lineRule="exact"/>
        <w:ind w:left="0" w:leftChars="0" w:firstLine="640" w:firstLineChars="200"/>
        <w:textAlignment w:val="auto"/>
        <w:rPr>
          <w:rFonts w:ascii="黑体" w:eastAsia="黑体" w:cs="Times New Roman"/>
          <w:b w:val="0"/>
          <w:bCs w:val="0"/>
        </w:rPr>
      </w:pPr>
      <w:r>
        <w:rPr>
          <w:rFonts w:hint="eastAsia" w:ascii="黑体" w:eastAsia="黑体" w:cs="Times New Roman"/>
          <w:b w:val="0"/>
          <w:bCs w:val="0"/>
        </w:rPr>
        <w:t>七、其他重要事项的说明</w:t>
      </w:r>
    </w:p>
    <w:p>
      <w:pPr>
        <w:pStyle w:val="4"/>
        <w:pageBreakBefore w:val="0"/>
        <w:kinsoku/>
        <w:wordWrap/>
        <w:overflowPunct/>
        <w:topLinePunct w:val="0"/>
        <w:autoSpaceDE/>
        <w:autoSpaceDN/>
        <w:bidi w:val="0"/>
        <w:spacing w:before="0" w:after="0" w:line="578" w:lineRule="exact"/>
        <w:ind w:left="0" w:leftChars="0" w:firstLine="643" w:firstLineChars="200"/>
        <w:textAlignment w:val="auto"/>
        <w:rPr>
          <w:rFonts w:ascii="楷体_GB2312" w:eastAsia="楷体_GB2312" w:cs="DengXian-Bold"/>
        </w:rPr>
      </w:pPr>
      <w:r>
        <w:rPr>
          <w:rFonts w:hint="eastAsia" w:ascii="楷体_GB2312" w:eastAsia="楷体_GB2312" w:cs="DengXian-Bold"/>
        </w:rPr>
        <w:t>（一）机关运行经费情况</w:t>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rPr>
        <w:t>本部门2018年度机关运行经费支出</w:t>
      </w:r>
      <w:r>
        <w:rPr>
          <w:rFonts w:hint="eastAsia" w:ascii="仿宋_GB2312" w:eastAsia="仿宋_GB2312" w:cs="DengXian-Regular"/>
          <w:sz w:val="32"/>
          <w:szCs w:val="32"/>
          <w:lang w:val="en-US" w:eastAsia="zh-CN"/>
        </w:rPr>
        <w:t>13.19</w:t>
      </w:r>
      <w:r>
        <w:rPr>
          <w:rFonts w:hint="eastAsia" w:ascii="仿宋_GB2312" w:eastAsia="仿宋_GB2312" w:cs="DengXian-Regular"/>
          <w:sz w:val="32"/>
          <w:szCs w:val="32"/>
        </w:rPr>
        <w:t>万元，比年初预算数增加</w:t>
      </w:r>
      <w:r>
        <w:rPr>
          <w:rFonts w:hint="eastAsia" w:ascii="仿宋_GB2312" w:eastAsia="仿宋_GB2312" w:cs="DengXian-Regular"/>
          <w:sz w:val="32"/>
          <w:szCs w:val="32"/>
          <w:lang w:val="en-US" w:eastAsia="zh-CN"/>
        </w:rPr>
        <w:t>3.86</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29</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人员增加。</w:t>
      </w:r>
    </w:p>
    <w:p>
      <w:pPr>
        <w:pStyle w:val="4"/>
        <w:pageBreakBefore w:val="0"/>
        <w:kinsoku/>
        <w:wordWrap/>
        <w:overflowPunct/>
        <w:topLinePunct w:val="0"/>
        <w:autoSpaceDE/>
        <w:autoSpaceDN/>
        <w:bidi w:val="0"/>
        <w:spacing w:before="0" w:after="0" w:line="578" w:lineRule="exact"/>
        <w:ind w:left="0" w:leftChars="0" w:firstLine="643" w:firstLineChars="200"/>
        <w:textAlignment w:val="auto"/>
        <w:rPr>
          <w:rFonts w:ascii="楷体_GB2312" w:eastAsia="楷体_GB2312" w:cs="DengXian-Bold"/>
        </w:rPr>
      </w:pPr>
      <w:r>
        <w:rPr>
          <w:rFonts w:hint="eastAsia" w:ascii="楷体_GB2312" w:eastAsia="楷体_GB2312" w:cs="DengXian-Bold"/>
        </w:rPr>
        <w:t>（二）政府采购情况</w:t>
      </w:r>
    </w:p>
    <w:p>
      <w:pPr>
        <w:pageBreakBefore w:val="0"/>
        <w:widowControl/>
        <w:kinsoku/>
        <w:wordWrap/>
        <w:overflowPunct/>
        <w:topLinePunct w:val="0"/>
        <w:autoSpaceDE/>
        <w:autoSpaceDN/>
        <w:bidi w:val="0"/>
        <w:spacing w:after="0" w:line="578" w:lineRule="exact"/>
        <w:ind w:left="0" w:leftChars="0" w:firstLine="640" w:firstLineChars="200"/>
        <w:jc w:val="left"/>
        <w:textAlignment w:val="auto"/>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pageBreakBefore w:val="0"/>
        <w:kinsoku/>
        <w:wordWrap/>
        <w:overflowPunct/>
        <w:topLinePunct w:val="0"/>
        <w:autoSpaceDE/>
        <w:autoSpaceDN/>
        <w:bidi w:val="0"/>
        <w:spacing w:before="0" w:after="0" w:line="578" w:lineRule="exact"/>
        <w:ind w:left="0" w:leftChars="0" w:firstLine="643" w:firstLineChars="200"/>
        <w:textAlignment w:val="auto"/>
        <w:rPr>
          <w:rFonts w:ascii="楷体_GB2312" w:eastAsia="楷体_GB2312" w:cs="DengXian-Bold"/>
        </w:rPr>
      </w:pPr>
      <w:r>
        <w:rPr>
          <w:rFonts w:hint="eastAsia" w:ascii="楷体_GB2312" w:eastAsia="楷体_GB2312" w:cs="DengXian-Bold"/>
        </w:rPr>
        <w:t>（三）国有资产占用情况</w:t>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辆，比上年无变化。其中，副部（省）级及以上领导用车0辆，主要领导干部用车0辆，机要通信用车0辆，应急保障用车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辆，执法执勤用车0辆，特种专业技术用车0辆，离退休干部用车0辆，其他用车0辆；单位价值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w:t>
      </w:r>
    </w:p>
    <w:p>
      <w:pPr>
        <w:pStyle w:val="4"/>
        <w:pageBreakBefore w:val="0"/>
        <w:kinsoku/>
        <w:wordWrap/>
        <w:overflowPunct/>
        <w:topLinePunct w:val="0"/>
        <w:autoSpaceDE/>
        <w:autoSpaceDN/>
        <w:bidi w:val="0"/>
        <w:spacing w:before="0" w:after="0" w:line="578" w:lineRule="exact"/>
        <w:ind w:left="0" w:leftChars="0" w:firstLine="643" w:firstLineChars="200"/>
        <w:textAlignment w:val="auto"/>
        <w:rPr>
          <w:rFonts w:ascii="楷体_GB2312" w:eastAsia="楷体_GB2312" w:cs="DengXian-Bold"/>
        </w:rPr>
      </w:pPr>
      <w:r>
        <w:rPr>
          <w:rFonts w:hint="eastAsia" w:ascii="楷体_GB2312" w:eastAsia="楷体_GB2312" w:cs="DengXian-Bold"/>
        </w:rPr>
        <w:t>（四）其他需要说明的情况</w:t>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rPr>
        <w:t>1、本部门2018年度结转结余情况</w:t>
      </w:r>
      <w:r>
        <w:rPr>
          <w:rFonts w:hint="eastAsia" w:ascii="仿宋_GB2312" w:eastAsia="仿宋_GB2312" w:cs="DengXian-Regular"/>
          <w:sz w:val="32"/>
          <w:szCs w:val="32"/>
          <w:lang w:eastAsia="zh-CN"/>
        </w:rPr>
        <w:t>为</w:t>
      </w:r>
      <w:r>
        <w:rPr>
          <w:rFonts w:hint="eastAsia" w:ascii="仿宋_GB2312" w:eastAsia="仿宋_GB2312" w:cs="DengXian-Regular"/>
          <w:sz w:val="32"/>
          <w:szCs w:val="32"/>
          <w:lang w:val="en-US" w:eastAsia="zh-CN"/>
        </w:rPr>
        <w:t>17.02万元</w:t>
      </w:r>
      <w:r>
        <w:rPr>
          <w:rFonts w:hint="eastAsia" w:ascii="仿宋_GB2312" w:eastAsia="仿宋_GB2312" w:cs="DengXian-Regular"/>
          <w:sz w:val="32"/>
          <w:szCs w:val="32"/>
        </w:rPr>
        <w:t>。</w:t>
      </w:r>
    </w:p>
    <w:p>
      <w:pPr>
        <w:pageBreakBefore w:val="0"/>
        <w:kinsoku/>
        <w:wordWrap/>
        <w:overflowPunct/>
        <w:topLinePunct w:val="0"/>
        <w:autoSpaceDE/>
        <w:autoSpaceDN/>
        <w:bidi w:val="0"/>
        <w:adjustRightInd w:val="0"/>
        <w:snapToGrid w:val="0"/>
        <w:spacing w:after="0" w:line="578" w:lineRule="exact"/>
        <w:ind w:left="0" w:leftChars="0"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177" o:spid="_x0000_s1177" o:spt="203" style="position:absolute;left:0pt;margin-left:11.45pt;margin-top:41.3pt;height:43.95pt;width:301.85pt;mso-position-horizontal-relative:page;mso-position-vertical-relative:page;z-index:25170739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aspectratio="f"/>
            <v:rect id="矩形 13" o:spid="_x0000_s1178"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aspectratio="f"/>
            </v:rect>
            <v:rect id="矩形 14" o:spid="_x0000_s1179"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pageBreakBefore w:val="0"/>
        <w:widowControl/>
        <w:kinsoku/>
        <w:wordWrap/>
        <w:overflowPunct/>
        <w:topLinePunct w:val="0"/>
        <w:autoSpaceDE/>
        <w:autoSpaceDN/>
        <w:bidi w:val="0"/>
        <w:spacing w:after="0" w:line="578" w:lineRule="exact"/>
        <w:ind w:left="0" w:leftChars="0" w:firstLine="883" w:firstLineChars="200"/>
        <w:jc w:val="left"/>
        <w:textAlignment w:val="auto"/>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6950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hint="eastAsia" w:ascii="仿宋_GB2312" w:hAnsi="宋体" w:eastAsia="仿宋_GB2312"/>
          <w:b/>
          <w:bCs/>
          <w:color w:val="000000"/>
          <w:kern w:val="0"/>
          <w:sz w:val="32"/>
          <w:szCs w:val="32"/>
        </w:rPr>
        <w:pict>
          <v:group id="组合 149" o:spid="_x0000_s1180" o:spt="203" style="position:absolute;left:0pt;margin-left:-69.05pt;margin-top:51.65pt;height:43.95pt;width:264.85pt;mso-position-vertical-relative:page;z-index:25170636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aspectratio="f"/>
            <v:rect id="矩形 13" o:spid="_x0000_s1181"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aspectratio="f"/>
            </v:rect>
            <v:rect id="矩形 14" o:spid="_x0000_s1182"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w:r>
      <w:r>
        <w:rPr>
          <w:rFonts w:ascii="仿宋_GB2312" w:eastAsia="仿宋_GB2312" w:hAnsiTheme="majorEastAsia"/>
          <w:b/>
          <w:bCs/>
          <w:color w:val="000000"/>
          <w:kern w:val="0"/>
          <w:sz w:val="32"/>
          <w:szCs w:val="32"/>
        </w:rPr>
        <w:pict>
          <v:group id="_x0000_s1033" o:spid="_x0000_s1033" o:spt="203" style="position:absolute;left:0pt;margin-left:-81.05pt;margin-top:39.65pt;height:43.95pt;width:264.85pt;mso-position-vertical-relative:page;z-index:251673600;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v:rect id="矩形 13" o:spid="_x0000_s1035"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4"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030" o:spid="_x0000_s1030" o:spt="203" style="position:absolute;left:0pt;margin-left:-81.05pt;margin-top:39.65pt;height:43.95pt;width:264.85pt;mso-position-vertical-relative:page;z-index:251688960;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v:rect id="矩形 13" o:spid="_x0000_s1032"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31"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hint="eastAsia" w:ascii="仿宋_GB2312" w:hAnsi="宋体" w:eastAsia="仿宋_GB2312"/>
          <w:b/>
          <w:bCs/>
          <w:color w:val="000000"/>
          <w:kern w:val="0"/>
          <w:sz w:val="32"/>
          <w:szCs w:val="32"/>
        </w:rPr>
        <w:pict>
          <v:group id="_x0000_s1183" o:spid="_x0000_s1183" o:spt="203" style="position:absolute;left:0pt;margin-left:-69.05pt;margin-top:51.65pt;height:43.95pt;width:264.85pt;mso-position-vertical-relative:page;z-index:25170636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aspectratio="f"/>
            <v:rect id="矩形 13" o:spid="_x0000_s1184"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aspectratio="f"/>
            </v:rect>
            <v:rect id="矩形 14" o:spid="_x0000_s1185"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w:r>
      <w:r>
        <w:rPr>
          <w:rFonts w:ascii="仿宋_GB2312" w:eastAsia="仿宋_GB2312" w:hAnsiTheme="majorEastAsia"/>
          <w:b/>
          <w:bCs/>
          <w:color w:val="000000"/>
          <w:kern w:val="0"/>
          <w:sz w:val="32"/>
          <w:szCs w:val="32"/>
        </w:rPr>
        <w:pict>
          <v:group id="_x0000_s1027" o:spid="_x0000_s1027" o:spt="203" style="position:absolute;left:0pt;margin-left:-81.05pt;margin-top:39.65pt;height:43.95pt;width:264.85pt;mso-position-vertical-relative:page;z-index:251689984;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v:rect id="矩形 13" o:spid="_x0000_s1029"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28"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438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5"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96D4D072-9B87-4646-9940-7B04E0EE042A}"/>
  </w:font>
  <w:font w:name="黑体">
    <w:panose1 w:val="02010609060101010101"/>
    <w:charset w:val="86"/>
    <w:family w:val="auto"/>
    <w:pitch w:val="default"/>
    <w:sig w:usb0="800002BF" w:usb1="38CF7CFA" w:usb2="00000016" w:usb3="00000000" w:csb0="00040001" w:csb1="00000000"/>
    <w:embedRegular r:id="rId2" w:fontKey="{377594B0-F86B-4D00-B634-984C1871C8F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C3A7FB9F-F685-474D-86F8-F6E6DC50BAFB}"/>
  </w:font>
  <w:font w:name="Cambria">
    <w:panose1 w:val="02040503050406030204"/>
    <w:charset w:val="00"/>
    <w:family w:val="roman"/>
    <w:pitch w:val="default"/>
    <w:sig w:usb0="E00002FF" w:usb1="400004FF" w:usb2="00000000" w:usb3="00000000" w:csb0="2000019F" w:csb1="00000000"/>
    <w:embedRegular r:id="rId4" w:fontKey="{738DC2C4-7D79-490B-A642-C9A3DA2B90F5}"/>
  </w:font>
  <w:font w:name="楷体">
    <w:panose1 w:val="02010609060101010101"/>
    <w:charset w:val="86"/>
    <w:family w:val="modern"/>
    <w:pitch w:val="default"/>
    <w:sig w:usb0="800002BF" w:usb1="38CF7CFA" w:usb2="00000016" w:usb3="00000000" w:csb0="00040001" w:csb1="00000000"/>
    <w:embedRegular r:id="rId5" w:fontKey="{6FB46FDF-456D-47E1-A2D9-608830687213}"/>
  </w:font>
  <w:font w:name="楷体_GB2312">
    <w:panose1 w:val="02010609030101010101"/>
    <w:charset w:val="86"/>
    <w:family w:val="swiss"/>
    <w:pitch w:val="default"/>
    <w:sig w:usb0="00000001" w:usb1="080E0000" w:usb2="00000000" w:usb3="00000000" w:csb0="00040000" w:csb1="00000000"/>
    <w:embedRegular r:id="rId6" w:fontKey="{FED2AC60-FA97-45DE-8F14-0294DF897CA3}"/>
  </w:font>
  <w:font w:name="仿宋_GB2312">
    <w:panose1 w:val="02010609030101010101"/>
    <w:charset w:val="86"/>
    <w:family w:val="swiss"/>
    <w:pitch w:val="default"/>
    <w:sig w:usb0="00000001" w:usb1="080E0000" w:usb2="00000000" w:usb3="00000000" w:csb0="00040000" w:csb1="00000000"/>
    <w:embedRegular r:id="rId7" w:fontKey="{4BF61F82-8952-4D33-B736-65D854F6AEDB}"/>
  </w:font>
  <w:font w:name="ArialUnicodeMS">
    <w:altName w:val="Dotum"/>
    <w:panose1 w:val="00000000000000000000"/>
    <w:charset w:val="81"/>
    <w:family w:val="auto"/>
    <w:pitch w:val="default"/>
    <w:sig w:usb0="00000000" w:usb1="00000000" w:usb2="00000010" w:usb3="00000000" w:csb0="00080001" w:csb1="00000000"/>
    <w:embedRegular r:id="rId8" w:fontKey="{2A76F282-A877-476C-AA44-6DA05555198E}"/>
  </w:font>
  <w:font w:name="MS-UIGothic,Bold">
    <w:altName w:val="Dotum"/>
    <w:panose1 w:val="00000000000000000000"/>
    <w:charset w:val="81"/>
    <w:family w:val="auto"/>
    <w:pitch w:val="default"/>
    <w:sig w:usb0="00000000" w:usb1="00000000" w:usb2="00000010" w:usb3="00000000" w:csb0="00080000" w:csb1="00000000"/>
    <w:embedRegular r:id="rId9" w:fontKey="{7B0BEEC6-4C92-48A9-A6DD-BF74E18DD500}"/>
  </w:font>
  <w:font w:name="DengXian-Regular">
    <w:altName w:val="宋体"/>
    <w:panose1 w:val="00000000000000000000"/>
    <w:charset w:val="86"/>
    <w:family w:val="auto"/>
    <w:pitch w:val="default"/>
    <w:sig w:usb0="00000000" w:usb1="00000000" w:usb2="00000010" w:usb3="00000000" w:csb0="00040001" w:csb1="00000000"/>
    <w:embedRegular r:id="rId10" w:fontKey="{252F5E6F-FA31-4BD7-A56F-25ED67323A83}"/>
  </w:font>
  <w:font w:name="DengXian-Bold">
    <w:altName w:val="宋体"/>
    <w:panose1 w:val="00000000000000000000"/>
    <w:charset w:val="86"/>
    <w:family w:val="auto"/>
    <w:pitch w:val="default"/>
    <w:sig w:usb0="00000000" w:usb1="00000000" w:usb2="00000010" w:usb3="00000000" w:csb0="00040001" w:csb1="00000000"/>
    <w:embedRegular r:id="rId11" w:fontKey="{28F68479-A551-4C4D-BFE4-A4035B11CADC}"/>
  </w:font>
  <w:font w:name="仿宋">
    <w:panose1 w:val="02010609060101010101"/>
    <w:charset w:val="86"/>
    <w:family w:val="modern"/>
    <w:pitch w:val="default"/>
    <w:sig w:usb0="800002BF" w:usb1="38CF7CFA" w:usb2="00000016" w:usb3="00000000" w:csb0="00040001" w:csb1="00000000"/>
    <w:embedRegular r:id="rId12" w:fontKey="{5DDC0CF8-7610-49FE-AC5A-1FDB3E335AE7}"/>
  </w:font>
  <w:font w:name="TimesNewRomanPSMT">
    <w:altName w:val="Arial"/>
    <w:panose1 w:val="00000000000000000000"/>
    <w:charset w:val="00"/>
    <w:family w:val="decorative"/>
    <w:pitch w:val="default"/>
    <w:sig w:usb0="00000000" w:usb1="00000000" w:usb2="00000000" w:usb3="00000000" w:csb0="00000001" w:csb1="00000000"/>
  </w:font>
  <w:font w:name="Gulim">
    <w:panose1 w:val="020B0600000101010101"/>
    <w:charset w:val="81"/>
    <w:family w:val="auto"/>
    <w:pitch w:val="default"/>
    <w:sig w:usb0="B00002AF" w:usb1="69D77CFB" w:usb2="00000030" w:usb3="00000000" w:csb0="4008009F" w:csb1="DFD70000"/>
  </w:font>
  <w:font w:name="Dotum">
    <w:panose1 w:val="020B0600000101010101"/>
    <w:charset w:val="81"/>
    <w:family w:val="auto"/>
    <w:pitch w:val="default"/>
    <w:sig w:usb0="B00002AF" w:usb1="69D77CFB" w:usb2="00000030" w:usb3="00000000" w:csb0="4008009F" w:csb1="DFD7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GJlMzA0OTUxNjRkODcxYWQxYjZmZGIzNmU3YTVlYmMifQ=="/>
  </w:docVars>
  <w:rsids>
    <w:rsidRoot w:val="003C1413"/>
    <w:rsid w:val="00024E7F"/>
    <w:rsid w:val="000475A0"/>
    <w:rsid w:val="0005118B"/>
    <w:rsid w:val="000838C3"/>
    <w:rsid w:val="000B2446"/>
    <w:rsid w:val="000C3765"/>
    <w:rsid w:val="000D7C65"/>
    <w:rsid w:val="000E2F81"/>
    <w:rsid w:val="001122F4"/>
    <w:rsid w:val="00117946"/>
    <w:rsid w:val="00117E2C"/>
    <w:rsid w:val="001330B4"/>
    <w:rsid w:val="0013741A"/>
    <w:rsid w:val="00141661"/>
    <w:rsid w:val="00146C47"/>
    <w:rsid w:val="00152FB8"/>
    <w:rsid w:val="00176658"/>
    <w:rsid w:val="0018239E"/>
    <w:rsid w:val="001A4E6D"/>
    <w:rsid w:val="001B3410"/>
    <w:rsid w:val="001B741E"/>
    <w:rsid w:val="001C030D"/>
    <w:rsid w:val="001C4A84"/>
    <w:rsid w:val="001E3BD4"/>
    <w:rsid w:val="001E5902"/>
    <w:rsid w:val="002152FE"/>
    <w:rsid w:val="00220CF9"/>
    <w:rsid w:val="0022391C"/>
    <w:rsid w:val="00233705"/>
    <w:rsid w:val="0025251B"/>
    <w:rsid w:val="00272225"/>
    <w:rsid w:val="00275CA2"/>
    <w:rsid w:val="002A20FE"/>
    <w:rsid w:val="002A65A5"/>
    <w:rsid w:val="002C04C4"/>
    <w:rsid w:val="002D08B0"/>
    <w:rsid w:val="002D1AE3"/>
    <w:rsid w:val="002E26C6"/>
    <w:rsid w:val="002F2ECE"/>
    <w:rsid w:val="003339F7"/>
    <w:rsid w:val="00341C8F"/>
    <w:rsid w:val="0035007F"/>
    <w:rsid w:val="0035463A"/>
    <w:rsid w:val="00391D9D"/>
    <w:rsid w:val="00391E1D"/>
    <w:rsid w:val="003B6C51"/>
    <w:rsid w:val="003C1413"/>
    <w:rsid w:val="003C549F"/>
    <w:rsid w:val="003D5A16"/>
    <w:rsid w:val="003E7DB3"/>
    <w:rsid w:val="003F1FD4"/>
    <w:rsid w:val="003F7EC9"/>
    <w:rsid w:val="00431175"/>
    <w:rsid w:val="00476774"/>
    <w:rsid w:val="004B6E37"/>
    <w:rsid w:val="004C32BA"/>
    <w:rsid w:val="004E4A40"/>
    <w:rsid w:val="004F3CF1"/>
    <w:rsid w:val="00507F34"/>
    <w:rsid w:val="0054243F"/>
    <w:rsid w:val="00574B20"/>
    <w:rsid w:val="00575922"/>
    <w:rsid w:val="0057662C"/>
    <w:rsid w:val="005A6C90"/>
    <w:rsid w:val="005D0523"/>
    <w:rsid w:val="005E3FB0"/>
    <w:rsid w:val="005F4B66"/>
    <w:rsid w:val="005F5208"/>
    <w:rsid w:val="006008AA"/>
    <w:rsid w:val="006304D6"/>
    <w:rsid w:val="00641318"/>
    <w:rsid w:val="0064405D"/>
    <w:rsid w:val="006763CC"/>
    <w:rsid w:val="00685302"/>
    <w:rsid w:val="00695557"/>
    <w:rsid w:val="006A07DD"/>
    <w:rsid w:val="006B40A2"/>
    <w:rsid w:val="006D4EA7"/>
    <w:rsid w:val="006E2682"/>
    <w:rsid w:val="0070012A"/>
    <w:rsid w:val="0070664B"/>
    <w:rsid w:val="007071B8"/>
    <w:rsid w:val="007232B0"/>
    <w:rsid w:val="007414DE"/>
    <w:rsid w:val="0078316A"/>
    <w:rsid w:val="007843CD"/>
    <w:rsid w:val="007905A9"/>
    <w:rsid w:val="00790ADA"/>
    <w:rsid w:val="007B5B5C"/>
    <w:rsid w:val="007B6F96"/>
    <w:rsid w:val="007C6980"/>
    <w:rsid w:val="007E5500"/>
    <w:rsid w:val="007F055B"/>
    <w:rsid w:val="007F2A21"/>
    <w:rsid w:val="0080644C"/>
    <w:rsid w:val="00811C2F"/>
    <w:rsid w:val="00833D46"/>
    <w:rsid w:val="00840A97"/>
    <w:rsid w:val="008A3D50"/>
    <w:rsid w:val="008C0149"/>
    <w:rsid w:val="008C467D"/>
    <w:rsid w:val="008D5DED"/>
    <w:rsid w:val="008E25CA"/>
    <w:rsid w:val="008F34FC"/>
    <w:rsid w:val="00944CD7"/>
    <w:rsid w:val="00953F1B"/>
    <w:rsid w:val="00962288"/>
    <w:rsid w:val="009831B2"/>
    <w:rsid w:val="00997D09"/>
    <w:rsid w:val="009A1ABE"/>
    <w:rsid w:val="009C275A"/>
    <w:rsid w:val="009E027D"/>
    <w:rsid w:val="009E21A4"/>
    <w:rsid w:val="009F22C6"/>
    <w:rsid w:val="00A07E50"/>
    <w:rsid w:val="00A15397"/>
    <w:rsid w:val="00A35CE0"/>
    <w:rsid w:val="00A4119D"/>
    <w:rsid w:val="00A4462E"/>
    <w:rsid w:val="00A44AA4"/>
    <w:rsid w:val="00A61623"/>
    <w:rsid w:val="00A84687"/>
    <w:rsid w:val="00AB0A0E"/>
    <w:rsid w:val="00AD3B6E"/>
    <w:rsid w:val="00AE06D2"/>
    <w:rsid w:val="00B15A3A"/>
    <w:rsid w:val="00B1751F"/>
    <w:rsid w:val="00B275F9"/>
    <w:rsid w:val="00B56722"/>
    <w:rsid w:val="00B74D39"/>
    <w:rsid w:val="00B91DA4"/>
    <w:rsid w:val="00B92BEA"/>
    <w:rsid w:val="00BB78A4"/>
    <w:rsid w:val="00C00486"/>
    <w:rsid w:val="00C12630"/>
    <w:rsid w:val="00C34562"/>
    <w:rsid w:val="00C3774E"/>
    <w:rsid w:val="00C57061"/>
    <w:rsid w:val="00C57456"/>
    <w:rsid w:val="00C65387"/>
    <w:rsid w:val="00C836B5"/>
    <w:rsid w:val="00C87FAB"/>
    <w:rsid w:val="00C91FF7"/>
    <w:rsid w:val="00C94E53"/>
    <w:rsid w:val="00CB30AC"/>
    <w:rsid w:val="00CB72CB"/>
    <w:rsid w:val="00CC4437"/>
    <w:rsid w:val="00CF64E0"/>
    <w:rsid w:val="00D0048E"/>
    <w:rsid w:val="00D1575C"/>
    <w:rsid w:val="00D23E7A"/>
    <w:rsid w:val="00D37F1A"/>
    <w:rsid w:val="00D61063"/>
    <w:rsid w:val="00DB35AF"/>
    <w:rsid w:val="00DD72D7"/>
    <w:rsid w:val="00DF40F7"/>
    <w:rsid w:val="00DF5B88"/>
    <w:rsid w:val="00DF7FB9"/>
    <w:rsid w:val="00E0589E"/>
    <w:rsid w:val="00E241FA"/>
    <w:rsid w:val="00E2595E"/>
    <w:rsid w:val="00E35374"/>
    <w:rsid w:val="00E50C19"/>
    <w:rsid w:val="00E5795D"/>
    <w:rsid w:val="00E64655"/>
    <w:rsid w:val="00E73081"/>
    <w:rsid w:val="00E856C9"/>
    <w:rsid w:val="00EB6A8B"/>
    <w:rsid w:val="00EE2F29"/>
    <w:rsid w:val="00EF38C6"/>
    <w:rsid w:val="00F167CB"/>
    <w:rsid w:val="00F25223"/>
    <w:rsid w:val="00F52992"/>
    <w:rsid w:val="00F64F3A"/>
    <w:rsid w:val="00F679C7"/>
    <w:rsid w:val="00F7711A"/>
    <w:rsid w:val="00F84E84"/>
    <w:rsid w:val="00FA0D58"/>
    <w:rsid w:val="00FA313C"/>
    <w:rsid w:val="00FA56F4"/>
    <w:rsid w:val="00FB4EDA"/>
    <w:rsid w:val="00FC024E"/>
    <w:rsid w:val="00FD27D7"/>
    <w:rsid w:val="00FD3BD5"/>
    <w:rsid w:val="00FE3DC8"/>
    <w:rsid w:val="04073F84"/>
    <w:rsid w:val="060B32A4"/>
    <w:rsid w:val="087B614E"/>
    <w:rsid w:val="09495641"/>
    <w:rsid w:val="09544916"/>
    <w:rsid w:val="0A1D75A4"/>
    <w:rsid w:val="0B60750A"/>
    <w:rsid w:val="0C785C1A"/>
    <w:rsid w:val="0E7D4B33"/>
    <w:rsid w:val="10686488"/>
    <w:rsid w:val="10DF728A"/>
    <w:rsid w:val="1264200E"/>
    <w:rsid w:val="14183B16"/>
    <w:rsid w:val="141C5B77"/>
    <w:rsid w:val="18653A75"/>
    <w:rsid w:val="18D8339D"/>
    <w:rsid w:val="1A21388F"/>
    <w:rsid w:val="1A570D2F"/>
    <w:rsid w:val="1D761E37"/>
    <w:rsid w:val="1E9317CF"/>
    <w:rsid w:val="22BF23CF"/>
    <w:rsid w:val="22D211AE"/>
    <w:rsid w:val="28FB0B8D"/>
    <w:rsid w:val="2977736B"/>
    <w:rsid w:val="2A9870FC"/>
    <w:rsid w:val="2B706A19"/>
    <w:rsid w:val="2D2B7942"/>
    <w:rsid w:val="2D46481D"/>
    <w:rsid w:val="2E733B28"/>
    <w:rsid w:val="30B3227E"/>
    <w:rsid w:val="31852B5A"/>
    <w:rsid w:val="31A7036F"/>
    <w:rsid w:val="32D01238"/>
    <w:rsid w:val="352D31BE"/>
    <w:rsid w:val="39AD7FD1"/>
    <w:rsid w:val="3CD66CC6"/>
    <w:rsid w:val="3CF236A4"/>
    <w:rsid w:val="3DFC59A8"/>
    <w:rsid w:val="3ECF245E"/>
    <w:rsid w:val="3FB96314"/>
    <w:rsid w:val="46810DA4"/>
    <w:rsid w:val="519A2168"/>
    <w:rsid w:val="524E49F5"/>
    <w:rsid w:val="53A44FAF"/>
    <w:rsid w:val="55ED68E4"/>
    <w:rsid w:val="56C54338"/>
    <w:rsid w:val="594329EC"/>
    <w:rsid w:val="5BA12380"/>
    <w:rsid w:val="5BEE1540"/>
    <w:rsid w:val="5DE61A5D"/>
    <w:rsid w:val="625E2FE7"/>
    <w:rsid w:val="63C04243"/>
    <w:rsid w:val="649C01C7"/>
    <w:rsid w:val="659B652D"/>
    <w:rsid w:val="67875F64"/>
    <w:rsid w:val="697C2AC5"/>
    <w:rsid w:val="699A3F60"/>
    <w:rsid w:val="6AC254BE"/>
    <w:rsid w:val="6B8207AF"/>
    <w:rsid w:val="72902E62"/>
    <w:rsid w:val="73C61104"/>
    <w:rsid w:val="76A7589A"/>
    <w:rsid w:val="76C063AB"/>
    <w:rsid w:val="776452EA"/>
    <w:rsid w:val="794E0C70"/>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出段落1"/>
    <w:basedOn w:val="1"/>
    <w:unhideWhenUsed/>
    <w:qFormat/>
    <w:uiPriority w:val="99"/>
    <w:pPr>
      <w:ind w:firstLine="420" w:firstLineChars="200"/>
    </w:pPr>
  </w:style>
  <w:style w:type="paragraph" w:customStyle="1" w:styleId="33">
    <w:name w:val="普通(网站)1"/>
    <w:basedOn w:val="1"/>
    <w:qFormat/>
    <w:uiPriority w:val="0"/>
    <w:pPr>
      <w:widowControl/>
      <w:suppressAutoHyphens/>
      <w:spacing w:before="280" w:after="280" w:line="600" w:lineRule="exact"/>
      <w:ind w:firstLine="200"/>
      <w:jc w:val="left"/>
    </w:pPr>
    <w:rPr>
      <w:rFonts w:ascii="宋体" w:hAnsi="宋体" w:eastAsia="Times New Roman" w:cs="宋体"/>
      <w:kern w:val="1"/>
      <w:sz w:val="24"/>
    </w:r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3.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6.jpe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chart" Target="charts/chart4.xml"/><Relationship Id="rId11" Type="http://schemas.openxmlformats.org/officeDocument/2006/relationships/image" Target="media/image3.png"/><Relationship Id="rId10" Type="http://schemas.openxmlformats.org/officeDocument/2006/relationships/chart" Target="charts/chart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总收入</a:t>
            </a:r>
          </a:p>
        </c:rich>
      </c:tx>
      <c:layout/>
      <c:overlay val="0"/>
      <c:spPr>
        <a:noFill/>
        <a:ln>
          <a:noFill/>
        </a:ln>
        <a:effectLst/>
      </c:spPr>
    </c:title>
    <c:autoTitleDeleted val="0"/>
    <c:plotArea>
      <c:layout/>
      <c:pieChart>
        <c:varyColors val="1"/>
        <c:ser>
          <c:idx val="0"/>
          <c:order val="0"/>
          <c:tx>
            <c:strRef>
              <c:f>Sheet1!$B$1</c:f>
              <c:strCache>
                <c:ptCount val="1"/>
                <c:pt idx="0">
                  <c:v>销售额</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Lbls>
            <c:delete val="1"/>
          </c:dLbls>
          <c:cat>
            <c:strRef>
              <c:f>Sheet1!$A$2</c:f>
              <c:strCache>
                <c:ptCount val="1"/>
                <c:pt idx="0">
                  <c:v>财政拨款收入</c:v>
                </c:pt>
              </c:strCache>
            </c:strRef>
          </c:cat>
          <c:val>
            <c:numRef>
              <c:f>Sheet1!$B$2</c:f>
              <c:numCache>
                <c:formatCode>General</c:formatCode>
                <c:ptCount val="1"/>
                <c:pt idx="0">
                  <c:v>147.56</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总支出</a:t>
            </a:r>
          </a:p>
        </c:rich>
      </c:tx>
      <c:layout/>
      <c:overlay val="0"/>
      <c:spPr>
        <a:noFill/>
        <a:ln>
          <a:noFill/>
        </a:ln>
        <a:effectLst/>
      </c:spPr>
    </c:title>
    <c:autoTitleDeleted val="0"/>
    <c:plotArea>
      <c:layout/>
      <c:pieChart>
        <c:varyColors val="1"/>
        <c:ser>
          <c:idx val="0"/>
          <c:order val="0"/>
          <c:tx>
            <c:strRef>
              <c:f>Sheet1!$B$1</c:f>
              <c:strCache>
                <c:ptCount val="1"/>
                <c:pt idx="0">
                  <c:v>销售额</c:v>
                </c:pt>
              </c:strCache>
            </c:strRef>
          </c:tx>
          <c:spPr/>
          <c:explosion val="0"/>
          <c:dPt>
            <c:idx val="0"/>
            <c:bubble3D val="0"/>
            <c:explosion val="2"/>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Lbls>
            <c:dLbl>
              <c:idx val="0"/>
              <c:layout>
                <c:manualLayout>
                  <c:x val="-0.139381515892894"/>
                  <c:y val="-0.0957290221699972"/>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163437497424122"/>
                  <c:y val="0.113586172218579"/>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0.644</c:v>
                </c:pt>
                <c:pt idx="1">
                  <c:v>0.356</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275189407947017"/>
          <c:y val="0.857217261904762"/>
          <c:w val="0.505510534846029"/>
          <c:h val="0.10390625"/>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rgbClr val="595959">
                    <a:lumMod val="65000"/>
                    <a:lumOff val="35000"/>
                  </a:srgbClr>
                </a:solidFill>
                <a:latin typeface="+mn-lt"/>
                <a:ea typeface="+mn-ea"/>
                <a:cs typeface="+mn-cs"/>
              </a:defRPr>
            </a:pPr>
            <a:r>
              <a:rPr altLang="en-US"/>
              <a:t>图</a:t>
            </a:r>
            <a:r>
              <a:rPr lang="en-US" altLang="zh-CN"/>
              <a:t>3  2017-2018</a:t>
            </a:r>
            <a:r>
              <a:rPr altLang="en-US"/>
              <a:t>年财政拨款收支情况</a:t>
            </a:r>
            <a:endParaRPr altLang="en-US"/>
          </a:p>
        </c:rich>
      </c:tx>
      <c:layout/>
      <c:overlay val="0"/>
      <c:spPr>
        <a:noFill/>
        <a:ln>
          <a:noFill/>
        </a:ln>
        <a:effectLst/>
      </c:spPr>
    </c:title>
    <c:autoTitleDeleted val="0"/>
    <c:plotArea>
      <c:layout>
        <c:manualLayout>
          <c:layoutTarget val="inner"/>
          <c:xMode val="edge"/>
          <c:yMode val="edge"/>
          <c:x val="0.0528270042194093"/>
          <c:y val="0.277975484381178"/>
          <c:w val="0.889507735583685"/>
          <c:h val="0.66437327006722"/>
        </c:manualLayout>
      </c:layout>
      <c:barChart>
        <c:barDir val="col"/>
        <c:grouping val="clustered"/>
        <c:varyColors val="0"/>
        <c:ser>
          <c:idx val="0"/>
          <c:order val="0"/>
          <c:tx>
            <c:strRef>
              <c:f>Sheet1!$B$1</c:f>
              <c:strCache>
                <c:ptCount val="1"/>
                <c:pt idx="0">
                  <c:v>2018年</c:v>
                </c:pt>
              </c:strCache>
            </c:strRef>
          </c:tx>
          <c:spPr>
            <a:solidFill>
              <a:srgbClr val="0070C0"/>
            </a:solidFill>
            <a:ln>
              <a:noFill/>
            </a:ln>
            <a:effectLst/>
          </c:spPr>
          <c:invertIfNegative val="0"/>
          <c:dLbls>
            <c:delete val="1"/>
          </c:dLbls>
          <c:cat>
            <c:strRef>
              <c:f>Sheet1!$A$2:$A$3</c:f>
              <c:strCache>
                <c:ptCount val="2"/>
                <c:pt idx="0">
                  <c:v>2018年度收入  2017年度收入</c:v>
                </c:pt>
                <c:pt idx="1">
                  <c:v>2018年度支出  2017年度支出</c:v>
                </c:pt>
              </c:strCache>
            </c:strRef>
          </c:cat>
          <c:val>
            <c:numRef>
              <c:f>Sheet1!$B$2:$B$3</c:f>
              <c:numCache>
                <c:formatCode>General</c:formatCode>
                <c:ptCount val="2"/>
                <c:pt idx="0">
                  <c:v>147.56</c:v>
                </c:pt>
                <c:pt idx="1">
                  <c:v>143.84</c:v>
                </c:pt>
              </c:numCache>
            </c:numRef>
          </c:val>
        </c:ser>
        <c:ser>
          <c:idx val="1"/>
          <c:order val="1"/>
          <c:tx>
            <c:strRef>
              <c:f>Sheet1!$C$1</c:f>
              <c:strCache>
                <c:ptCount val="1"/>
                <c:pt idx="0">
                  <c:v>2017年</c:v>
                </c:pt>
              </c:strCache>
            </c:strRef>
          </c:tx>
          <c:spPr>
            <a:solidFill>
              <a:srgbClr val="0070C0"/>
            </a:solidFill>
            <a:ln>
              <a:noFill/>
            </a:ln>
            <a:effectLst/>
          </c:spPr>
          <c:invertIfNegative val="0"/>
          <c:dLbls>
            <c:delete val="1"/>
          </c:dLbls>
          <c:cat>
            <c:strRef>
              <c:f>Sheet1!$A$2:$A$3</c:f>
              <c:strCache>
                <c:ptCount val="2"/>
                <c:pt idx="0">
                  <c:v>2018年度收入  2017年度收入</c:v>
                </c:pt>
                <c:pt idx="1">
                  <c:v>2018年度支出  2017年度支出</c:v>
                </c:pt>
              </c:strCache>
            </c:strRef>
          </c:cat>
          <c:val>
            <c:numRef>
              <c:f>Sheet1!$C$2:$C$3</c:f>
              <c:numCache>
                <c:formatCode>General</c:formatCode>
                <c:ptCount val="2"/>
                <c:pt idx="0">
                  <c:v>110.63</c:v>
                </c:pt>
                <c:pt idx="1">
                  <c:v>99.88</c:v>
                </c:pt>
              </c:numCache>
            </c:numRef>
          </c:val>
        </c:ser>
        <c:dLbls>
          <c:showLegendKey val="0"/>
          <c:showVal val="0"/>
          <c:showCatName val="0"/>
          <c:showSerName val="0"/>
          <c:showPercent val="0"/>
          <c:showBubbleSize val="0"/>
        </c:dLbls>
        <c:gapWidth val="219"/>
        <c:overlap val="-27"/>
        <c:axId val="453575239"/>
        <c:axId val="27625708"/>
      </c:barChart>
      <c:catAx>
        <c:axId val="453575239"/>
        <c:scaling>
          <c:orientation val="minMax"/>
        </c:scaling>
        <c:delete val="0"/>
        <c:axPos val="b"/>
        <c:majorTickMark val="none"/>
        <c:minorTickMark val="none"/>
        <c:tickLblPos val="nextTo"/>
        <c:spPr>
          <a:noFill/>
          <a:ln w="9525" cap="flat" cmpd="sng" algn="ctr">
            <a:solidFill>
              <a:srgbClr val="D9D9D9">
                <a:lumMod val="15000"/>
                <a:lumOff val="85000"/>
              </a:srgbClr>
            </a:solidFill>
            <a:round/>
          </a:ln>
          <a:effectLst/>
        </c:spPr>
        <c:txPr>
          <a:bodyPr rot="-6000000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crossAx val="27625708"/>
        <c:crosses val="autoZero"/>
        <c:auto val="1"/>
        <c:lblAlgn val="ctr"/>
        <c:lblOffset val="100"/>
        <c:noMultiLvlLbl val="0"/>
      </c:catAx>
      <c:valAx>
        <c:axId val="27625708"/>
        <c:scaling>
          <c:orientation val="minMax"/>
        </c:scaling>
        <c:delete val="0"/>
        <c:axPos val="l"/>
        <c:majorGridlines>
          <c:spPr>
            <a:ln w="9525" cap="flat" cmpd="sng" algn="ctr">
              <a:solidFill>
                <a:srgbClr val="D9D9D9">
                  <a:lumMod val="15000"/>
                  <a:lumOff val="85000"/>
                </a:srgb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crossAx val="453575239"/>
        <c:crosses val="autoZero"/>
        <c:crossBetween val="between"/>
      </c:valAx>
      <c:spPr>
        <a:noFill/>
        <a:ln>
          <a:noFill/>
        </a:ln>
        <a:effectLst/>
      </c:spPr>
    </c:plotArea>
    <c:legend>
      <c:legendPos val="b"/>
      <c:layout>
        <c:manualLayout>
          <c:xMode val="edge"/>
          <c:yMode val="edge"/>
          <c:x val="0.791813007145452"/>
          <c:y val="0.131213771298085"/>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legend>
    <c:plotVisOnly val="1"/>
    <c:dispBlanksAs val="gap"/>
    <c:showDLblsOverMax val="0"/>
  </c:chart>
  <c:spPr>
    <a:solidFill>
      <a:srgbClr val="FFFFFF"/>
    </a:solidFill>
    <a:ln w="9525" cap="flat" cmpd="sng" algn="ctr">
      <a:solidFill>
        <a:srgbClr val="D9D9D9">
          <a:lumMod val="15000"/>
          <a:lumOff val="85000"/>
        </a:srgb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rgbClr val="595959">
                    <a:lumMod val="65000"/>
                    <a:lumOff val="35000"/>
                  </a:srgbClr>
                </a:solidFill>
                <a:latin typeface="+mn-lt"/>
                <a:ea typeface="+mn-ea"/>
                <a:cs typeface="+mn-cs"/>
              </a:defRPr>
            </a:pPr>
            <a:r>
              <a:t>图</a:t>
            </a:r>
            <a:r>
              <a:rPr lang="en-US" altLang="zh-CN"/>
              <a:t>4  </a:t>
            </a:r>
            <a:r>
              <a:t>财政拨款收支预决算对比情况</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预算数</c:v>
                </c:pt>
              </c:strCache>
            </c:strRef>
          </c:tx>
          <c:spPr>
            <a:solidFill>
              <a:srgbClr val="0070C0"/>
            </a:solidFill>
            <a:ln>
              <a:noFill/>
            </a:ln>
            <a:effectLst/>
          </c:spPr>
          <c:invertIfNegative val="0"/>
          <c:dLbls>
            <c:delete val="1"/>
          </c:dLbls>
          <c:cat>
            <c:strRef>
              <c:f>Sheet1!$A$2:$A$3</c:f>
              <c:strCache>
                <c:ptCount val="2"/>
                <c:pt idx="0">
                  <c:v>收入预算数   收入决算数</c:v>
                </c:pt>
                <c:pt idx="1">
                  <c:v>支出预算数   支出决算数</c:v>
                </c:pt>
              </c:strCache>
            </c:strRef>
          </c:cat>
          <c:val>
            <c:numRef>
              <c:f>Sheet1!$B$2:$B$3</c:f>
              <c:numCache>
                <c:formatCode>General</c:formatCode>
                <c:ptCount val="2"/>
                <c:pt idx="0">
                  <c:v>119.88</c:v>
                </c:pt>
                <c:pt idx="1">
                  <c:v>119.88</c:v>
                </c:pt>
              </c:numCache>
            </c:numRef>
          </c:val>
        </c:ser>
        <c:ser>
          <c:idx val="1"/>
          <c:order val="1"/>
          <c:tx>
            <c:strRef>
              <c:f>Sheet1!$C$1</c:f>
              <c:strCache>
                <c:ptCount val="1"/>
                <c:pt idx="0">
                  <c:v>支出数</c:v>
                </c:pt>
              </c:strCache>
            </c:strRef>
          </c:tx>
          <c:spPr>
            <a:solidFill>
              <a:srgbClr val="0070C0"/>
            </a:solidFill>
            <a:ln>
              <a:noFill/>
            </a:ln>
            <a:effectLst/>
          </c:spPr>
          <c:invertIfNegative val="0"/>
          <c:dPt>
            <c:idx val="0"/>
            <c:invertIfNegative val="0"/>
            <c:bubble3D val="0"/>
          </c:dPt>
          <c:dLbls>
            <c:delete val="1"/>
          </c:dLbls>
          <c:cat>
            <c:strRef>
              <c:f>Sheet1!$A$2:$A$3</c:f>
              <c:strCache>
                <c:ptCount val="2"/>
                <c:pt idx="0">
                  <c:v>收入预算数   收入决算数</c:v>
                </c:pt>
                <c:pt idx="1">
                  <c:v>支出预算数   支出决算数</c:v>
                </c:pt>
              </c:strCache>
            </c:strRef>
          </c:cat>
          <c:val>
            <c:numRef>
              <c:f>Sheet1!$C$2:$C$3</c:f>
              <c:numCache>
                <c:formatCode>General</c:formatCode>
                <c:ptCount val="2"/>
                <c:pt idx="0">
                  <c:v>147.56</c:v>
                </c:pt>
                <c:pt idx="1">
                  <c:v>143.84</c:v>
                </c:pt>
              </c:numCache>
            </c:numRef>
          </c:val>
        </c:ser>
        <c:dLbls>
          <c:showLegendKey val="0"/>
          <c:showVal val="0"/>
          <c:showCatName val="0"/>
          <c:showSerName val="0"/>
          <c:showPercent val="0"/>
          <c:showBubbleSize val="0"/>
        </c:dLbls>
        <c:gapWidth val="219"/>
        <c:overlap val="-27"/>
        <c:axId val="377411471"/>
        <c:axId val="284026865"/>
      </c:barChart>
      <c:catAx>
        <c:axId val="377411471"/>
        <c:scaling>
          <c:orientation val="minMax"/>
        </c:scaling>
        <c:delete val="0"/>
        <c:axPos val="b"/>
        <c:majorTickMark val="none"/>
        <c:minorTickMark val="none"/>
        <c:tickLblPos val="nextTo"/>
        <c:spPr>
          <a:noFill/>
          <a:ln w="9525" cap="flat" cmpd="sng" algn="ctr">
            <a:solidFill>
              <a:srgbClr val="D9D9D9">
                <a:lumMod val="15000"/>
                <a:lumOff val="85000"/>
              </a:srgbClr>
            </a:solidFill>
            <a:round/>
          </a:ln>
          <a:effectLst/>
        </c:spPr>
        <c:txPr>
          <a:bodyPr rot="-6000000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crossAx val="284026865"/>
        <c:crosses val="autoZero"/>
        <c:auto val="1"/>
        <c:lblAlgn val="ctr"/>
        <c:lblOffset val="100"/>
        <c:noMultiLvlLbl val="0"/>
      </c:catAx>
      <c:valAx>
        <c:axId val="284026865"/>
        <c:scaling>
          <c:orientation val="minMax"/>
        </c:scaling>
        <c:delete val="0"/>
        <c:axPos val="l"/>
        <c:majorGridlines>
          <c:spPr>
            <a:ln w="9525" cap="flat" cmpd="sng" algn="ctr">
              <a:solidFill>
                <a:srgbClr val="D9D9D9">
                  <a:lumMod val="15000"/>
                  <a:lumOff val="85000"/>
                </a:srgb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crossAx val="377411471"/>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legend>
    <c:plotVisOnly val="1"/>
    <c:dispBlanksAs val="gap"/>
    <c:showDLblsOverMax val="0"/>
  </c:chart>
  <c:spPr>
    <a:solidFill>
      <a:srgbClr val="FFFFFF"/>
    </a:solidFill>
    <a:ln w="9525" cap="flat" cmpd="sng" algn="ctr">
      <a:solidFill>
        <a:srgbClr val="D9D9D9">
          <a:lumMod val="15000"/>
          <a:lumOff val="85000"/>
        </a:srgb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rgbClr val="F0A22E"/>
  <a:srgbClr val="A5644E"/>
  <a:srgbClr val="B58B80"/>
  <a:srgbClr val="C3986D"/>
  <a:srgbClr val="A19574"/>
  <a:srgbClr val="C17529"/>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rgbClr val="F0A22E"/>
  <a:srgbClr val="A5644E"/>
  <a:srgbClr val="B58B80"/>
  <a:srgbClr val="C3986D"/>
  <a:srgbClr val="A19574"/>
  <a:srgbClr val="C17529"/>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rgbClr val="595959">
        <a:lumMod val="65000"/>
        <a:lumOff val="35000"/>
      </a:srgbClr>
    </cs:fontRef>
    <cs:defRPr sz="1000" kern="1200"/>
  </cs:axisTitle>
  <cs:categoryAxis>
    <cs:lnRef idx="0"/>
    <cs:fillRef idx="0"/>
    <cs:effectRef idx="0"/>
    <cs:fontRef idx="minor">
      <a:srgbClr val="595959">
        <a:lumMod val="65000"/>
        <a:lumOff val="35000"/>
      </a:srgbClr>
    </cs:fontRef>
    <cs:spPr>
      <a:ln w="9525" cap="flat" cmpd="sng" algn="ctr">
        <a:solidFill>
          <a:srgbClr val="D9D9D9">
            <a:lumMod val="15000"/>
            <a:lumOff val="85000"/>
          </a:srgbClr>
        </a:solidFill>
        <a:round/>
      </a:ln>
    </cs:spPr>
    <cs:defRPr sz="900" kern="1200"/>
  </cs:categoryAxis>
  <cs:chartArea mods="allowNoFillOverride allowNoLineOverride">
    <cs:lnRef idx="0"/>
    <cs:fillRef idx="0"/>
    <cs:effectRef idx="0"/>
    <cs:fontRef idx="minor">
      <a:srgbClr val="000000"/>
    </cs:fontRef>
    <cs:spPr>
      <a:solidFill>
        <a:srgbClr val="FFFFFF"/>
      </a:solidFill>
      <a:ln w="9525" cap="flat" cmpd="sng" algn="ctr">
        <a:solidFill>
          <a:srgbClr val="D9D9D9">
            <a:lumMod val="15000"/>
            <a:lumOff val="85000"/>
          </a:srgbClr>
        </a:solidFill>
        <a:round/>
      </a:ln>
    </cs:spPr>
    <cs:defRPr sz="1000" kern="1200"/>
  </cs:chartArea>
  <cs:dataLabel>
    <cs:lnRef idx="0"/>
    <cs:fillRef idx="0"/>
    <cs:effectRef idx="0"/>
    <cs:fontRef idx="minor">
      <a:srgbClr val="404040">
        <a:lumMod val="75000"/>
        <a:lumOff val="25000"/>
      </a:srgbClr>
    </cs:fontRef>
    <cs:defRPr sz="900" kern="1200"/>
  </cs:dataLabel>
  <cs:dataLabelCallout>
    <cs:lnRef idx="0"/>
    <cs:fillRef idx="0"/>
    <cs:effectRef idx="0"/>
    <cs:fontRef idx="minor">
      <a:srgbClr val="595959">
        <a:lumMod val="65000"/>
        <a:lumOff val="35000"/>
      </a:srgbClr>
    </cs:fontRef>
    <cs:spPr>
      <a:solidFill>
        <a:srgbClr val="FFFFFF"/>
      </a:solidFill>
      <a:ln>
        <a:solidFill>
          <a:srgbClr val="BFBFBF">
            <a:lumMod val="25000"/>
            <a:lumOff val="75000"/>
          </a:srgb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rgbClr val="000000"/>
    </cs:fontRef>
  </cs:dataPoint>
  <cs:dataPoint3D>
    <cs:lnRef idx="0"/>
    <cs:fillRef idx="1">
      <cs:styleClr val="auto"/>
    </cs:fillRef>
    <cs:effectRef idx="0"/>
    <cs:fontRef idx="minor">
      <a:srgbClr val="000000"/>
    </cs:fontRef>
  </cs:dataPoint3D>
  <cs:dataPointLine>
    <cs:lnRef idx="0">
      <cs:styleClr val="auto"/>
    </cs:lnRef>
    <cs:fillRef idx="1"/>
    <cs:effectRef idx="0"/>
    <cs:fontRef idx="minor">
      <a:srgbClr val="000000"/>
    </cs:fontRef>
    <cs:spPr>
      <a:ln w="28575" cap="rnd">
        <a:solidFill>
          <a:srgbClr val="FFFFFF"/>
        </a:solidFill>
        <a:round/>
      </a:ln>
    </cs:spPr>
  </cs:dataPointLine>
  <cs:dataPointMarker>
    <cs:lnRef idx="0">
      <cs:styleClr val="auto"/>
    </cs:lnRef>
    <cs:fillRef idx="1">
      <cs:styleClr val="auto"/>
    </cs:fillRef>
    <cs:effectRef idx="0"/>
    <cs:fontRef idx="minor">
      <a:srgbClr val="000000"/>
    </cs:fontRef>
    <cs:spPr>
      <a:ln w="9525">
        <a:solidFill>
          <a:srgbClr val="FFFFFF"/>
        </a:solidFill>
      </a:ln>
    </cs:spPr>
  </cs:dataPointMarker>
  <cs:dataPointMarkerLayout symbol="circle" size="5"/>
  <cs:dataPointWireframe>
    <cs:lnRef idx="0">
      <cs:styleClr val="auto"/>
    </cs:lnRef>
    <cs:fillRef idx="1"/>
    <cs:effectRef idx="0"/>
    <cs:fontRef idx="minor">
      <a:srgbClr val="000000"/>
    </cs:fontRef>
    <cs:spPr>
      <a:ln w="9525" cap="rnd">
        <a:solidFill>
          <a:srgbClr val="FFFFFF"/>
        </a:solidFill>
        <a:round/>
      </a:ln>
    </cs:spPr>
  </cs:dataPointWireframe>
  <cs:dataTable>
    <cs:lnRef idx="0"/>
    <cs:fillRef idx="0"/>
    <cs:effectRef idx="0"/>
    <cs:fontRef idx="minor">
      <a:srgbClr val="595959">
        <a:lumMod val="65000"/>
        <a:lumOff val="35000"/>
      </a:srgbClr>
    </cs:fontRef>
    <cs:spPr>
      <a:noFill/>
      <a:ln w="9525" cap="flat" cmpd="sng" algn="ctr">
        <a:solidFill>
          <a:srgbClr val="D9D9D9">
            <a:lumMod val="15000"/>
            <a:lumOff val="85000"/>
          </a:srgbClr>
        </a:solidFill>
        <a:round/>
      </a:ln>
    </cs:spPr>
    <cs:defRPr sz="900" kern="1200"/>
  </cs:dataTable>
  <cs:downBar>
    <cs:lnRef idx="0"/>
    <cs:fillRef idx="0"/>
    <cs:effectRef idx="0"/>
    <cs:fontRef idx="minor">
      <a:srgbClr val="000000"/>
    </cs:fontRef>
    <cs:spPr>
      <a:solidFill>
        <a:srgbClr val="595959">
          <a:lumMod val="65000"/>
          <a:lumOff val="35000"/>
        </a:srgbClr>
      </a:solidFill>
      <a:ln w="9525">
        <a:solidFill>
          <a:srgbClr val="595959">
            <a:lumMod val="65000"/>
            <a:lumOff val="35000"/>
          </a:srgbClr>
        </a:solidFill>
      </a:ln>
    </cs:spPr>
  </cs:downBar>
  <cs:dropLine>
    <cs:lnRef idx="0"/>
    <cs:fillRef idx="0"/>
    <cs:effectRef idx="0"/>
    <cs:fontRef idx="minor">
      <a:srgbClr val="000000"/>
    </cs:fontRef>
    <cs:spPr>
      <a:ln w="9525" cap="flat" cmpd="sng" algn="ctr">
        <a:solidFill>
          <a:srgbClr val="A6A6A6">
            <a:lumMod val="35000"/>
            <a:lumOff val="65000"/>
          </a:srgbClr>
        </a:solidFill>
        <a:round/>
      </a:ln>
    </cs:spPr>
  </cs:dropLine>
  <cs:errorBar>
    <cs:lnRef idx="0"/>
    <cs:fillRef idx="0"/>
    <cs:effectRef idx="0"/>
    <cs:fontRef idx="minor">
      <a:srgbClr val="000000"/>
    </cs:fontRef>
    <cs:spPr>
      <a:ln w="9525" cap="flat" cmpd="sng" algn="ctr">
        <a:solidFill>
          <a:srgbClr val="595959">
            <a:lumMod val="65000"/>
            <a:lumOff val="35000"/>
          </a:srgbClr>
        </a:solidFill>
        <a:round/>
      </a:ln>
    </cs:spPr>
  </cs:errorBar>
  <cs:floor>
    <cs:lnRef idx="0"/>
    <cs:fillRef idx="0"/>
    <cs:effectRef idx="0"/>
    <cs:fontRef idx="minor">
      <a:srgbClr val="000000"/>
    </cs:fontRef>
    <cs:spPr>
      <a:noFill/>
      <a:ln>
        <a:noFill/>
      </a:ln>
    </cs:spPr>
  </cs:floor>
  <cs:gridlineMajor>
    <cs:lnRef idx="0"/>
    <cs:fillRef idx="0"/>
    <cs:effectRef idx="0"/>
    <cs:fontRef idx="minor">
      <a:srgbClr val="000000"/>
    </cs:fontRef>
    <cs:spPr>
      <a:ln w="9525" cap="flat" cmpd="sng" algn="ctr">
        <a:solidFill>
          <a:srgbClr val="D9D9D9">
            <a:lumMod val="15000"/>
            <a:lumOff val="85000"/>
          </a:srgbClr>
        </a:solidFill>
        <a:round/>
      </a:ln>
    </cs:spPr>
  </cs:gridlineMajor>
  <cs:gridlineMinor>
    <cs:lnRef idx="0"/>
    <cs:fillRef idx="0"/>
    <cs:effectRef idx="0"/>
    <cs:fontRef idx="minor">
      <a:srgbClr val="000000"/>
    </cs:fontRef>
    <cs:spPr>
      <a:ln w="9525" cap="flat" cmpd="sng" algn="ctr">
        <a:solidFill>
          <a:srgbClr val="F2F2F2">
            <a:lumMod val="5000"/>
            <a:lumOff val="95000"/>
          </a:srgbClr>
        </a:solidFill>
        <a:round/>
      </a:ln>
    </cs:spPr>
  </cs:gridlineMinor>
  <cs:hiLoLine>
    <cs:lnRef idx="0"/>
    <cs:fillRef idx="0"/>
    <cs:effectRef idx="0"/>
    <cs:fontRef idx="minor">
      <a:srgbClr val="000000"/>
    </cs:fontRef>
    <cs:spPr>
      <a:ln w="9525" cap="flat" cmpd="sng" algn="ctr">
        <a:solidFill>
          <a:srgbClr val="404040">
            <a:lumMod val="75000"/>
            <a:lumOff val="25000"/>
          </a:srgbClr>
        </a:solidFill>
        <a:round/>
      </a:ln>
    </cs:spPr>
  </cs:hiLoLine>
  <cs:leaderLine>
    <cs:lnRef idx="0"/>
    <cs:fillRef idx="0"/>
    <cs:effectRef idx="0"/>
    <cs:fontRef idx="minor">
      <a:srgbClr val="000000"/>
    </cs:fontRef>
    <cs:spPr>
      <a:ln w="9525" cap="flat" cmpd="sng" algn="ctr">
        <a:solidFill>
          <a:srgbClr val="A6A6A6">
            <a:lumMod val="35000"/>
            <a:lumOff val="65000"/>
          </a:srgbClr>
        </a:solidFill>
        <a:round/>
      </a:ln>
    </cs:spPr>
  </cs:leaderLine>
  <cs:legend>
    <cs:lnRef idx="0"/>
    <cs:fillRef idx="0"/>
    <cs:effectRef idx="0"/>
    <cs:fontRef idx="minor">
      <a:srgbClr val="595959">
        <a:lumMod val="65000"/>
        <a:lumOff val="35000"/>
      </a:srgbClr>
    </cs:fontRef>
    <cs:defRPr sz="900" kern="1200"/>
  </cs:legend>
  <cs:plotArea mods="allowNoFillOverride allowNoLineOverride">
    <cs:lnRef idx="0"/>
    <cs:fillRef idx="0"/>
    <cs:effectRef idx="0"/>
    <cs:fontRef idx="minor">
      <a:srgbClr val="000000"/>
    </cs:fontRef>
  </cs:plotArea>
  <cs:plotArea3D mods="allowNoFillOverride allowNoLineOverride">
    <cs:lnRef idx="0"/>
    <cs:fillRef idx="0"/>
    <cs:effectRef idx="0"/>
    <cs:fontRef idx="minor">
      <a:srgbClr val="000000"/>
    </cs:fontRef>
  </cs:plotArea3D>
  <cs:seriesAxis>
    <cs:lnRef idx="0"/>
    <cs:fillRef idx="0"/>
    <cs:effectRef idx="0"/>
    <cs:fontRef idx="minor">
      <a:srgbClr val="595959">
        <a:lumMod val="65000"/>
        <a:lumOff val="35000"/>
      </a:srgbClr>
    </cs:fontRef>
    <cs:defRPr sz="900" kern="1200"/>
  </cs:seriesAxis>
  <cs:seriesLine>
    <cs:lnRef idx="0"/>
    <cs:fillRef idx="0"/>
    <cs:effectRef idx="0"/>
    <cs:fontRef idx="minor">
      <a:srgbClr val="000000"/>
    </cs:fontRef>
    <cs:spPr>
      <a:ln w="9525" cap="flat" cmpd="sng" algn="ctr">
        <a:solidFill>
          <a:srgbClr val="A6A6A6">
            <a:lumMod val="35000"/>
            <a:lumOff val="65000"/>
          </a:srgbClr>
        </a:solidFill>
        <a:round/>
      </a:ln>
    </cs:spPr>
  </cs:seriesLine>
  <cs:title>
    <cs:lnRef idx="0"/>
    <cs:fillRef idx="0"/>
    <cs:effectRef idx="0"/>
    <cs:fontRef idx="minor">
      <a:srgbClr val="595959">
        <a:lumMod val="65000"/>
        <a:lumOff val="35000"/>
      </a:srgbClr>
    </cs:fontRef>
    <cs:defRPr sz="1400" b="0" kern="1200" spc="0" baseline="0"/>
  </cs:title>
  <cs:trendline>
    <cs:lnRef idx="0">
      <cs:styleClr val="auto"/>
    </cs:lnRef>
    <cs:fillRef idx="0"/>
    <cs:effectRef idx="0"/>
    <cs:fontRef idx="minor">
      <a:srgbClr val="000000"/>
    </cs:fontRef>
    <cs:spPr>
      <a:ln w="19050" cap="rnd">
        <a:solidFill>
          <a:srgbClr val="FFFFFF"/>
        </a:solidFill>
        <a:prstDash val="sysDot"/>
      </a:ln>
    </cs:spPr>
  </cs:trendline>
  <cs:trendlineLabel>
    <cs:lnRef idx="0"/>
    <cs:fillRef idx="0"/>
    <cs:effectRef idx="0"/>
    <cs:fontRef idx="minor">
      <a:srgbClr val="595959">
        <a:lumMod val="65000"/>
        <a:lumOff val="35000"/>
      </a:srgbClr>
    </cs:fontRef>
    <cs:defRPr sz="900" kern="1200"/>
  </cs:trendlineLabel>
  <cs:upBar>
    <cs:lnRef idx="0"/>
    <cs:fillRef idx="0"/>
    <cs:effectRef idx="0"/>
    <cs:fontRef idx="minor">
      <a:srgbClr val="000000"/>
    </cs:fontRef>
    <cs:spPr>
      <a:solidFill>
        <a:srgbClr val="FFFFFF"/>
      </a:solidFill>
      <a:ln w="9525">
        <a:solidFill>
          <a:srgbClr val="D9D9D9">
            <a:lumMod val="15000"/>
            <a:lumOff val="85000"/>
          </a:srgbClr>
        </a:solidFill>
      </a:ln>
    </cs:spPr>
  </cs:upBar>
  <cs:valueAxis>
    <cs:lnRef idx="0"/>
    <cs:fillRef idx="0"/>
    <cs:effectRef idx="0"/>
    <cs:fontRef idx="minor">
      <a:srgbClr val="595959">
        <a:lumMod val="65000"/>
        <a:lumOff val="35000"/>
      </a:srgbClr>
    </cs:fontRef>
    <cs:defRPr sz="900" kern="1200"/>
  </cs:valueAxis>
  <cs:wall>
    <cs:lnRef idx="0"/>
    <cs:fillRef idx="0"/>
    <cs:effectRef idx="0"/>
    <cs:fontRef idx="minor">
      <a:srgbClr val="000000"/>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rgbClr val="595959">
        <a:lumMod val="65000"/>
        <a:lumOff val="35000"/>
      </a:srgbClr>
    </cs:fontRef>
    <cs:defRPr sz="1000" kern="1200"/>
  </cs:axisTitle>
  <cs:categoryAxis>
    <cs:lnRef idx="0"/>
    <cs:fillRef idx="0"/>
    <cs:effectRef idx="0"/>
    <cs:fontRef idx="minor">
      <a:srgbClr val="595959">
        <a:lumMod val="65000"/>
        <a:lumOff val="35000"/>
      </a:srgbClr>
    </cs:fontRef>
    <cs:spPr>
      <a:ln w="9525" cap="flat" cmpd="sng" algn="ctr">
        <a:solidFill>
          <a:srgbClr val="D9D9D9">
            <a:lumMod val="15000"/>
            <a:lumOff val="85000"/>
          </a:srgbClr>
        </a:solidFill>
        <a:round/>
      </a:ln>
    </cs:spPr>
    <cs:defRPr sz="900" kern="1200"/>
  </cs:categoryAxis>
  <cs:chartArea mods="allowNoFillOverride allowNoLineOverride">
    <cs:lnRef idx="0"/>
    <cs:fillRef idx="0"/>
    <cs:effectRef idx="0"/>
    <cs:fontRef idx="minor">
      <a:srgbClr val="000000"/>
    </cs:fontRef>
    <cs:spPr>
      <a:solidFill>
        <a:srgbClr val="FFFFFF"/>
      </a:solidFill>
      <a:ln w="9525" cap="flat" cmpd="sng" algn="ctr">
        <a:solidFill>
          <a:srgbClr val="D9D9D9">
            <a:lumMod val="15000"/>
            <a:lumOff val="85000"/>
          </a:srgbClr>
        </a:solidFill>
        <a:round/>
      </a:ln>
    </cs:spPr>
    <cs:defRPr sz="1000" kern="1200"/>
  </cs:chartArea>
  <cs:dataLabel>
    <cs:lnRef idx="0"/>
    <cs:fillRef idx="0"/>
    <cs:effectRef idx="0"/>
    <cs:fontRef idx="minor">
      <a:srgbClr val="404040">
        <a:lumMod val="75000"/>
        <a:lumOff val="25000"/>
      </a:srgbClr>
    </cs:fontRef>
    <cs:defRPr sz="900" kern="1200"/>
  </cs:dataLabel>
  <cs:dataLabelCallout>
    <cs:lnRef idx="0"/>
    <cs:fillRef idx="0"/>
    <cs:effectRef idx="0"/>
    <cs:fontRef idx="minor">
      <a:srgbClr val="595959">
        <a:lumMod val="65000"/>
        <a:lumOff val="35000"/>
      </a:srgbClr>
    </cs:fontRef>
    <cs:spPr>
      <a:solidFill>
        <a:srgbClr val="FFFFFF"/>
      </a:solidFill>
      <a:ln>
        <a:solidFill>
          <a:srgbClr val="BFBFBF">
            <a:lumMod val="25000"/>
            <a:lumOff val="75000"/>
          </a:srgb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rgbClr val="000000"/>
    </cs:fontRef>
  </cs:dataPoint>
  <cs:dataPoint3D>
    <cs:lnRef idx="0"/>
    <cs:fillRef idx="1">
      <cs:styleClr val="auto"/>
    </cs:fillRef>
    <cs:effectRef idx="0"/>
    <cs:fontRef idx="minor">
      <a:srgbClr val="000000"/>
    </cs:fontRef>
  </cs:dataPoint3D>
  <cs:dataPointLine>
    <cs:lnRef idx="0">
      <cs:styleClr val="auto"/>
    </cs:lnRef>
    <cs:fillRef idx="1"/>
    <cs:effectRef idx="0"/>
    <cs:fontRef idx="minor">
      <a:srgbClr val="000000"/>
    </cs:fontRef>
    <cs:spPr>
      <a:ln w="28575" cap="rnd">
        <a:solidFill>
          <a:srgbClr val="FFFFFF"/>
        </a:solidFill>
        <a:round/>
      </a:ln>
    </cs:spPr>
  </cs:dataPointLine>
  <cs:dataPointMarker>
    <cs:lnRef idx="0">
      <cs:styleClr val="auto"/>
    </cs:lnRef>
    <cs:fillRef idx="1">
      <cs:styleClr val="auto"/>
    </cs:fillRef>
    <cs:effectRef idx="0"/>
    <cs:fontRef idx="minor">
      <a:srgbClr val="000000"/>
    </cs:fontRef>
    <cs:spPr>
      <a:ln w="9525">
        <a:solidFill>
          <a:srgbClr val="FFFFFF"/>
        </a:solidFill>
      </a:ln>
    </cs:spPr>
  </cs:dataPointMarker>
  <cs:dataPointMarkerLayout symbol="circle" size="5"/>
  <cs:dataPointWireframe>
    <cs:lnRef idx="0">
      <cs:styleClr val="auto"/>
    </cs:lnRef>
    <cs:fillRef idx="1"/>
    <cs:effectRef idx="0"/>
    <cs:fontRef idx="minor">
      <a:srgbClr val="000000"/>
    </cs:fontRef>
    <cs:spPr>
      <a:ln w="9525" cap="rnd">
        <a:solidFill>
          <a:srgbClr val="FFFFFF"/>
        </a:solidFill>
        <a:round/>
      </a:ln>
    </cs:spPr>
  </cs:dataPointWireframe>
  <cs:dataTable>
    <cs:lnRef idx="0"/>
    <cs:fillRef idx="0"/>
    <cs:effectRef idx="0"/>
    <cs:fontRef idx="minor">
      <a:srgbClr val="595959">
        <a:lumMod val="65000"/>
        <a:lumOff val="35000"/>
      </a:srgbClr>
    </cs:fontRef>
    <cs:spPr>
      <a:noFill/>
      <a:ln w="9525" cap="flat" cmpd="sng" algn="ctr">
        <a:solidFill>
          <a:srgbClr val="D9D9D9">
            <a:lumMod val="15000"/>
            <a:lumOff val="85000"/>
          </a:srgbClr>
        </a:solidFill>
        <a:round/>
      </a:ln>
    </cs:spPr>
    <cs:defRPr sz="900" kern="1200"/>
  </cs:dataTable>
  <cs:downBar>
    <cs:lnRef idx="0"/>
    <cs:fillRef idx="0"/>
    <cs:effectRef idx="0"/>
    <cs:fontRef idx="minor">
      <a:srgbClr val="000000"/>
    </cs:fontRef>
    <cs:spPr>
      <a:solidFill>
        <a:srgbClr val="595959">
          <a:lumMod val="65000"/>
          <a:lumOff val="35000"/>
        </a:srgbClr>
      </a:solidFill>
      <a:ln w="9525">
        <a:solidFill>
          <a:srgbClr val="595959">
            <a:lumMod val="65000"/>
            <a:lumOff val="35000"/>
          </a:srgbClr>
        </a:solidFill>
      </a:ln>
    </cs:spPr>
  </cs:downBar>
  <cs:dropLine>
    <cs:lnRef idx="0"/>
    <cs:fillRef idx="0"/>
    <cs:effectRef idx="0"/>
    <cs:fontRef idx="minor">
      <a:srgbClr val="000000"/>
    </cs:fontRef>
    <cs:spPr>
      <a:ln w="9525" cap="flat" cmpd="sng" algn="ctr">
        <a:solidFill>
          <a:srgbClr val="A6A6A6">
            <a:lumMod val="35000"/>
            <a:lumOff val="65000"/>
          </a:srgbClr>
        </a:solidFill>
        <a:round/>
      </a:ln>
    </cs:spPr>
  </cs:dropLine>
  <cs:errorBar>
    <cs:lnRef idx="0"/>
    <cs:fillRef idx="0"/>
    <cs:effectRef idx="0"/>
    <cs:fontRef idx="minor">
      <a:srgbClr val="000000"/>
    </cs:fontRef>
    <cs:spPr>
      <a:ln w="9525" cap="flat" cmpd="sng" algn="ctr">
        <a:solidFill>
          <a:srgbClr val="595959">
            <a:lumMod val="65000"/>
            <a:lumOff val="35000"/>
          </a:srgbClr>
        </a:solidFill>
        <a:round/>
      </a:ln>
    </cs:spPr>
  </cs:errorBar>
  <cs:floor>
    <cs:lnRef idx="0"/>
    <cs:fillRef idx="0"/>
    <cs:effectRef idx="0"/>
    <cs:fontRef idx="minor">
      <a:srgbClr val="000000"/>
    </cs:fontRef>
    <cs:spPr>
      <a:noFill/>
      <a:ln>
        <a:noFill/>
      </a:ln>
    </cs:spPr>
  </cs:floor>
  <cs:gridlineMajor>
    <cs:lnRef idx="0"/>
    <cs:fillRef idx="0"/>
    <cs:effectRef idx="0"/>
    <cs:fontRef idx="minor">
      <a:srgbClr val="000000"/>
    </cs:fontRef>
    <cs:spPr>
      <a:ln w="9525" cap="flat" cmpd="sng" algn="ctr">
        <a:solidFill>
          <a:srgbClr val="D9D9D9">
            <a:lumMod val="15000"/>
            <a:lumOff val="85000"/>
          </a:srgbClr>
        </a:solidFill>
        <a:round/>
      </a:ln>
    </cs:spPr>
  </cs:gridlineMajor>
  <cs:gridlineMinor>
    <cs:lnRef idx="0"/>
    <cs:fillRef idx="0"/>
    <cs:effectRef idx="0"/>
    <cs:fontRef idx="minor">
      <a:srgbClr val="000000"/>
    </cs:fontRef>
    <cs:spPr>
      <a:ln w="9525" cap="flat" cmpd="sng" algn="ctr">
        <a:solidFill>
          <a:srgbClr val="F2F2F2">
            <a:lumMod val="5000"/>
            <a:lumOff val="95000"/>
          </a:srgbClr>
        </a:solidFill>
        <a:round/>
      </a:ln>
    </cs:spPr>
  </cs:gridlineMinor>
  <cs:hiLoLine>
    <cs:lnRef idx="0"/>
    <cs:fillRef idx="0"/>
    <cs:effectRef idx="0"/>
    <cs:fontRef idx="minor">
      <a:srgbClr val="000000"/>
    </cs:fontRef>
    <cs:spPr>
      <a:ln w="9525" cap="flat" cmpd="sng" algn="ctr">
        <a:solidFill>
          <a:srgbClr val="404040">
            <a:lumMod val="75000"/>
            <a:lumOff val="25000"/>
          </a:srgbClr>
        </a:solidFill>
        <a:round/>
      </a:ln>
    </cs:spPr>
  </cs:hiLoLine>
  <cs:leaderLine>
    <cs:lnRef idx="0"/>
    <cs:fillRef idx="0"/>
    <cs:effectRef idx="0"/>
    <cs:fontRef idx="minor">
      <a:srgbClr val="000000"/>
    </cs:fontRef>
    <cs:spPr>
      <a:ln w="9525" cap="flat" cmpd="sng" algn="ctr">
        <a:solidFill>
          <a:srgbClr val="A6A6A6">
            <a:lumMod val="35000"/>
            <a:lumOff val="65000"/>
          </a:srgbClr>
        </a:solidFill>
        <a:round/>
      </a:ln>
    </cs:spPr>
  </cs:leaderLine>
  <cs:legend>
    <cs:lnRef idx="0"/>
    <cs:fillRef idx="0"/>
    <cs:effectRef idx="0"/>
    <cs:fontRef idx="minor">
      <a:srgbClr val="595959">
        <a:lumMod val="65000"/>
        <a:lumOff val="35000"/>
      </a:srgbClr>
    </cs:fontRef>
    <cs:defRPr sz="900" kern="1200"/>
  </cs:legend>
  <cs:plotArea mods="allowNoFillOverride allowNoLineOverride">
    <cs:lnRef idx="0"/>
    <cs:fillRef idx="0"/>
    <cs:effectRef idx="0"/>
    <cs:fontRef idx="minor">
      <a:srgbClr val="000000"/>
    </cs:fontRef>
  </cs:plotArea>
  <cs:plotArea3D mods="allowNoFillOverride allowNoLineOverride">
    <cs:lnRef idx="0"/>
    <cs:fillRef idx="0"/>
    <cs:effectRef idx="0"/>
    <cs:fontRef idx="minor">
      <a:srgbClr val="000000"/>
    </cs:fontRef>
  </cs:plotArea3D>
  <cs:seriesAxis>
    <cs:lnRef idx="0"/>
    <cs:fillRef idx="0"/>
    <cs:effectRef idx="0"/>
    <cs:fontRef idx="minor">
      <a:srgbClr val="595959">
        <a:lumMod val="65000"/>
        <a:lumOff val="35000"/>
      </a:srgbClr>
    </cs:fontRef>
    <cs:defRPr sz="900" kern="1200"/>
  </cs:seriesAxis>
  <cs:seriesLine>
    <cs:lnRef idx="0"/>
    <cs:fillRef idx="0"/>
    <cs:effectRef idx="0"/>
    <cs:fontRef idx="minor">
      <a:srgbClr val="000000"/>
    </cs:fontRef>
    <cs:spPr>
      <a:ln w="9525" cap="flat" cmpd="sng" algn="ctr">
        <a:solidFill>
          <a:srgbClr val="A6A6A6">
            <a:lumMod val="35000"/>
            <a:lumOff val="65000"/>
          </a:srgbClr>
        </a:solidFill>
        <a:round/>
      </a:ln>
    </cs:spPr>
  </cs:seriesLine>
  <cs:title>
    <cs:lnRef idx="0"/>
    <cs:fillRef idx="0"/>
    <cs:effectRef idx="0"/>
    <cs:fontRef idx="minor">
      <a:srgbClr val="595959">
        <a:lumMod val="65000"/>
        <a:lumOff val="35000"/>
      </a:srgbClr>
    </cs:fontRef>
    <cs:defRPr sz="1400" b="0" kern="1200" spc="0" baseline="0"/>
  </cs:title>
  <cs:trendline>
    <cs:lnRef idx="0">
      <cs:styleClr val="auto"/>
    </cs:lnRef>
    <cs:fillRef idx="0"/>
    <cs:effectRef idx="0"/>
    <cs:fontRef idx="minor">
      <a:srgbClr val="000000"/>
    </cs:fontRef>
    <cs:spPr>
      <a:ln w="19050" cap="rnd">
        <a:solidFill>
          <a:srgbClr val="FFFFFF"/>
        </a:solidFill>
        <a:prstDash val="sysDot"/>
      </a:ln>
    </cs:spPr>
  </cs:trendline>
  <cs:trendlineLabel>
    <cs:lnRef idx="0"/>
    <cs:fillRef idx="0"/>
    <cs:effectRef idx="0"/>
    <cs:fontRef idx="minor">
      <a:srgbClr val="595959">
        <a:lumMod val="65000"/>
        <a:lumOff val="35000"/>
      </a:srgbClr>
    </cs:fontRef>
    <cs:defRPr sz="900" kern="1200"/>
  </cs:trendlineLabel>
  <cs:upBar>
    <cs:lnRef idx="0"/>
    <cs:fillRef idx="0"/>
    <cs:effectRef idx="0"/>
    <cs:fontRef idx="minor">
      <a:srgbClr val="000000"/>
    </cs:fontRef>
    <cs:spPr>
      <a:solidFill>
        <a:srgbClr val="FFFFFF"/>
      </a:solidFill>
      <a:ln w="9525">
        <a:solidFill>
          <a:srgbClr val="D9D9D9">
            <a:lumMod val="15000"/>
            <a:lumOff val="85000"/>
          </a:srgbClr>
        </a:solidFill>
      </a:ln>
    </cs:spPr>
  </cs:upBar>
  <cs:valueAxis>
    <cs:lnRef idx="0"/>
    <cs:fillRef idx="0"/>
    <cs:effectRef idx="0"/>
    <cs:fontRef idx="minor">
      <a:srgbClr val="595959">
        <a:lumMod val="65000"/>
        <a:lumOff val="35000"/>
      </a:srgbClr>
    </cs:fontRef>
    <cs:defRPr sz="900" kern="1200"/>
  </cs:valueAxis>
  <cs:wall>
    <cs:lnRef idx="0"/>
    <cs:fillRef idx="0"/>
    <cs:effectRef idx="0"/>
    <cs:fontRef idx="minor">
      <a:srgbClr val="000000"/>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190"/>
    <customShpInfo spid="_x0000_s1191"/>
    <customShpInfo spid="_x0000_s1189"/>
    <customShpInfo spid="_x0000_s1127"/>
    <customShpInfo spid="_x0000_s1128"/>
    <customShpInfo spid="_x0000_s1126"/>
    <customShpInfo spid="_x0000_s1110"/>
    <customShpInfo spid="_x0000_s1109"/>
    <customShpInfo spid="_x0000_s1108"/>
    <customShpInfo spid="_x0000_s1107"/>
    <customShpInfo spid="_x0000_s1121"/>
    <customShpInfo spid="_x0000_s1122"/>
    <customShpInfo spid="_x0000_s1120"/>
    <customShpInfo spid="_x0000_s1106"/>
    <customShpInfo spid="_x0000_s1105"/>
    <customShpInfo spid="_x0000_s1104"/>
    <customShpInfo spid="_x0000_s1103"/>
    <customShpInfo spid="_x0000_s1118"/>
    <customShpInfo spid="_x0000_s1119"/>
    <customShpInfo spid="_x0000_s1117"/>
    <customShpInfo spid="_x0000_s1102"/>
    <customShpInfo spid="_x0000_s1101"/>
    <customShpInfo spid="_x0000_s1100"/>
    <customShpInfo spid="_x0000_s1115"/>
    <customShpInfo spid="_x0000_s1116"/>
    <customShpInfo spid="_x0000_s1114"/>
    <customShpInfo spid="_x0000_s1099"/>
    <customShpInfo spid="_x0000_s1098"/>
    <customShpInfo spid="_x0000_s1097"/>
    <customShpInfo spid="_x0000_s1130"/>
    <customShpInfo spid="_x0000_s1131"/>
    <customShpInfo spid="_x0000_s1129"/>
    <customShpInfo spid="_x0000_s1096"/>
    <customShpInfo spid="_x0000_s1095"/>
    <customShpInfo spid="_x0000_s1094"/>
    <customShpInfo spid="_x0000_s1133"/>
    <customShpInfo spid="_x0000_s1134"/>
    <customShpInfo spid="_x0000_s1132"/>
    <customShpInfo spid="_x0000_s1093"/>
    <customShpInfo spid="_x0000_s1092"/>
    <customShpInfo spid="_x0000_s1091"/>
    <customShpInfo spid="_x0000_s1136"/>
    <customShpInfo spid="_x0000_s1137"/>
    <customShpInfo spid="_x0000_s1135"/>
    <customShpInfo spid="_x0000_s1090"/>
    <customShpInfo spid="_x0000_s1089"/>
    <customShpInfo spid="_x0000_s1088"/>
    <customShpInfo spid="_x0000_s1139"/>
    <customShpInfo spid="_x0000_s1140"/>
    <customShpInfo spid="_x0000_s1138"/>
    <customShpInfo spid="_x0000_s1087"/>
    <customShpInfo spid="_x0000_s1086"/>
    <customShpInfo spid="_x0000_s1085"/>
    <customShpInfo spid="_x0000_s1142"/>
    <customShpInfo spid="_x0000_s1143"/>
    <customShpInfo spid="_x0000_s1141"/>
    <customShpInfo spid="_x0000_s1084"/>
    <customShpInfo spid="_x0000_s1083"/>
    <customShpInfo spid="_x0000_s1082"/>
    <customShpInfo spid="_x0000_s1145"/>
    <customShpInfo spid="_x0000_s1146"/>
    <customShpInfo spid="_x0000_s1144"/>
    <customShpInfo spid="_x0000_s1081"/>
    <customShpInfo spid="_x0000_s1080"/>
    <customShpInfo spid="_x0000_s1079"/>
    <customShpInfo spid="_x0000_s1148"/>
    <customShpInfo spid="_x0000_s1149"/>
    <customShpInfo spid="_x0000_s1147"/>
    <customShpInfo spid="_x0000_s1078"/>
    <customShpInfo spid="_x0000_s1077"/>
    <customShpInfo spid="_x0000_s1076"/>
    <customShpInfo spid="_x0000_s1151"/>
    <customShpInfo spid="_x0000_s1152"/>
    <customShpInfo spid="_x0000_s1150"/>
    <customShpInfo spid="_x0000_s1075"/>
    <customShpInfo spid="_x0000_s1074"/>
    <customShpInfo spid="_x0000_s1073"/>
    <customShpInfo spid="_x0000_s1072"/>
    <customShpInfo spid="_x0000_s1154"/>
    <customShpInfo spid="_x0000_s1155"/>
    <customShpInfo spid="_x0000_s1153"/>
    <customShpInfo spid="_x0000_s1068"/>
    <customShpInfo spid="_x0000_s1157"/>
    <customShpInfo spid="_x0000_s1158"/>
    <customShpInfo spid="_x0000_s1156"/>
    <customShpInfo spid="_x0000_s1064"/>
    <customShpInfo spid="_x0000_s1063"/>
    <customShpInfo spid="_x0000_s1062"/>
    <customShpInfo spid="_x0000_s1061"/>
    <customShpInfo spid="_x0000_s1163"/>
    <customShpInfo spid="_x0000_s1164"/>
    <customShpInfo spid="_x0000_s1162"/>
    <customShpInfo spid="_x0000_s1060"/>
    <customShpInfo spid="_x0000_s1059"/>
    <customShpInfo spid="_x0000_s1058"/>
    <customShpInfo spid="_x0000_s1057"/>
    <customShpInfo spid="_x0000_s1056"/>
    <customShpInfo spid="_x0000_s1055"/>
    <customShpInfo spid="_x0000_s1193"/>
    <customShpInfo spid="_x0000_s1194"/>
    <customShpInfo spid="_x0000_s1192"/>
    <customShpInfo spid="_x0000_s1054"/>
    <customShpInfo spid="_x0000_s1053"/>
    <customShpInfo spid="_x0000_s1052"/>
    <customShpInfo spid="_x0000_s1196"/>
    <customShpInfo spid="_x0000_s1197"/>
    <customShpInfo spid="_x0000_s1195"/>
    <customShpInfo spid="_x0000_s1048"/>
    <customShpInfo spid="_x0000_s1047"/>
    <customShpInfo spid="_x0000_s1046"/>
    <customShpInfo spid="_x0000_s1169"/>
    <customShpInfo spid="_x0000_s1170"/>
    <customShpInfo spid="_x0000_s1168"/>
    <customShpInfo spid="_x0000_s1045"/>
    <customShpInfo spid="_x0000_s1044"/>
    <customShpInfo spid="_x0000_s1043"/>
    <customShpInfo spid="_x0000_s1178"/>
    <customShpInfo spid="_x0000_s1179"/>
    <customShpInfo spid="_x0000_s1177"/>
    <customShpInfo spid="_x0000_s1036"/>
    <customShpInfo spid="_x0000_s1181"/>
    <customShpInfo spid="_x0000_s1182"/>
    <customShpInfo spid="_x0000_s1180"/>
    <customShpInfo spid="_x0000_s1035"/>
    <customShpInfo spid="_x0000_s1034"/>
    <customShpInfo spid="_x0000_s1033"/>
    <customShpInfo spid="_x0000_s1032"/>
    <customShpInfo spid="_x0000_s1031"/>
    <customShpInfo spid="_x0000_s1030"/>
    <customShpInfo spid="_x0000_s1184"/>
    <customShpInfo spid="_x0000_s1185"/>
    <customShpInfo spid="_x0000_s1183"/>
    <customShpInfo spid="_x0000_s1029"/>
    <customShpInfo spid="_x0000_s1028"/>
    <customShpInfo spid="_x0000_s1027"/>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DD42D445-049E-4F07-80D7-39B9DC77EEF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28</Pages>
  <Words>7141</Words>
  <Characters>8746</Characters>
  <Lines>84</Lines>
  <Paragraphs>23</Paragraphs>
  <TotalTime>14</TotalTime>
  <ScaleCrop>false</ScaleCrop>
  <LinksUpToDate>false</LinksUpToDate>
  <CharactersWithSpaces>9006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2019-08-02T01:01:00Z</cp:lastPrinted>
  <dcterms:modified xsi:type="dcterms:W3CDTF">2023-06-27T01:33:57Z</dcterms:modified>
  <dc:subject>石家庄市xxx部门</dc:subject>
  <dc:title>2017年度部门决算</dc:title>
  <cp:revision>161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AA8E6120F05C4B67BDD45CE10AC2E91C_12</vt:lpwstr>
  </property>
</Properties>
</file>