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pict>
          <v:shape id="_x0000_s1044" o:spid="_x0000_s1044" o:spt="202" type="#_x0000_t202" style="position:absolute;left:0pt;margin-left:128.25pt;margin-top:619.9pt;height:40.75pt;width:167.85pt;z-index:251679744;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OXMNuXcAAAADQEAAA8AAAAAAAAAAQAgAAAAIgAAAGRycy9kb3ducmV2LnhtbFBL&#10;AQIUABQAAAAIAIdO4kDAbc9EKwIAACQEAAAOAAAAAAAAAAEAIAAAACsBAABkcnMvZTJvRG9jLnht&#10;bFBLBQYAAAAABgAGAFkBAADIBQAAAAA=&#10;">
            <v:path/>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v:textbox>
          </v:shape>
        </w:pict>
      </w:r>
      <w:r>
        <w:pict>
          <v:shape id="图片 4" o:spid="_x0000_s1043" o:spt="75" alt="决算封面无" type="#_x0000_t75" style="position:absolute;left:0pt;margin-left:-77.8pt;margin-top:-108.6pt;height:845.65pt;width:597.8pt;z-index:-251641856;mso-width-relative:page;mso-height-relative:page;" filled="f" o:preferrelative="t" stroked="f" coordsize="21600,21600">
            <v:path/>
            <v:fill on="f" focussize="0,0"/>
            <v:stroke on="f"/>
            <v:imagedata r:id="rId16" o:title=""/>
            <o:lock v:ext="edit" aspectratio="t"/>
          </v:shape>
        </w:pict>
      </w:r>
      <w:r>
        <w:pict>
          <v:shape id="图片 5" o:spid="_x0000_s1026" o:spt="75" alt="公开封面2" type="#_x0000_t75" style="position:absolute;left:0pt;margin-left:-76.65pt;margin-top:-0.35pt;height:841.9pt;width:595.2pt;mso-position-vertical-relative:page;z-index:-251663360;mso-width-relative:page;mso-height-relative:page;" filled="f" o:preferrelative="t" stroked="f" coordsize="21600,21600">
            <v:path/>
            <v:fill on="f" focussize="0,0"/>
            <v:stroke on="f" joinstyle="miter"/>
            <v:imagedata r:id="rId17" o:title=""/>
            <o:lock v:ext="edit" aspectratio="t"/>
          </v:shape>
        </w:pict>
      </w:r>
      <w:r>
        <w:br w:type="page"/>
      </w:r>
    </w:p>
    <w:p>
      <w:pPr>
        <w:rPr>
          <w:rFonts w:ascii="黑体" w:hAnsi="黑体" w:eastAsia="黑体" w:cs="黑体"/>
          <w:sz w:val="72"/>
          <w:szCs w:val="96"/>
        </w:rPr>
      </w:pPr>
    </w:p>
    <w:p>
      <w:pPr>
        <w:rPr>
          <w:rFonts w:ascii="黑体" w:hAnsi="黑体" w:eastAsia="黑体" w:cs="黑体"/>
          <w:sz w:val="72"/>
          <w:szCs w:val="96"/>
        </w:rPr>
      </w:pPr>
    </w:p>
    <w:p>
      <w:pPr>
        <w:rPr>
          <w:rFonts w:ascii="黑体" w:hAnsi="黑体" w:eastAsia="黑体" w:cs="黑体"/>
          <w:sz w:val="72"/>
          <w:szCs w:val="96"/>
        </w:rPr>
      </w:pPr>
      <w:r>
        <w:rPr>
          <w:rFonts w:ascii="黑体" w:hAnsi="黑体" w:eastAsia="黑体" w:cs="黑体"/>
          <w:sz w:val="72"/>
          <w:szCs w:val="96"/>
        </w:rPr>
        <w:t>2020</w:t>
      </w:r>
      <w:r>
        <w:rPr>
          <w:rFonts w:hint="eastAsia" w:ascii="黑体" w:hAnsi="黑体" w:eastAsia="黑体" w:cs="黑体"/>
          <w:sz w:val="72"/>
          <w:szCs w:val="96"/>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640" w:lineRule="exact"/>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石家庄市鹿泉区农业农村局</w:t>
      </w:r>
    </w:p>
    <w:p>
      <w:pPr>
        <w:snapToGrid w:val="0"/>
        <w:spacing w:line="640" w:lineRule="exact"/>
        <w:jc w:val="center"/>
        <w:rPr>
          <w:rFonts w:ascii="楷体_GB2312" w:hAnsi="楷体_GB2312" w:eastAsia="楷体_GB2312" w:cs="楷体_GB2312"/>
          <w:color w:val="000000"/>
          <w:kern w:val="0"/>
          <w:sz w:val="40"/>
          <w:szCs w:val="40"/>
        </w:rPr>
      </w:pPr>
      <w:r>
        <w:rPr>
          <w:rFonts w:hint="eastAsia" w:ascii="楷体_GB2312" w:hAnsi="楷体_GB2312" w:eastAsia="楷体_GB2312" w:cs="楷体_GB2312"/>
          <w:color w:val="000000"/>
          <w:kern w:val="0"/>
          <w:sz w:val="44"/>
          <w:szCs w:val="44"/>
        </w:rPr>
        <w:t>二〇二一年</w:t>
      </w:r>
      <w:r>
        <w:rPr>
          <w:rFonts w:hint="eastAsia" w:ascii="楷体_GB2312" w:hAnsi="楷体_GB2312" w:eastAsia="楷体_GB2312" w:cs="楷体_GB2312"/>
          <w:color w:val="000000"/>
          <w:kern w:val="0"/>
          <w:sz w:val="44"/>
          <w:szCs w:val="44"/>
          <w:lang w:eastAsia="zh-CN"/>
        </w:rPr>
        <w:t>十</w:t>
      </w:r>
      <w:r>
        <w:rPr>
          <w:rFonts w:hint="eastAsia" w:ascii="楷体_GB2312" w:hAnsi="楷体_GB2312" w:eastAsia="楷体_GB2312" w:cs="楷体_GB2312"/>
          <w:color w:val="000000"/>
          <w:kern w:val="0"/>
          <w:sz w:val="44"/>
          <w:szCs w:val="44"/>
        </w:rPr>
        <w:t>月</w:t>
      </w:r>
    </w:p>
    <w:p>
      <w:pPr>
        <w:snapToGrid w:val="0"/>
        <w:jc w:val="center"/>
        <w:rPr>
          <w:rFonts w:ascii="楷体_GB2312" w:hAnsi="楷体_GB2312" w:eastAsia="楷体_GB2312" w:cs="楷体_GB2312"/>
          <w:color w:val="000000"/>
          <w:kern w:val="0"/>
          <w:sz w:val="40"/>
          <w:szCs w:val="40"/>
        </w:rPr>
      </w:pPr>
    </w:p>
    <w:p>
      <w:pPr>
        <w:spacing w:line="1100" w:lineRule="exact"/>
        <w:jc w:val="center"/>
        <w:rPr>
          <w:rFonts w:ascii="黑体" w:hAnsi="黑体" w:eastAsia="黑体" w:cs="黑体"/>
          <w:sz w:val="72"/>
          <w:szCs w:val="96"/>
        </w:rPr>
      </w:pPr>
      <w:r>
        <w:rPr>
          <w:rFonts w:hint="eastAsia" w:ascii="黑体" w:hAnsi="黑体" w:eastAsia="黑体" w:cs="黑体"/>
          <w:sz w:val="72"/>
          <w:szCs w:val="96"/>
        </w:rPr>
        <w:t>石家庄市鹿泉区农业农村局</w:t>
      </w:r>
    </w:p>
    <w:p>
      <w:pPr>
        <w:spacing w:line="1100" w:lineRule="exact"/>
        <w:jc w:val="center"/>
        <w:rPr>
          <w:rFonts w:ascii="黑体" w:hAnsi="黑体" w:eastAsia="黑体" w:cs="黑体"/>
          <w:sz w:val="72"/>
          <w:szCs w:val="96"/>
        </w:rPr>
      </w:pPr>
      <w:r>
        <w:rPr>
          <w:rFonts w:ascii="黑体" w:hAnsi="黑体" w:eastAsia="黑体" w:cs="黑体"/>
          <w:sz w:val="72"/>
          <w:szCs w:val="96"/>
        </w:rPr>
        <w:t>2020</w:t>
      </w:r>
      <w:r>
        <w:rPr>
          <w:rFonts w:hint="eastAsia" w:ascii="黑体" w:hAnsi="黑体" w:eastAsia="黑体" w:cs="黑体"/>
          <w:sz w:val="72"/>
          <w:szCs w:val="96"/>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sectPr>
          <w:headerReference r:id="rId5" w:type="first"/>
          <w:footerReference r:id="rId8" w:type="first"/>
          <w:headerReference r:id="rId3" w:type="default"/>
          <w:footerReference r:id="rId6" w:type="default"/>
          <w:headerReference r:id="rId4" w:type="even"/>
          <w:footerReference r:id="rId7" w:type="even"/>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kern w:val="0"/>
          <w:sz w:val="40"/>
          <w:szCs w:val="40"/>
        </w:rPr>
        <w:t>二〇二一年</w:t>
      </w:r>
      <w:r>
        <w:rPr>
          <w:rFonts w:hint="eastAsia" w:ascii="楷体_GB2312" w:hAnsi="楷体_GB2312" w:eastAsia="楷体_GB2312" w:cs="楷体_GB2312"/>
          <w:color w:val="000000"/>
          <w:kern w:val="0"/>
          <w:sz w:val="40"/>
          <w:szCs w:val="40"/>
          <w:lang w:eastAsia="zh-CN"/>
        </w:rPr>
        <w:t>十</w:t>
      </w:r>
      <w:r>
        <w:rPr>
          <w:rFonts w:hint="eastAsia" w:ascii="楷体_GB2312" w:hAnsi="楷体_GB2312" w:eastAsia="楷体_GB2312" w:cs="楷体_GB2312"/>
          <w:color w:val="000000"/>
          <w:kern w:val="0"/>
          <w:sz w:val="40"/>
          <w:szCs w:val="40"/>
        </w:rPr>
        <w:t>月</w:t>
      </w:r>
    </w:p>
    <w:p>
      <w:pPr>
        <w:tabs>
          <w:tab w:val="left" w:pos="2728"/>
        </w:tabs>
        <w:jc w:val="center"/>
        <w:rPr>
          <w:rFonts w:ascii="黑体" w:hAnsi="Times New Roman" w:eastAsia="黑体"/>
          <w:sz w:val="48"/>
          <w:szCs w:val="48"/>
        </w:rPr>
      </w:pPr>
    </w:p>
    <w:p>
      <w:pPr>
        <w:tabs>
          <w:tab w:val="left" w:pos="2728"/>
        </w:tabs>
        <w:jc w:val="center"/>
        <w:rPr>
          <w:rFonts w:ascii="黑体" w:hAnsi="Times New Roman" w:eastAsia="黑体"/>
          <w:sz w:val="48"/>
          <w:szCs w:val="48"/>
        </w:rPr>
      </w:pPr>
      <w:r>
        <w:rPr>
          <w:rFonts w:hint="eastAsia" w:ascii="黑体" w:hAnsi="Times New Roman" w:eastAsia="黑体"/>
          <w:sz w:val="48"/>
          <w:szCs w:val="48"/>
        </w:rPr>
        <w:t>目</w:t>
      </w:r>
      <w:r>
        <w:rPr>
          <w:rFonts w:ascii="黑体" w:hAnsi="Times New Roman" w:eastAsia="黑体"/>
          <w:sz w:val="48"/>
          <w:szCs w:val="48"/>
        </w:rPr>
        <w:t xml:space="preserve">    </w:t>
      </w:r>
      <w:r>
        <w:rPr>
          <w:rFonts w:hint="eastAsia" w:ascii="黑体" w:hAnsi="Times New Roman" w:eastAsia="黑体"/>
          <w:sz w:val="48"/>
          <w:szCs w:val="48"/>
        </w:rPr>
        <w:t>录</w:t>
      </w:r>
    </w:p>
    <w:p>
      <w:pPr>
        <w:widowControl/>
        <w:spacing w:after="160" w:line="580" w:lineRule="exact"/>
        <w:ind w:firstLine="640" w:firstLineChars="200"/>
        <w:rPr>
          <w:rFonts w:ascii="Times New Roman" w:hAnsi="Times New Roman" w:eastAsia="黑体"/>
          <w:sz w:val="32"/>
          <w:szCs w:val="32"/>
        </w:rPr>
      </w:pPr>
    </w:p>
    <w:p>
      <w:pPr>
        <w:widowControl/>
        <w:spacing w:line="620" w:lineRule="exact"/>
        <w:ind w:firstLine="640" w:firstLineChars="200"/>
        <w:rPr>
          <w:rFonts w:ascii="Times New Roman" w:hAnsi="Times New Roman" w:eastAsia="仿宋_GB2312"/>
          <w:sz w:val="24"/>
          <w:szCs w:val="32"/>
        </w:rPr>
      </w:pPr>
      <w:r>
        <w:rPr>
          <w:rFonts w:hint="eastAsia" w:ascii="Times New Roman" w:hAnsi="Times New Roman" w:eastAsia="黑体"/>
          <w:sz w:val="32"/>
          <w:szCs w:val="32"/>
        </w:rPr>
        <w:t>第一部分</w:t>
      </w:r>
      <w:r>
        <w:rPr>
          <w:rFonts w:ascii="Times New Roman" w:hAnsi="Times New Roman" w:eastAsia="黑体"/>
          <w:sz w:val="32"/>
          <w:szCs w:val="32"/>
        </w:rPr>
        <w:t xml:space="preserve">   </w:t>
      </w:r>
      <w:r>
        <w:rPr>
          <w:rFonts w:hint="eastAsia" w:ascii="Times New Roman" w:hAnsi="Times New Roman" w:eastAsia="黑体"/>
          <w:sz w:val="32"/>
          <w:szCs w:val="32"/>
        </w:rPr>
        <w:t>部门概况</w:t>
      </w:r>
    </w:p>
    <w:p>
      <w:pPr>
        <w:widowControl/>
        <w:spacing w:line="62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一、部门职责</w:t>
      </w:r>
    </w:p>
    <w:p>
      <w:pPr>
        <w:widowControl/>
        <w:spacing w:line="62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二、机构设置</w:t>
      </w:r>
    </w:p>
    <w:p>
      <w:pPr>
        <w:widowControl/>
        <w:spacing w:line="62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第二部分</w:t>
      </w:r>
      <w:r>
        <w:rPr>
          <w:rFonts w:ascii="Times New Roman" w:hAnsi="Times New Roman" w:eastAsia="黑体"/>
          <w:sz w:val="32"/>
          <w:szCs w:val="32"/>
        </w:rPr>
        <w:t>2020</w:t>
      </w:r>
      <w:r>
        <w:rPr>
          <w:rFonts w:hint="eastAsia" w:ascii="Times New Roman" w:hAnsi="Times New Roman" w:eastAsia="黑体"/>
          <w:sz w:val="32"/>
          <w:szCs w:val="32"/>
        </w:rPr>
        <w:t>年部门决算情况说明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一、收入支出决算总体情况说明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二、收入决算情况说明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三、支出决算情况说明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四、财政拨款收入支出决算总体情况说明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五、一般公共预算“三公”</w:t>
      </w:r>
      <w:r>
        <w:rPr>
          <w:rFonts w:ascii="Times New Roman" w:hAnsi="Times New Roman" w:eastAsia="仿宋_GB2312"/>
          <w:sz w:val="32"/>
          <w:szCs w:val="32"/>
        </w:rPr>
        <w:t xml:space="preserve"> </w:t>
      </w:r>
      <w:r>
        <w:rPr>
          <w:rFonts w:hint="eastAsia" w:ascii="Times New Roman" w:hAnsi="Times New Roman" w:eastAsia="仿宋_GB2312"/>
          <w:sz w:val="32"/>
          <w:szCs w:val="32"/>
        </w:rPr>
        <w:t>经费支出决算情况说明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六、预算绩效情况说明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七、机关运行经费情况</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八、政府采购情况</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九、国有资产占用情况</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十、其他需要说明的情况</w:t>
      </w:r>
    </w:p>
    <w:p>
      <w:pPr>
        <w:widowControl/>
        <w:spacing w:line="62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2"/>
        </w:rPr>
        <w:t>第三部分</w:t>
      </w:r>
      <w:r>
        <w:rPr>
          <w:rFonts w:ascii="Times New Roman" w:hAnsi="Times New Roman" w:eastAsia="黑体"/>
          <w:sz w:val="32"/>
          <w:szCs w:val="32"/>
        </w:rPr>
        <w:t xml:space="preserve">   </w:t>
      </w:r>
      <w:r>
        <w:rPr>
          <w:rFonts w:hint="eastAsia" w:ascii="Times New Roman" w:hAnsi="Times New Roman" w:eastAsia="黑体"/>
          <w:sz w:val="32"/>
          <w:szCs w:val="32"/>
        </w:rPr>
        <w:t>名词解释</w:t>
      </w:r>
    </w:p>
    <w:p>
      <w:pPr>
        <w:widowControl/>
        <w:spacing w:line="620" w:lineRule="exact"/>
        <w:ind w:firstLine="640" w:firstLineChars="200"/>
        <w:rPr>
          <w:rFonts w:ascii="Times New Roman" w:hAnsi="Times New Roman" w:eastAsia="仿宋_GB2312"/>
          <w:sz w:val="20"/>
          <w:szCs w:val="32"/>
        </w:rPr>
      </w:pPr>
      <w:r>
        <w:rPr>
          <w:rFonts w:hint="eastAsia" w:ascii="Times New Roman" w:hAnsi="Times New Roman" w:eastAsia="黑体"/>
          <w:sz w:val="32"/>
          <w:szCs w:val="32"/>
        </w:rPr>
        <w:t>第四部分</w:t>
      </w:r>
      <w:r>
        <w:rPr>
          <w:rFonts w:ascii="Times New Roman" w:hAnsi="Times New Roman" w:eastAsia="黑体"/>
          <w:sz w:val="32"/>
          <w:szCs w:val="32"/>
        </w:rPr>
        <w:t xml:space="preserve"> 2020</w:t>
      </w:r>
      <w:r>
        <w:rPr>
          <w:rFonts w:hint="eastAsia" w:ascii="Times New Roman" w:hAnsi="Times New Roman" w:eastAsia="黑体"/>
          <w:sz w:val="32"/>
          <w:szCs w:val="32"/>
        </w:rPr>
        <w:t>年度部门决算报表</w:t>
      </w:r>
    </w:p>
    <w:p>
      <w:pPr>
        <w:widowControl/>
        <w:spacing w:after="160" w:line="580" w:lineRule="exact"/>
        <w:ind w:firstLine="640" w:firstLineChars="200"/>
        <w:rPr>
          <w:rFonts w:ascii="Times New Roman" w:hAnsi="Times New Roman" w:eastAsia="黑体"/>
          <w:sz w:val="32"/>
          <w:szCs w:val="32"/>
        </w:rPr>
        <w:sectPr>
          <w:headerReference r:id="rId10" w:type="first"/>
          <w:footerReference r:id="rId12" w:type="first"/>
          <w:headerReference r:id="rId9" w:type="default"/>
          <w:footerReference r:id="rId11"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pict>
          <v:shape id="_x0000_s1027" o:spid="_x0000_s1027" o:spt="202" type="#_x0000_t202" style="position:absolute;left:0pt;margin-left:-85.7pt;margin-top:80.7pt;height:263.1pt;width:613.65pt;z-index:251657216;v-text-anchor:middle;mso-width-relative:page;mso-height-relative:page;" fillcolor="#7F7F7F" filled="t" stroked="t" coordsize="21600,21600">
            <v:path/>
            <v:fill type="pattern" on="t" focussize="0,0"/>
            <v:stroke weight="1pt" color="#A6A6A6" joinstyle="round"/>
            <v:imagedata o:title=""/>
            <o:lock v:ext="edit"/>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w:t>
                  </w:r>
                  <w:r>
                    <w:rPr>
                      <w:rFonts w:ascii="黑体" w:hAnsi="黑体" w:eastAsia="黑体" w:cs="黑体"/>
                      <w:color w:val="000000"/>
                      <w:sz w:val="96"/>
                      <w:szCs w:val="96"/>
                    </w:rPr>
                    <w:t xml:space="preserve">  </w:t>
                  </w:r>
                  <w:r>
                    <w:rPr>
                      <w:rFonts w:hint="eastAsia" w:ascii="黑体" w:hAnsi="黑体" w:eastAsia="黑体" w:cs="黑体"/>
                      <w:color w:val="000000"/>
                      <w:sz w:val="96"/>
                      <w:szCs w:val="96"/>
                    </w:rPr>
                    <w:t>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统筹研究和组织实施全区“三农”工作的发展战略</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负责全区农业综合执法</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协调推动发展全区农村社会事业、农村公共服务、农村文化、农村基础设施和乡村治理</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负责全区种植业、畜牧业、渔业、农垦、农业机械化等农业各产业的监督管理</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负责全区农产品质量安全监督管理。</w:t>
      </w:r>
    </w:p>
    <w:p>
      <w:pPr>
        <w:keepNext/>
        <w:keepLines/>
        <w:spacing w:line="580" w:lineRule="exact"/>
        <w:ind w:firstLine="640" w:firstLineChars="200"/>
        <w:jc w:val="left"/>
        <w:outlineLvl w:val="0"/>
        <w:rPr>
          <w:rFonts w:ascii="黑体" w:eastAsia="黑体" w:cs="黑体"/>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从决算编报部门构成看，纳入</w:t>
      </w:r>
      <w:r>
        <w:rPr>
          <w:rFonts w:ascii="仿宋_GB2312" w:eastAsia="仿宋_GB2312" w:cs="Arial Black"/>
          <w:kern w:val="0"/>
          <w:sz w:val="32"/>
          <w:szCs w:val="32"/>
        </w:rPr>
        <w:t>2020</w:t>
      </w:r>
      <w:r>
        <w:rPr>
          <w:rFonts w:hint="eastAsia" w:ascii="仿宋_GB2312" w:eastAsia="仿宋_GB2312" w:cs="Arial Black"/>
          <w:kern w:val="0"/>
          <w:sz w:val="32"/>
          <w:szCs w:val="32"/>
        </w:rPr>
        <w:t>年度本部门决算汇编范围的独立核算</w:t>
      </w:r>
      <w:r>
        <w:rPr>
          <w:rFonts w:hint="eastAsia" w:ascii="仿宋_GB2312" w:eastAsia="仿宋_GB2312" w:cs="Arial Black"/>
          <w:kern w:val="0"/>
          <w:sz w:val="32"/>
          <w:szCs w:val="32"/>
          <w:lang w:val="en-US" w:eastAsia="zh-CN"/>
        </w:rPr>
        <w:t>单位</w:t>
      </w:r>
      <w:r>
        <w:rPr>
          <w:rFonts w:hint="eastAsia" w:ascii="仿宋_GB2312" w:eastAsia="仿宋_GB2312" w:cs="Arial Black"/>
          <w:kern w:val="0"/>
          <w:sz w:val="32"/>
          <w:szCs w:val="32"/>
        </w:rPr>
        <w:t>（以下简称“</w:t>
      </w:r>
      <w:r>
        <w:rPr>
          <w:rFonts w:hint="eastAsia" w:ascii="仿宋_GB2312" w:eastAsia="仿宋_GB2312" w:cs="Arial Black"/>
          <w:kern w:val="0"/>
          <w:sz w:val="32"/>
          <w:szCs w:val="32"/>
          <w:lang w:val="en-US" w:eastAsia="zh-CN"/>
        </w:rPr>
        <w:t>单位</w:t>
      </w:r>
      <w:r>
        <w:rPr>
          <w:rFonts w:hint="eastAsia" w:ascii="仿宋_GB2312" w:eastAsia="仿宋_GB2312" w:cs="Arial Black"/>
          <w:kern w:val="0"/>
          <w:sz w:val="32"/>
          <w:szCs w:val="32"/>
        </w:rPr>
        <w:t>”）共</w:t>
      </w:r>
      <w:r>
        <w:rPr>
          <w:rFonts w:ascii="仿宋_GB2312" w:eastAsia="仿宋_GB2312" w:cs="Arial Black"/>
          <w:kern w:val="0"/>
          <w:sz w:val="32"/>
          <w:szCs w:val="32"/>
        </w:rPr>
        <w:t>1</w:t>
      </w:r>
      <w:r>
        <w:rPr>
          <w:rFonts w:hint="eastAsia" w:ascii="仿宋_GB2312" w:eastAsia="仿宋_GB2312" w:cs="Arial Black"/>
          <w:kern w:val="0"/>
          <w:sz w:val="32"/>
          <w:szCs w:val="32"/>
          <w:lang w:val="en-US" w:eastAsia="zh-CN"/>
        </w:rPr>
        <w:t>1</w:t>
      </w:r>
      <w:r>
        <w:rPr>
          <w:rFonts w:hint="eastAsia" w:ascii="仿宋_GB2312" w:eastAsia="仿宋_GB2312" w:cs="Arial Black"/>
          <w:kern w:val="0"/>
          <w:sz w:val="32"/>
          <w:szCs w:val="32"/>
        </w:rPr>
        <w:t>个，具体情况如下：</w:t>
      </w:r>
    </w:p>
    <w:tbl>
      <w:tblPr>
        <w:tblStyle w:val="6"/>
        <w:tblpPr w:leftFromText="180" w:rightFromText="180" w:vertAnchor="text" w:horzAnchor="page" w:tblpX="1345" w:tblpY="611"/>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4470"/>
        <w:gridCol w:w="2145"/>
        <w:gridCol w:w="2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538"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4470"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145"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427"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ascii="仿宋" w:hAnsi="仿宋" w:eastAsia="仿宋" w:cs="仿宋"/>
                <w:kern w:val="0"/>
                <w:szCs w:val="21"/>
              </w:rPr>
            </w:pPr>
            <w:r>
              <w:rPr>
                <w:rFonts w:ascii="仿宋" w:hAnsi="仿宋" w:eastAsia="仿宋" w:cs="仿宋"/>
                <w:kern w:val="0"/>
                <w:szCs w:val="21"/>
              </w:rPr>
              <w:t>1</w:t>
            </w:r>
          </w:p>
        </w:tc>
        <w:tc>
          <w:tcPr>
            <w:tcW w:w="4470" w:type="dxa"/>
          </w:tcPr>
          <w:p>
            <w:pPr>
              <w:spacing w:line="560" w:lineRule="exact"/>
              <w:rPr>
                <w:rFonts w:ascii="仿宋" w:hAnsi="仿宋" w:eastAsia="仿宋" w:cs="仿宋"/>
                <w:kern w:val="0"/>
                <w:szCs w:val="21"/>
              </w:rPr>
            </w:pPr>
            <w:r>
              <w:rPr>
                <w:rFonts w:hint="eastAsia" w:ascii="仿宋" w:hAnsi="仿宋" w:eastAsia="仿宋" w:cs="仿宋"/>
                <w:kern w:val="0"/>
                <w:szCs w:val="21"/>
              </w:rPr>
              <w:t>石家庄市鹿泉区农业</w:t>
            </w:r>
            <w:r>
              <w:rPr>
                <w:rFonts w:hint="eastAsia" w:ascii="仿宋" w:hAnsi="仿宋" w:eastAsia="仿宋" w:cs="仿宋"/>
                <w:kern w:val="0"/>
                <w:szCs w:val="21"/>
                <w:lang w:val="en-US" w:eastAsia="zh-CN"/>
              </w:rPr>
              <w:t>农村</w:t>
            </w:r>
            <w:r>
              <w:rPr>
                <w:rFonts w:hint="eastAsia" w:ascii="仿宋" w:hAnsi="仿宋" w:eastAsia="仿宋" w:cs="仿宋"/>
                <w:kern w:val="0"/>
                <w:szCs w:val="21"/>
              </w:rPr>
              <w:t>局</w:t>
            </w:r>
            <w:r>
              <w:rPr>
                <w:rFonts w:ascii="仿宋" w:hAnsi="仿宋" w:eastAsia="仿宋" w:cs="仿宋"/>
                <w:kern w:val="0"/>
                <w:szCs w:val="21"/>
              </w:rPr>
              <w:t>(</w:t>
            </w:r>
            <w:r>
              <w:rPr>
                <w:rFonts w:hint="eastAsia" w:ascii="仿宋" w:hAnsi="仿宋" w:eastAsia="仿宋" w:cs="仿宋"/>
                <w:kern w:val="0"/>
                <w:szCs w:val="21"/>
              </w:rPr>
              <w:t>本级</w:t>
            </w:r>
            <w:r>
              <w:rPr>
                <w:rFonts w:ascii="仿宋" w:hAnsi="仿宋" w:eastAsia="仿宋" w:cs="仿宋"/>
                <w:kern w:val="0"/>
                <w:szCs w:val="21"/>
              </w:rPr>
              <w:t>)</w:t>
            </w:r>
          </w:p>
        </w:tc>
        <w:tc>
          <w:tcPr>
            <w:tcW w:w="2145" w:type="dxa"/>
          </w:tcPr>
          <w:p>
            <w:pPr>
              <w:spacing w:line="560" w:lineRule="exact"/>
              <w:jc w:val="center"/>
              <w:rPr>
                <w:rFonts w:ascii="仿宋" w:hAnsi="仿宋" w:eastAsia="仿宋" w:cs="仿宋"/>
                <w:kern w:val="0"/>
                <w:szCs w:val="21"/>
              </w:rPr>
            </w:pPr>
            <w:r>
              <w:rPr>
                <w:rFonts w:hint="eastAsia" w:ascii="仿宋" w:hAnsi="仿宋" w:eastAsia="仿宋" w:cs="仿宋"/>
                <w:kern w:val="0"/>
                <w:szCs w:val="21"/>
              </w:rPr>
              <w:t>行政单位</w:t>
            </w:r>
          </w:p>
        </w:tc>
        <w:tc>
          <w:tcPr>
            <w:tcW w:w="2427" w:type="dxa"/>
          </w:tcPr>
          <w:p>
            <w:pPr>
              <w:spacing w:line="560" w:lineRule="exact"/>
              <w:jc w:val="center"/>
              <w:rPr>
                <w:rFonts w:ascii="仿宋" w:hAnsi="仿宋" w:eastAsia="仿宋" w:cs="仿宋"/>
                <w:kern w:val="0"/>
                <w:szCs w:val="21"/>
              </w:rPr>
            </w:pPr>
            <w:r>
              <w:rPr>
                <w:rFonts w:hint="eastAsia" w:ascii="仿宋" w:hAnsi="仿宋" w:eastAsia="仿宋" w:cs="仿宋"/>
                <w:kern w:val="0"/>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ascii="仿宋" w:hAnsi="仿宋" w:eastAsia="仿宋" w:cs="仿宋"/>
                <w:kern w:val="0"/>
                <w:szCs w:val="21"/>
              </w:rPr>
            </w:pPr>
            <w:r>
              <w:rPr>
                <w:rFonts w:ascii="仿宋" w:hAnsi="仿宋" w:eastAsia="仿宋" w:cs="仿宋"/>
                <w:kern w:val="0"/>
                <w:szCs w:val="21"/>
              </w:rPr>
              <w:t>2</w:t>
            </w:r>
          </w:p>
        </w:tc>
        <w:tc>
          <w:tcPr>
            <w:tcW w:w="4470" w:type="dxa"/>
          </w:tcPr>
          <w:p>
            <w:pPr>
              <w:spacing w:line="560" w:lineRule="exact"/>
              <w:rPr>
                <w:rFonts w:ascii="仿宋" w:hAnsi="仿宋" w:eastAsia="仿宋" w:cs="仿宋"/>
                <w:kern w:val="0"/>
                <w:szCs w:val="21"/>
              </w:rPr>
            </w:pPr>
            <w:r>
              <w:rPr>
                <w:rFonts w:hint="eastAsia" w:ascii="仿宋" w:hAnsi="仿宋" w:eastAsia="仿宋" w:cs="仿宋"/>
                <w:kern w:val="0"/>
                <w:szCs w:val="21"/>
              </w:rPr>
              <w:t>石家庄市鹿泉区农业机械化技术推广站</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ascii="仿宋" w:hAnsi="仿宋" w:eastAsia="仿宋" w:cs="仿宋"/>
                <w:kern w:val="0"/>
                <w:szCs w:val="21"/>
              </w:rPr>
            </w:pPr>
            <w:r>
              <w:rPr>
                <w:rFonts w:ascii="仿宋" w:hAnsi="仿宋" w:eastAsia="仿宋" w:cs="仿宋"/>
                <w:kern w:val="0"/>
                <w:szCs w:val="21"/>
              </w:rPr>
              <w:t>3</w:t>
            </w:r>
          </w:p>
        </w:tc>
        <w:tc>
          <w:tcPr>
            <w:tcW w:w="4470" w:type="dxa"/>
          </w:tcPr>
          <w:p>
            <w:pPr>
              <w:spacing w:line="560" w:lineRule="exact"/>
              <w:rPr>
                <w:rFonts w:ascii="仿宋" w:hAnsi="仿宋" w:eastAsia="仿宋" w:cs="仿宋"/>
                <w:kern w:val="0"/>
                <w:szCs w:val="21"/>
              </w:rPr>
            </w:pPr>
            <w:r>
              <w:rPr>
                <w:rFonts w:hint="eastAsia" w:ascii="仿宋" w:hAnsi="仿宋" w:eastAsia="仿宋" w:cs="仿宋"/>
                <w:kern w:val="0"/>
                <w:szCs w:val="21"/>
              </w:rPr>
              <w:t>石家庄市鹿泉区农产品综合质检站</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ascii="仿宋" w:hAnsi="仿宋" w:eastAsia="仿宋" w:cs="仿宋"/>
                <w:kern w:val="0"/>
                <w:szCs w:val="21"/>
              </w:rPr>
            </w:pPr>
            <w:r>
              <w:rPr>
                <w:rFonts w:ascii="仿宋" w:hAnsi="仿宋" w:eastAsia="仿宋" w:cs="仿宋"/>
                <w:kern w:val="0"/>
                <w:szCs w:val="21"/>
              </w:rPr>
              <w:t>4</w:t>
            </w:r>
          </w:p>
        </w:tc>
        <w:tc>
          <w:tcPr>
            <w:tcW w:w="4470" w:type="dxa"/>
          </w:tcPr>
          <w:p>
            <w:pPr>
              <w:spacing w:line="560" w:lineRule="exact"/>
              <w:rPr>
                <w:rFonts w:ascii="仿宋" w:hAnsi="仿宋" w:eastAsia="仿宋" w:cs="仿宋"/>
                <w:kern w:val="0"/>
                <w:szCs w:val="21"/>
              </w:rPr>
            </w:pPr>
            <w:r>
              <w:rPr>
                <w:rFonts w:hint="eastAsia" w:ascii="仿宋" w:hAnsi="仿宋" w:eastAsia="仿宋" w:cs="仿宋"/>
                <w:kern w:val="0"/>
                <w:szCs w:val="21"/>
              </w:rPr>
              <w:t>石家庄市鹿泉区农业技术推广中心</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ascii="仿宋" w:hAnsi="仿宋" w:eastAsia="仿宋" w:cs="仿宋"/>
                <w:kern w:val="0"/>
                <w:szCs w:val="21"/>
              </w:rPr>
            </w:pPr>
            <w:r>
              <w:rPr>
                <w:rFonts w:ascii="仿宋" w:hAnsi="仿宋" w:eastAsia="仿宋" w:cs="仿宋"/>
                <w:kern w:val="0"/>
                <w:szCs w:val="21"/>
              </w:rPr>
              <w:t>5</w:t>
            </w:r>
          </w:p>
        </w:tc>
        <w:tc>
          <w:tcPr>
            <w:tcW w:w="4470" w:type="dxa"/>
          </w:tcPr>
          <w:p>
            <w:pPr>
              <w:spacing w:line="560" w:lineRule="exact"/>
              <w:rPr>
                <w:rFonts w:ascii="仿宋" w:hAnsi="仿宋" w:eastAsia="仿宋" w:cs="仿宋"/>
                <w:kern w:val="0"/>
                <w:szCs w:val="21"/>
              </w:rPr>
            </w:pPr>
            <w:r>
              <w:rPr>
                <w:rFonts w:hint="eastAsia" w:ascii="仿宋" w:hAnsi="仿宋" w:eastAsia="仿宋" w:cs="仿宋"/>
                <w:kern w:val="0"/>
                <w:szCs w:val="21"/>
              </w:rPr>
              <w:t>石家庄市鹿泉区农机安全监理站</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hint="eastAsia" w:ascii="仿宋" w:hAnsi="仿宋" w:eastAsia="仿宋" w:cs="仿宋"/>
                <w:kern w:val="0"/>
                <w:szCs w:val="21"/>
                <w:lang w:val="en-US" w:eastAsia="zh-CN"/>
              </w:rPr>
            </w:pPr>
            <w:r>
              <w:rPr>
                <w:rFonts w:hint="eastAsia" w:ascii="仿宋" w:hAnsi="仿宋" w:eastAsia="仿宋" w:cs="仿宋"/>
                <w:kern w:val="0"/>
                <w:szCs w:val="21"/>
                <w:lang w:val="en-US" w:eastAsia="zh-CN"/>
              </w:rPr>
              <w:t>6</w:t>
            </w:r>
          </w:p>
        </w:tc>
        <w:tc>
          <w:tcPr>
            <w:tcW w:w="4470" w:type="dxa"/>
          </w:tcPr>
          <w:p>
            <w:pPr>
              <w:spacing w:line="560" w:lineRule="exact"/>
              <w:rPr>
                <w:rFonts w:hint="eastAsia" w:ascii="仿宋" w:hAnsi="仿宋" w:eastAsia="仿宋" w:cs="仿宋"/>
                <w:kern w:val="0"/>
                <w:szCs w:val="21"/>
                <w:lang w:eastAsia="zh-CN"/>
              </w:rPr>
            </w:pPr>
            <w:r>
              <w:rPr>
                <w:rFonts w:hint="eastAsia" w:ascii="仿宋" w:hAnsi="仿宋" w:eastAsia="仿宋" w:cs="仿宋"/>
                <w:kern w:val="0"/>
                <w:szCs w:val="21"/>
              </w:rPr>
              <w:t>石家庄市鹿泉区新能源</w:t>
            </w:r>
            <w:r>
              <w:rPr>
                <w:rFonts w:hint="eastAsia" w:ascii="仿宋" w:hAnsi="仿宋" w:eastAsia="仿宋" w:cs="仿宋"/>
                <w:kern w:val="0"/>
                <w:szCs w:val="21"/>
                <w:lang w:val="en-US" w:eastAsia="zh-CN"/>
              </w:rPr>
              <w:t>服务中心</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hint="eastAsia" w:ascii="仿宋" w:hAnsi="仿宋" w:eastAsia="仿宋" w:cs="仿宋"/>
                <w:kern w:val="0"/>
                <w:szCs w:val="21"/>
                <w:lang w:eastAsia="zh-CN"/>
              </w:rPr>
            </w:pPr>
            <w:r>
              <w:rPr>
                <w:rFonts w:hint="eastAsia" w:ascii="仿宋" w:hAnsi="仿宋" w:eastAsia="仿宋" w:cs="仿宋"/>
                <w:kern w:val="0"/>
                <w:szCs w:val="21"/>
                <w:lang w:val="en-US" w:eastAsia="zh-CN"/>
              </w:rPr>
              <w:t>7</w:t>
            </w:r>
          </w:p>
        </w:tc>
        <w:tc>
          <w:tcPr>
            <w:tcW w:w="4470" w:type="dxa"/>
          </w:tcPr>
          <w:p>
            <w:pPr>
              <w:spacing w:line="560" w:lineRule="exact"/>
              <w:rPr>
                <w:rFonts w:ascii="仿宋" w:hAnsi="仿宋" w:eastAsia="仿宋" w:cs="仿宋"/>
                <w:kern w:val="0"/>
                <w:szCs w:val="21"/>
              </w:rPr>
            </w:pPr>
            <w:r>
              <w:rPr>
                <w:rFonts w:hint="eastAsia" w:ascii="仿宋" w:hAnsi="仿宋" w:eastAsia="仿宋" w:cs="仿宋"/>
                <w:kern w:val="0"/>
                <w:szCs w:val="21"/>
              </w:rPr>
              <w:t>河北省农业广播电视学校石家庄市鹿泉区</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hint="eastAsia" w:ascii="仿宋" w:hAnsi="仿宋" w:eastAsia="仿宋" w:cs="仿宋"/>
                <w:kern w:val="0"/>
                <w:szCs w:val="21"/>
                <w:lang w:eastAsia="zh-CN"/>
              </w:rPr>
            </w:pPr>
            <w:r>
              <w:rPr>
                <w:rFonts w:hint="eastAsia" w:ascii="仿宋" w:hAnsi="仿宋" w:eastAsia="仿宋" w:cs="仿宋"/>
                <w:kern w:val="0"/>
                <w:szCs w:val="21"/>
                <w:lang w:val="en-US" w:eastAsia="zh-CN"/>
              </w:rPr>
              <w:t>8</w:t>
            </w:r>
          </w:p>
        </w:tc>
        <w:tc>
          <w:tcPr>
            <w:tcW w:w="4470" w:type="dxa"/>
          </w:tcPr>
          <w:p>
            <w:pPr>
              <w:spacing w:line="560" w:lineRule="exact"/>
              <w:rPr>
                <w:rFonts w:ascii="仿宋" w:hAnsi="仿宋" w:eastAsia="仿宋" w:cs="仿宋"/>
                <w:kern w:val="0"/>
                <w:szCs w:val="21"/>
              </w:rPr>
            </w:pPr>
            <w:r>
              <w:rPr>
                <w:rFonts w:hint="eastAsia" w:ascii="仿宋" w:hAnsi="仿宋" w:eastAsia="仿宋" w:cs="仿宋"/>
                <w:kern w:val="0"/>
                <w:szCs w:val="21"/>
              </w:rPr>
              <w:t>石家庄市鹿泉区植物保护检疫站</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hint="eastAsia" w:ascii="仿宋" w:hAnsi="仿宋" w:eastAsia="仿宋" w:cs="仿宋"/>
                <w:kern w:val="0"/>
                <w:szCs w:val="21"/>
                <w:lang w:eastAsia="zh-CN"/>
              </w:rPr>
            </w:pPr>
            <w:r>
              <w:rPr>
                <w:rFonts w:hint="eastAsia" w:ascii="仿宋" w:hAnsi="仿宋" w:eastAsia="仿宋" w:cs="仿宋"/>
                <w:kern w:val="0"/>
                <w:szCs w:val="21"/>
                <w:lang w:val="en-US" w:eastAsia="zh-CN"/>
              </w:rPr>
              <w:t>9</w:t>
            </w:r>
          </w:p>
        </w:tc>
        <w:tc>
          <w:tcPr>
            <w:tcW w:w="4470" w:type="dxa"/>
          </w:tcPr>
          <w:p>
            <w:pPr>
              <w:spacing w:line="560" w:lineRule="exact"/>
              <w:rPr>
                <w:rFonts w:hint="default" w:ascii="仿宋" w:hAnsi="仿宋" w:eastAsia="仿宋" w:cs="仿宋"/>
                <w:kern w:val="0"/>
                <w:szCs w:val="21"/>
                <w:lang w:val="en-US" w:eastAsia="zh-CN"/>
              </w:rPr>
            </w:pPr>
            <w:r>
              <w:rPr>
                <w:rFonts w:hint="eastAsia" w:ascii="仿宋" w:hAnsi="仿宋" w:eastAsia="仿宋" w:cs="仿宋"/>
                <w:kern w:val="0"/>
                <w:szCs w:val="21"/>
              </w:rPr>
              <w:t>石家庄市鹿泉区水产</w:t>
            </w:r>
            <w:r>
              <w:rPr>
                <w:rFonts w:hint="eastAsia" w:ascii="仿宋" w:hAnsi="仿宋" w:eastAsia="仿宋" w:cs="仿宋"/>
                <w:kern w:val="0"/>
                <w:szCs w:val="21"/>
                <w:lang w:val="en-US" w:eastAsia="zh-CN"/>
              </w:rPr>
              <w:t>技术推广中心</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hint="eastAsia" w:ascii="仿宋" w:hAnsi="仿宋" w:eastAsia="仿宋" w:cs="仿宋"/>
                <w:kern w:val="0"/>
                <w:szCs w:val="21"/>
                <w:lang w:eastAsia="zh-CN"/>
              </w:rPr>
            </w:pPr>
            <w:r>
              <w:rPr>
                <w:rFonts w:ascii="仿宋" w:hAnsi="仿宋" w:eastAsia="仿宋" w:cs="仿宋"/>
                <w:kern w:val="0"/>
                <w:szCs w:val="21"/>
              </w:rPr>
              <w:t>1</w:t>
            </w:r>
            <w:r>
              <w:rPr>
                <w:rFonts w:hint="eastAsia" w:ascii="仿宋" w:hAnsi="仿宋" w:eastAsia="仿宋" w:cs="仿宋"/>
                <w:kern w:val="0"/>
                <w:szCs w:val="21"/>
                <w:lang w:val="en-US" w:eastAsia="zh-CN"/>
              </w:rPr>
              <w:t>0</w:t>
            </w:r>
          </w:p>
        </w:tc>
        <w:tc>
          <w:tcPr>
            <w:tcW w:w="4470" w:type="dxa"/>
          </w:tcPr>
          <w:p>
            <w:pPr>
              <w:spacing w:line="560" w:lineRule="exact"/>
              <w:rPr>
                <w:rFonts w:ascii="仿宋" w:hAnsi="仿宋" w:eastAsia="仿宋" w:cs="仿宋"/>
                <w:kern w:val="0"/>
                <w:szCs w:val="21"/>
              </w:rPr>
            </w:pPr>
            <w:r>
              <w:rPr>
                <w:rFonts w:hint="eastAsia" w:ascii="仿宋" w:hAnsi="仿宋" w:eastAsia="仿宋" w:cs="仿宋"/>
                <w:kern w:val="0"/>
                <w:szCs w:val="21"/>
              </w:rPr>
              <w:t>石家庄市鹿泉区畜禽屠宰定点管理执法队</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tcPr>
          <w:p>
            <w:pPr>
              <w:spacing w:line="560" w:lineRule="exact"/>
              <w:jc w:val="center"/>
              <w:rPr>
                <w:rFonts w:hint="eastAsia" w:ascii="仿宋" w:hAnsi="仿宋" w:eastAsia="仿宋" w:cs="仿宋"/>
                <w:kern w:val="0"/>
                <w:szCs w:val="21"/>
                <w:lang w:eastAsia="zh-CN"/>
              </w:rPr>
            </w:pPr>
            <w:r>
              <w:rPr>
                <w:rFonts w:ascii="仿宋" w:hAnsi="仿宋" w:eastAsia="仿宋" w:cs="仿宋"/>
                <w:kern w:val="0"/>
                <w:szCs w:val="21"/>
              </w:rPr>
              <w:t>1</w:t>
            </w:r>
            <w:r>
              <w:rPr>
                <w:rFonts w:hint="eastAsia" w:ascii="仿宋" w:hAnsi="仿宋" w:eastAsia="仿宋" w:cs="仿宋"/>
                <w:kern w:val="0"/>
                <w:szCs w:val="21"/>
                <w:lang w:val="en-US" w:eastAsia="zh-CN"/>
              </w:rPr>
              <w:t>1</w:t>
            </w:r>
          </w:p>
        </w:tc>
        <w:tc>
          <w:tcPr>
            <w:tcW w:w="4470" w:type="dxa"/>
          </w:tcPr>
          <w:p>
            <w:pPr>
              <w:spacing w:line="560" w:lineRule="exact"/>
              <w:rPr>
                <w:rFonts w:ascii="仿宋" w:hAnsi="仿宋" w:eastAsia="仿宋" w:cs="仿宋"/>
                <w:kern w:val="0"/>
                <w:szCs w:val="21"/>
              </w:rPr>
            </w:pPr>
            <w:r>
              <w:rPr>
                <w:rFonts w:hint="eastAsia" w:ascii="仿宋" w:hAnsi="仿宋" w:eastAsia="仿宋" w:cs="仿宋"/>
                <w:kern w:val="0"/>
                <w:szCs w:val="21"/>
              </w:rPr>
              <w:t>石家庄市鹿泉区</w:t>
            </w:r>
            <w:r>
              <w:rPr>
                <w:rFonts w:hint="eastAsia" w:ascii="仿宋" w:hAnsi="仿宋" w:eastAsia="仿宋" w:cs="仿宋"/>
                <w:kern w:val="0"/>
                <w:szCs w:val="21"/>
                <w:lang w:val="en-US" w:eastAsia="zh-CN"/>
              </w:rPr>
              <w:t>气象灾害</w:t>
            </w:r>
            <w:r>
              <w:rPr>
                <w:rFonts w:hint="eastAsia" w:ascii="仿宋" w:hAnsi="仿宋" w:eastAsia="仿宋" w:cs="仿宋"/>
                <w:kern w:val="0"/>
                <w:szCs w:val="21"/>
              </w:rPr>
              <w:t>防御中心</w:t>
            </w:r>
          </w:p>
        </w:tc>
        <w:tc>
          <w:tcPr>
            <w:tcW w:w="2145" w:type="dxa"/>
          </w:tcPr>
          <w:p>
            <w:pPr>
              <w:spacing w:line="560" w:lineRule="exact"/>
              <w:rPr>
                <w:rFonts w:ascii="仿宋" w:hAnsi="仿宋" w:eastAsia="仿宋" w:cs="仿宋"/>
                <w:kern w:val="0"/>
                <w:szCs w:val="21"/>
              </w:rPr>
            </w:pPr>
            <w:r>
              <w:rPr>
                <w:rFonts w:hint="eastAsia" w:ascii="仿宋" w:hAnsi="仿宋" w:eastAsia="仿宋" w:cs="仿宋"/>
                <w:kern w:val="0"/>
                <w:szCs w:val="21"/>
              </w:rPr>
              <w:t>财政补助事业单位</w:t>
            </w:r>
          </w:p>
        </w:tc>
        <w:tc>
          <w:tcPr>
            <w:tcW w:w="2427" w:type="dxa"/>
          </w:tcPr>
          <w:p>
            <w:pPr>
              <w:spacing w:line="560" w:lineRule="exact"/>
              <w:rPr>
                <w:rFonts w:ascii="仿宋" w:hAnsi="仿宋" w:eastAsia="仿宋" w:cs="仿宋"/>
                <w:kern w:val="0"/>
                <w:szCs w:val="21"/>
              </w:rPr>
            </w:pPr>
            <w:r>
              <w:rPr>
                <w:rFonts w:hint="eastAsia" w:ascii="仿宋" w:hAnsi="仿宋" w:eastAsia="仿宋" w:cs="仿宋"/>
                <w:kern w:val="0"/>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hAnsi="Calibri" w:eastAsia="仿宋_GB2312" w:cs="ArialUnicodeMS"/>
                <w:kern w:val="0"/>
                <w:sz w:val="28"/>
                <w:szCs w:val="28"/>
              </w:rPr>
            </w:pPr>
          </w:p>
        </w:tc>
      </w:tr>
    </w:tbl>
    <w:p/>
    <w:p>
      <w:pPr>
        <w:widowControl/>
        <w:spacing w:after="160" w:line="580" w:lineRule="exact"/>
        <w:ind w:firstLine="420" w:firstLineChars="200"/>
        <w:rPr>
          <w:rFonts w:ascii="Times New Roman" w:hAnsi="Times New Roman" w:eastAsia="黑体"/>
          <w:sz w:val="32"/>
          <w:szCs w:val="32"/>
        </w:rPr>
        <w:sectPr>
          <w:headerReference r:id="rId13" w:type="default"/>
          <w:pgSz w:w="11906" w:h="16838"/>
          <w:pgMar w:top="2098" w:right="1531" w:bottom="1984" w:left="1531" w:header="851" w:footer="992" w:gutter="0"/>
          <w:pgNumType w:fmt="numberInDash"/>
          <w:cols w:space="0" w:num="1"/>
          <w:titlePg/>
          <w:docGrid w:type="lines" w:linePitch="312" w:charSpace="0"/>
        </w:sectPr>
      </w:pPr>
      <w:r>
        <w:pict>
          <v:shape id="_x0000_s1028" o:spid="_x0000_s1028" o:spt="202" type="#_x0000_t202" style="position:absolute;left:0pt;margin-left:-85.7pt;margin-top:238.15pt;height:173.25pt;width:613.65pt;z-index:251658240;mso-width-relative:page;mso-height-relative:page;" filled="f" stroked="f" coordsize="21600,21600">
            <v:path/>
            <v:fill on="f" focussize="0,0"/>
            <v:stroke on="f" weight="0.5pt" joinstyle="miter"/>
            <v:imagedata o:title=""/>
            <o:lock v:ext="edit"/>
            <v:textbox>
              <w:txbxContent>
                <w:p>
                  <w:pPr>
                    <w:widowControl/>
                    <w:jc w:val="center"/>
                    <w:rPr>
                      <w:rFonts w:ascii="黑体" w:hAnsi="黑体" w:eastAsia="黑体" w:cs="黑体"/>
                      <w:color w:val="000000"/>
                      <w:sz w:val="96"/>
                      <w:szCs w:val="96"/>
                    </w:rPr>
                  </w:pPr>
                </w:p>
                <w:p>
                  <w:pPr>
                    <w:widowControl/>
                    <w:jc w:val="center"/>
                    <w:rPr>
                      <w:rFonts w:ascii="黑体" w:hAnsi="黑体" w:eastAsia="黑体" w:cs="黑体"/>
                      <w:color w:val="000000"/>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pict>
          <v:shape id="_x0000_s1029" o:spid="_x0000_s1029" o:spt="202" type="#_x0000_t202" style="position:absolute;left:0pt;margin-left:-80.95pt;margin-top:-207.65pt;height:263.1pt;width:613.65pt;z-index:251659264;v-text-anchor:middle;mso-width-relative:page;mso-height-relative:page;" fillcolor="#7F7F7F" filled="t" stroked="t" coordsize="21600,21600">
            <v:path/>
            <v:fill type="pattern" on="t" focussize="0,0"/>
            <v:stroke weight="1pt" color="#A6A6A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第二部分</w:t>
                  </w:r>
                  <w:r>
                    <w:rPr>
                      <w:rFonts w:ascii="黑体" w:hAnsi="黑体" w:eastAsia="黑体" w:cs="黑体"/>
                      <w:color w:val="000000"/>
                      <w:sz w:val="90"/>
                      <w:szCs w:val="90"/>
                    </w:rPr>
                    <w:t xml:space="preserve"> </w:t>
                  </w:r>
                </w:p>
                <w:p>
                  <w:pPr>
                    <w:widowControl/>
                    <w:jc w:val="center"/>
                    <w:rPr>
                      <w:rFonts w:ascii="黑体" w:hAnsi="黑体" w:eastAsia="黑体" w:cs="黑体"/>
                      <w:color w:val="000000"/>
                      <w:sz w:val="90"/>
                      <w:szCs w:val="90"/>
                    </w:rPr>
                  </w:pPr>
                  <w:r>
                    <w:rPr>
                      <w:rFonts w:ascii="黑体" w:hAnsi="黑体" w:eastAsia="黑体" w:cs="黑体"/>
                      <w:color w:val="000000"/>
                      <w:sz w:val="90"/>
                      <w:szCs w:val="90"/>
                    </w:rPr>
                    <w:t>2020</w:t>
                  </w:r>
                  <w:r>
                    <w:rPr>
                      <w:rFonts w:hint="eastAsia" w:ascii="黑体" w:hAnsi="黑体" w:eastAsia="黑体" w:cs="黑体"/>
                      <w:color w:val="000000"/>
                      <w:sz w:val="90"/>
                      <w:szCs w:val="90"/>
                    </w:rPr>
                    <w:t>年部门决算情况说明</w:t>
                  </w:r>
                </w:p>
                <w:p>
                  <w:pPr>
                    <w:widowControl/>
                    <w:jc w:val="center"/>
                  </w:pPr>
                </w:p>
                <w:p/>
              </w:txbxContent>
            </v:textbox>
          </v:shape>
        </w:pic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eastAsia="黑体"/>
          <w:sz w:val="32"/>
          <w:szCs w:val="32"/>
        </w:rPr>
      </w:pPr>
      <w:r>
        <w:br w:type="page"/>
      </w:r>
      <w:r>
        <w:rPr>
          <w:rFonts w:hint="eastAsia" w:ascii="黑体" w:eastAsia="黑体"/>
          <w:sz w:val="32"/>
          <w:szCs w:val="32"/>
        </w:rPr>
        <w:t>一、收入</w:t>
      </w:r>
      <w:r>
        <w:rPr>
          <w:rFonts w:hint="eastAsia" w:ascii="黑体" w:hAnsi="Cambria" w:eastAsia="黑体" w:cs="黑体"/>
          <w:kern w:val="0"/>
          <w:sz w:val="32"/>
          <w:szCs w:val="32"/>
        </w:rPr>
        <w:t>支出</w:t>
      </w:r>
      <w:r>
        <w:rPr>
          <w:rFonts w:hint="eastAsia" w:ascii="黑体" w:eastAsia="黑体"/>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年度收、支总计（含结转和结余）</w:t>
      </w:r>
      <w:r>
        <w:rPr>
          <w:rFonts w:ascii="仿宋_GB2312" w:hAnsi="Times New Roman" w:eastAsia="仿宋_GB2312" w:cs="Wingdings"/>
          <w:sz w:val="32"/>
          <w:szCs w:val="32"/>
        </w:rPr>
        <w:t>27442.20</w:t>
      </w:r>
      <w:r>
        <w:rPr>
          <w:rFonts w:hint="eastAsia" w:ascii="仿宋_GB2312" w:hAnsi="Times New Roman" w:eastAsia="仿宋_GB2312" w:cs="Wingdings"/>
          <w:sz w:val="32"/>
          <w:szCs w:val="32"/>
        </w:rPr>
        <w:t>万元。与</w:t>
      </w:r>
      <w:r>
        <w:rPr>
          <w:rFonts w:ascii="仿宋_GB2312" w:hAnsi="Times New Roman" w:eastAsia="仿宋_GB2312" w:cs="Wingdings"/>
          <w:sz w:val="32"/>
          <w:szCs w:val="32"/>
        </w:rPr>
        <w:t>2019</w:t>
      </w:r>
      <w:r>
        <w:rPr>
          <w:rFonts w:hint="eastAsia" w:ascii="仿宋_GB2312" w:hAnsi="Times New Roman" w:eastAsia="仿宋_GB2312" w:cs="Wingdings"/>
          <w:sz w:val="32"/>
          <w:szCs w:val="32"/>
        </w:rPr>
        <w:t>年度决算相比，收入增加</w:t>
      </w:r>
      <w:r>
        <w:rPr>
          <w:rFonts w:ascii="仿宋_GB2312" w:hAnsi="Times New Roman" w:eastAsia="仿宋_GB2312" w:cs="Wingdings"/>
          <w:sz w:val="32"/>
          <w:szCs w:val="32"/>
        </w:rPr>
        <w:t>5208.88</w:t>
      </w:r>
      <w:r>
        <w:rPr>
          <w:rFonts w:hint="eastAsia" w:ascii="仿宋_GB2312" w:hAnsi="Times New Roman" w:eastAsia="仿宋_GB2312" w:cs="Wingdings"/>
          <w:sz w:val="32"/>
          <w:szCs w:val="32"/>
        </w:rPr>
        <w:t>万元，增长</w:t>
      </w:r>
      <w:r>
        <w:rPr>
          <w:rFonts w:ascii="仿宋_GB2312" w:hAnsi="Times New Roman" w:eastAsia="仿宋_GB2312" w:cs="Wingdings"/>
          <w:sz w:val="32"/>
          <w:szCs w:val="32"/>
        </w:rPr>
        <w:t>34.55%</w:t>
      </w:r>
      <w:r>
        <w:rPr>
          <w:rFonts w:hint="eastAsia" w:ascii="仿宋_GB2312" w:hAnsi="Times New Roman" w:eastAsia="仿宋_GB2312" w:cs="Wingdings"/>
          <w:sz w:val="32"/>
          <w:szCs w:val="32"/>
        </w:rPr>
        <w:t>，主要原因是本年收到上级项目资金较上年有所增加；支出增加</w:t>
      </w:r>
      <w:r>
        <w:rPr>
          <w:rFonts w:ascii="仿宋_GB2312" w:hAnsi="Times New Roman" w:eastAsia="仿宋_GB2312" w:cs="Wingdings"/>
          <w:sz w:val="32"/>
          <w:szCs w:val="32"/>
        </w:rPr>
        <w:t>6172.82</w:t>
      </w:r>
      <w:r>
        <w:rPr>
          <w:rFonts w:hint="eastAsia" w:ascii="仿宋_GB2312" w:hAnsi="Times New Roman" w:eastAsia="仿宋_GB2312" w:cs="Wingdings"/>
          <w:sz w:val="32"/>
          <w:szCs w:val="32"/>
        </w:rPr>
        <w:t>万元，增长</w:t>
      </w:r>
      <w:r>
        <w:rPr>
          <w:rFonts w:ascii="仿宋_GB2312" w:hAnsi="Times New Roman" w:eastAsia="仿宋_GB2312" w:cs="Wingdings"/>
          <w:sz w:val="32"/>
          <w:szCs w:val="32"/>
        </w:rPr>
        <w:t>32.59%</w:t>
      </w:r>
      <w:r>
        <w:rPr>
          <w:rFonts w:hint="eastAsia" w:ascii="仿宋_GB2312" w:hAnsi="Times New Roman" w:eastAsia="仿宋_GB2312" w:cs="Wingdings"/>
          <w:sz w:val="32"/>
          <w:szCs w:val="32"/>
        </w:rPr>
        <w:t>，主要原因是</w:t>
      </w:r>
      <w:r>
        <w:rPr>
          <w:rFonts w:hint="eastAsia" w:ascii="仿宋_GB2312" w:hAnsi="Times New Roman" w:eastAsia="仿宋_GB2312" w:cs="DengXian-Regular"/>
          <w:sz w:val="32"/>
          <w:szCs w:val="32"/>
        </w:rPr>
        <w:t>结转专项资金的支出增加。</w:t>
      </w:r>
    </w:p>
    <w:p>
      <w:pPr>
        <w:adjustRightInd w:val="0"/>
        <w:snapToGrid w:val="0"/>
        <w:spacing w:line="600" w:lineRule="exact"/>
        <w:rPr>
          <w:rFonts w:ascii="仿宋_GB2312" w:hAnsi="Times New Roman" w:eastAsia="仿宋_GB2312" w:cs="Wingdings"/>
          <w:sz w:val="32"/>
          <w:szCs w:val="32"/>
        </w:rPr>
      </w:pPr>
      <w:r>
        <w:pict>
          <v:shape id="图表 1" o:spid="_x0000_s1037" o:spt="75" type="#_x0000_t75" style="position:absolute;left:0pt;margin-left:45.6pt;margin-top:9pt;height:217.2pt;width:361.2pt;mso-wrap-distance-bottom:0pt;mso-wrap-distance-left:9pt;mso-wrap-distance-right:9pt;mso-wrap-distance-top:0pt;z-index:251663360;mso-width-relative:page;mso-height-relative:page;" filled="f" o:preferrelative="t" stroked="f" coordsize="21600,21600" o:gfxdata="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">
            <v:path/>
            <v:fill on="f" focussize="0,0"/>
            <v:stroke on="f"/>
            <v:imagedata r:id="rId18" o:title=""/>
            <o:lock v:ext="edit" aspectratio="f"/>
            <w10:wrap type="square"/>
          </v:shape>
        </w:pict>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eastAsia="黑体"/>
          <w:sz w:val="32"/>
          <w:szCs w:val="32"/>
        </w:rPr>
      </w:pPr>
    </w:p>
    <w:p>
      <w:pPr>
        <w:rPr>
          <w:rFonts w:ascii="黑体" w:eastAsia="黑体"/>
          <w:sz w:val="32"/>
          <w:szCs w:val="32"/>
        </w:rPr>
      </w:pPr>
    </w:p>
    <w:p>
      <w:pPr>
        <w:rPr>
          <w:rFonts w:ascii="黑体" w:eastAsia="黑体"/>
          <w:sz w:val="32"/>
          <w:szCs w:val="32"/>
        </w:rPr>
      </w:pPr>
    </w:p>
    <w:p>
      <w:pPr>
        <w:rPr>
          <w:rFonts w:ascii="黑体" w:eastAsia="黑体"/>
          <w:sz w:val="32"/>
          <w:szCs w:val="32"/>
        </w:rPr>
      </w:pPr>
    </w:p>
    <w:p>
      <w:pPr>
        <w:keepNext/>
        <w:keepLines/>
        <w:snapToGrid w:val="0"/>
        <w:spacing w:line="600" w:lineRule="exact"/>
        <w:ind w:firstLine="640" w:firstLineChars="200"/>
        <w:outlineLvl w:val="1"/>
        <w:rPr>
          <w:rFonts w:ascii="黑体" w:eastAsia="黑体"/>
          <w:sz w:val="32"/>
          <w:szCs w:val="32"/>
        </w:rPr>
      </w:pPr>
      <w:r>
        <w:rPr>
          <w:rFonts w:hint="eastAsia" w:ascii="黑体" w:eastAsia="黑体"/>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年度本年收入合计</w:t>
      </w:r>
      <w:r>
        <w:rPr>
          <w:rFonts w:ascii="仿宋_GB2312" w:hAnsi="Times New Roman" w:eastAsia="仿宋_GB2312" w:cs="DengXian-Regular"/>
          <w:sz w:val="32"/>
          <w:szCs w:val="32"/>
        </w:rPr>
        <w:t>20287.07</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17619.44</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86.85%</w:t>
      </w:r>
      <w:r>
        <w:rPr>
          <w:rFonts w:hint="eastAsia" w:ascii="仿宋_GB2312" w:hAnsi="Times New Roman" w:eastAsia="仿宋_GB2312" w:cs="DengXian-Regular"/>
          <w:sz w:val="32"/>
          <w:szCs w:val="32"/>
        </w:rPr>
        <w:t>；</w:t>
      </w:r>
      <w:r>
        <w:rPr>
          <w:rFonts w:hint="eastAsia" w:ascii="仿宋_GB2312" w:hAnsi="Times New Roman" w:eastAsia="仿宋_GB2312" w:cs="Wingdings"/>
          <w:color w:val="000000"/>
          <w:sz w:val="32"/>
          <w:szCs w:val="32"/>
        </w:rPr>
        <w:t>上级补助收入</w:t>
      </w:r>
      <w:r>
        <w:rPr>
          <w:rFonts w:ascii="仿宋_GB2312" w:hAnsi="Times New Roman" w:eastAsia="仿宋_GB2312" w:cs="Wingdings"/>
          <w:color w:val="000000"/>
          <w:sz w:val="32"/>
          <w:szCs w:val="32"/>
        </w:rPr>
        <w:t>0</w:t>
      </w:r>
      <w:r>
        <w:rPr>
          <w:rFonts w:hint="eastAsia" w:ascii="仿宋_GB2312" w:hAnsi="Times New Roman" w:eastAsia="仿宋_GB2312" w:cs="Wingdings"/>
          <w:color w:val="000000"/>
          <w:sz w:val="32"/>
          <w:szCs w:val="32"/>
        </w:rPr>
        <w:t>万元，占</w:t>
      </w:r>
      <w:r>
        <w:rPr>
          <w:rFonts w:ascii="仿宋_GB2312" w:hAnsi="Times New Roman" w:eastAsia="仿宋_GB2312" w:cs="Wingdings"/>
          <w:color w:val="000000"/>
          <w:sz w:val="32"/>
          <w:szCs w:val="32"/>
        </w:rPr>
        <w:t>0%</w:t>
      </w:r>
      <w:r>
        <w:rPr>
          <w:rFonts w:hint="eastAsia" w:ascii="仿宋_GB2312" w:hAnsi="Times New Roman" w:eastAsia="仿宋_GB2312" w:cs="Wingdings"/>
          <w:color w:val="000000"/>
          <w:sz w:val="32"/>
          <w:szCs w:val="32"/>
        </w:rPr>
        <w:t>；</w:t>
      </w:r>
      <w:r>
        <w:rPr>
          <w:rFonts w:hint="eastAsia" w:ascii="仿宋_GB2312" w:hAnsi="Times New Roman" w:eastAsia="仿宋_GB2312" w:cs="DengXian-Regular"/>
          <w:sz w:val="32"/>
          <w:szCs w:val="32"/>
        </w:rPr>
        <w:t>事业收入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；经营收入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w:t>
      </w:r>
      <w:r>
        <w:rPr>
          <w:rFonts w:hint="eastAsia" w:ascii="仿宋_GB2312" w:hAnsi="Times New Roman" w:eastAsia="仿宋_GB2312" w:cs="Wingdings"/>
          <w:color w:val="000000"/>
          <w:sz w:val="32"/>
          <w:szCs w:val="32"/>
        </w:rPr>
        <w:t>附属部门上缴收入</w:t>
      </w:r>
      <w:r>
        <w:rPr>
          <w:rFonts w:ascii="仿宋_GB2312" w:hAnsi="Times New Roman" w:eastAsia="仿宋_GB2312" w:cs="Wingdings"/>
          <w:color w:val="000000"/>
          <w:sz w:val="32"/>
          <w:szCs w:val="32"/>
        </w:rPr>
        <w:t>0</w:t>
      </w:r>
      <w:r>
        <w:rPr>
          <w:rFonts w:hint="eastAsia" w:ascii="仿宋_GB2312" w:hAnsi="Times New Roman" w:eastAsia="仿宋_GB2312" w:cs="Wingdings"/>
          <w:color w:val="000000"/>
          <w:sz w:val="32"/>
          <w:szCs w:val="32"/>
        </w:rPr>
        <w:t>万元，占</w:t>
      </w:r>
      <w:r>
        <w:rPr>
          <w:rFonts w:ascii="仿宋_GB2312" w:hAnsi="Times New Roman" w:eastAsia="仿宋_GB2312" w:cs="Wingdings"/>
          <w:color w:val="000000"/>
          <w:sz w:val="32"/>
          <w:szCs w:val="32"/>
        </w:rPr>
        <w:t>0%</w:t>
      </w:r>
      <w:r>
        <w:rPr>
          <w:rFonts w:hint="eastAsia" w:ascii="仿宋_GB2312" w:hAnsi="Times New Roman" w:eastAsia="仿宋_GB2312" w:cs="Wingdings"/>
          <w:color w:val="000000"/>
          <w:sz w:val="32"/>
          <w:szCs w:val="32"/>
        </w:rPr>
        <w:t>；</w:t>
      </w:r>
      <w:r>
        <w:rPr>
          <w:rFonts w:hint="eastAsia" w:ascii="仿宋_GB2312" w:hAnsi="Times New Roman" w:eastAsia="仿宋_GB2312" w:cs="DengXian-Regular"/>
          <w:sz w:val="32"/>
          <w:szCs w:val="32"/>
        </w:rPr>
        <w:t>其他收入</w:t>
      </w:r>
      <w:r>
        <w:rPr>
          <w:rFonts w:ascii="仿宋_GB2312" w:hAnsi="Times New Roman" w:eastAsia="仿宋_GB2312" w:cs="DengXian-Regular"/>
          <w:sz w:val="32"/>
          <w:szCs w:val="32"/>
        </w:rPr>
        <w:t>2667.63</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13.15%</w:t>
      </w:r>
      <w:r>
        <w:rPr>
          <w:rFonts w:hint="eastAsia" w:ascii="仿宋_GB2312" w:hAnsi="Times New Roman" w:eastAsia="仿宋_GB2312" w:cs="DengXian-Regular"/>
          <w:sz w:val="32"/>
          <w:szCs w:val="32"/>
        </w:rPr>
        <w:t>。如图所示</w:t>
      </w:r>
      <w:r>
        <w:rPr>
          <w:rFonts w:ascii="仿宋_GB2312" w:hAnsi="Times New Roman" w:eastAsia="仿宋_GB2312" w:cs="DengXian-Regular"/>
          <w:sz w:val="32"/>
          <w:szCs w:val="32"/>
        </w:rPr>
        <w:t>:</w:t>
      </w:r>
    </w:p>
    <w:p>
      <w:pPr>
        <w:adjustRightInd w:val="0"/>
        <w:snapToGrid w:val="0"/>
        <w:spacing w:line="580" w:lineRule="exact"/>
        <w:ind w:firstLine="420" w:firstLineChars="200"/>
        <w:rPr>
          <w:rFonts w:ascii="仿宋_GB2312" w:hAnsi="Times New Roman" w:eastAsia="仿宋_GB2312" w:cs="DengXian-Regular"/>
          <w:sz w:val="32"/>
          <w:szCs w:val="32"/>
        </w:rPr>
      </w:pPr>
      <w:r>
        <w:pict>
          <v:shape id="图表 2" o:spid="_x0000_s1038" o:spt="75" type="#_x0000_t75" style="position:absolute;left:0pt;margin-left:43.8pt;margin-top:10.9pt;height:217.2pt;width:361.2pt;mso-wrap-distance-bottom:0pt;mso-wrap-distance-left:9pt;mso-wrap-distance-right:9pt;mso-wrap-distance-top:0pt;z-index:251664384;mso-width-relative:page;mso-height-relative:page;" filled="f" o:preferrelative="t" stroked="f" coordsize="21600,21600" o:gfxdata="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">
            <v:path/>
            <v:fill on="f" focussize="0,0"/>
            <v:stroke on="f"/>
            <v:imagedata r:id="rId19" o:title=""/>
            <o:lock v:ext="edit" aspectratio="f"/>
            <w10:wrap type="square"/>
          </v:shape>
        </w:pict>
      </w: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r>
        <w:rPr>
          <w:rFonts w:hint="eastAsia" w:ascii="黑体" w:eastAsia="黑体"/>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年度本年支出合计</w:t>
      </w:r>
      <w:r>
        <w:rPr>
          <w:rFonts w:ascii="仿宋_GB2312" w:hAnsi="Times New Roman" w:eastAsia="仿宋_GB2312" w:cs="Wingdings"/>
          <w:sz w:val="32"/>
          <w:szCs w:val="32"/>
        </w:rPr>
        <w:t>25113.84</w:t>
      </w:r>
      <w:r>
        <w:rPr>
          <w:rFonts w:hint="eastAsia" w:ascii="仿宋_GB2312" w:hAnsi="Times New Roman" w:eastAsia="仿宋_GB2312" w:cs="Wingdings"/>
          <w:sz w:val="32"/>
          <w:szCs w:val="32"/>
        </w:rPr>
        <w:t>万元，其中：基本支出</w:t>
      </w:r>
      <w:r>
        <w:rPr>
          <w:rFonts w:ascii="仿宋_GB2312" w:hAnsi="Times New Roman" w:eastAsia="仿宋_GB2312" w:cs="Wingdings"/>
          <w:sz w:val="32"/>
          <w:szCs w:val="32"/>
        </w:rPr>
        <w:t>3845.53</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15.31%</w:t>
      </w:r>
      <w:r>
        <w:rPr>
          <w:rFonts w:hint="eastAsia" w:ascii="仿宋_GB2312" w:hAnsi="Times New Roman" w:eastAsia="仿宋_GB2312" w:cs="Wingdings"/>
          <w:sz w:val="32"/>
          <w:szCs w:val="32"/>
        </w:rPr>
        <w:t>；项目支出</w:t>
      </w:r>
      <w:r>
        <w:rPr>
          <w:rFonts w:ascii="仿宋_GB2312" w:hAnsi="Times New Roman" w:eastAsia="仿宋_GB2312" w:cs="Wingdings"/>
          <w:sz w:val="32"/>
          <w:szCs w:val="32"/>
        </w:rPr>
        <w:t>21268.31</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84.69%</w:t>
      </w:r>
      <w:r>
        <w:rPr>
          <w:rFonts w:hint="eastAsia" w:ascii="仿宋_GB2312" w:hAnsi="Times New Roman" w:eastAsia="仿宋_GB2312" w:cs="Wingdings"/>
          <w:sz w:val="32"/>
          <w:szCs w:val="32"/>
        </w:rPr>
        <w:t>；上缴上级支出</w:t>
      </w:r>
      <w:r>
        <w:rPr>
          <w:rFonts w:ascii="仿宋_GB2312" w:hAnsi="Times New Roman" w:eastAsia="仿宋_GB2312" w:cs="Wingdings"/>
          <w:sz w:val="32"/>
          <w:szCs w:val="32"/>
        </w:rPr>
        <w:t>0</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0%</w:t>
      </w:r>
      <w:r>
        <w:rPr>
          <w:rFonts w:hint="eastAsia" w:ascii="仿宋_GB2312" w:hAnsi="Times New Roman" w:eastAsia="仿宋_GB2312" w:cs="Wingdings"/>
          <w:sz w:val="32"/>
          <w:szCs w:val="32"/>
        </w:rPr>
        <w:t>；经营支出</w:t>
      </w:r>
      <w:r>
        <w:rPr>
          <w:rFonts w:ascii="仿宋_GB2312" w:hAnsi="Times New Roman" w:eastAsia="仿宋_GB2312" w:cs="Wingdings"/>
          <w:sz w:val="32"/>
          <w:szCs w:val="32"/>
        </w:rPr>
        <w:t>0</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0%</w:t>
      </w:r>
      <w:r>
        <w:rPr>
          <w:rFonts w:hint="eastAsia" w:ascii="仿宋_GB2312" w:hAnsi="Times New Roman" w:eastAsia="仿宋_GB2312" w:cs="Wingdings"/>
          <w:sz w:val="32"/>
          <w:szCs w:val="32"/>
        </w:rPr>
        <w:t>；对附属部门补助支出</w:t>
      </w:r>
      <w:r>
        <w:rPr>
          <w:rFonts w:ascii="仿宋_GB2312" w:hAnsi="Times New Roman" w:eastAsia="仿宋_GB2312" w:cs="Wingdings"/>
          <w:sz w:val="32"/>
          <w:szCs w:val="32"/>
        </w:rPr>
        <w:t>0</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0%</w:t>
      </w:r>
      <w:r>
        <w:rPr>
          <w:rFonts w:hint="eastAsia" w:ascii="仿宋_GB2312" w:hAnsi="Times New Roman" w:eastAsia="仿宋_GB2312" w:cs="Wingdings"/>
          <w:sz w:val="32"/>
          <w:szCs w:val="32"/>
        </w:rPr>
        <w:t>。如图所示：</w:t>
      </w:r>
    </w:p>
    <w:p>
      <w:pPr>
        <w:adjustRightInd w:val="0"/>
        <w:snapToGrid w:val="0"/>
        <w:spacing w:line="600" w:lineRule="exact"/>
        <w:rPr>
          <w:rFonts w:ascii="仿宋_GB2312" w:hAnsi="Times New Roman" w:eastAsia="仿宋_GB2312" w:cs="Wingdings"/>
          <w:sz w:val="32"/>
          <w:szCs w:val="32"/>
        </w:rPr>
      </w:pPr>
      <w:r>
        <w:pict>
          <v:shape id="图表 3" o:spid="_x0000_s1039" o:spt="75" type="#_x0000_t75" style="position:absolute;left:0pt;margin-left:50.4pt;margin-top:6pt;height:217.2pt;width:361.2pt;mso-wrap-distance-bottom:0pt;mso-wrap-distance-left:9pt;mso-wrap-distance-right:9pt;mso-wrap-distance-top:0pt;z-index:251665408;mso-width-relative:page;mso-height-relative:page;" filled="f" o:preferrelative="t" stroked="f" coordsize="21600,21600" o:gfxdata="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">
            <v:path/>
            <v:fill on="f" focussize="0,0"/>
            <v:stroke on="f"/>
            <v:imagedata r:id="rId20" o:title=""/>
            <o:lock v:ext="edit" aspectratio="f"/>
            <w10:wrap type="square"/>
          </v:shape>
        </w:pict>
      </w: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keepNext/>
        <w:keepLines/>
        <w:snapToGrid w:val="0"/>
        <w:spacing w:line="600" w:lineRule="exact"/>
        <w:ind w:firstLine="640" w:firstLineChars="200"/>
        <w:outlineLvl w:val="1"/>
        <w:rPr>
          <w:rFonts w:ascii="黑体" w:eastAsia="黑体"/>
          <w:sz w:val="32"/>
          <w:szCs w:val="32"/>
        </w:rPr>
      </w:pPr>
      <w:r>
        <w:rPr>
          <w:rFonts w:hint="eastAsia" w:ascii="黑体" w:eastAsia="黑体"/>
          <w:sz w:val="32"/>
          <w:szCs w:val="32"/>
        </w:rPr>
        <w:t>四、</w:t>
      </w:r>
      <w:r>
        <w:rPr>
          <w:rFonts w:hint="eastAsia" w:ascii="黑体" w:hAnsi="Cambria" w:eastAsia="黑体" w:cs="黑体"/>
          <w:kern w:val="0"/>
          <w:sz w:val="32"/>
          <w:szCs w:val="32"/>
        </w:rPr>
        <w:t>财政</w:t>
      </w:r>
      <w:r>
        <w:rPr>
          <w:rFonts w:hint="eastAsia" w:ascii="黑体" w:eastAsia="黑体"/>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w:t>
      </w:r>
      <w:r>
        <w:rPr>
          <w:rFonts w:ascii="楷体_GB2312" w:hAnsi="Times New Roman" w:eastAsia="楷体_GB2312" w:cs="Mongolian Baiti"/>
          <w:b/>
          <w:bCs/>
          <w:sz w:val="32"/>
          <w:szCs w:val="32"/>
        </w:rPr>
        <w:t>2019</w:t>
      </w:r>
      <w:r>
        <w:rPr>
          <w:rFonts w:hint="eastAsia" w:ascii="楷体_GB2312" w:hAnsi="Times New Roman" w:eastAsia="楷体_GB2312" w:cs="Mongolian Baiti"/>
          <w:b/>
          <w:bCs/>
          <w:sz w:val="32"/>
          <w:szCs w:val="32"/>
        </w:rPr>
        <w:t>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年度财政拨款本年收入</w:t>
      </w:r>
      <w:r>
        <w:rPr>
          <w:rFonts w:ascii="仿宋_GB2312" w:hAnsi="Times New Roman" w:eastAsia="仿宋_GB2312" w:cs="DengXian-Regular"/>
          <w:sz w:val="32"/>
          <w:szCs w:val="32"/>
        </w:rPr>
        <w:t>17619.44</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年度增加</w:t>
      </w:r>
      <w:r>
        <w:rPr>
          <w:rFonts w:ascii="仿宋_GB2312" w:hAnsi="Times New Roman" w:eastAsia="仿宋_GB2312" w:cs="DengXian-Regular"/>
          <w:sz w:val="32"/>
          <w:szCs w:val="32"/>
        </w:rPr>
        <w:t>3201.08</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22.20%</w:t>
      </w:r>
      <w:r>
        <w:rPr>
          <w:rFonts w:hint="eastAsia" w:ascii="仿宋_GB2312" w:hAnsi="Times New Roman" w:eastAsia="仿宋_GB2312" w:cs="DengXian-Regular"/>
          <w:sz w:val="32"/>
          <w:szCs w:val="32"/>
        </w:rPr>
        <w:t>，主要是项目资金收入增加；本年支出</w:t>
      </w:r>
      <w:r>
        <w:rPr>
          <w:rFonts w:ascii="仿宋_GB2312" w:hAnsi="Times New Roman" w:eastAsia="仿宋_GB2312" w:cs="DengXian-Regular"/>
          <w:sz w:val="32"/>
          <w:szCs w:val="32"/>
        </w:rPr>
        <w:t>22442.01</w:t>
      </w:r>
      <w:r>
        <w:rPr>
          <w:rFonts w:hint="eastAsia" w:ascii="仿宋_GB2312" w:hAnsi="Times New Roman" w:eastAsia="仿宋_GB2312" w:cs="DengXian-Regular"/>
          <w:sz w:val="32"/>
          <w:szCs w:val="32"/>
        </w:rPr>
        <w:t>万元，增加</w:t>
      </w:r>
      <w:r>
        <w:rPr>
          <w:rFonts w:ascii="仿宋_GB2312" w:hAnsi="Times New Roman" w:eastAsia="仿宋_GB2312" w:cs="DengXian-Regular"/>
          <w:sz w:val="32"/>
          <w:szCs w:val="32"/>
        </w:rPr>
        <w:t>4160.82</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22.76%</w:t>
      </w:r>
      <w:r>
        <w:rPr>
          <w:rFonts w:hint="eastAsia" w:ascii="仿宋_GB2312" w:hAnsi="Times New Roman" w:eastAsia="仿宋_GB2312" w:cs="DengXian-Regular"/>
          <w:sz w:val="32"/>
          <w:szCs w:val="32"/>
        </w:rPr>
        <w:t>，主要是结转项目资金支出增加。具体情况如下：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ascii="仿宋_GB2312" w:hAnsi="Times New Roman" w:eastAsia="仿宋_GB2312" w:cs="DengXian-Regular"/>
          <w:sz w:val="32"/>
          <w:szCs w:val="32"/>
        </w:rPr>
        <w:t>15694.47</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1316.11</w:t>
      </w:r>
      <w:r>
        <w:rPr>
          <w:rFonts w:hint="eastAsia" w:ascii="仿宋_GB2312" w:hAnsi="Times New Roman" w:eastAsia="仿宋_GB2312" w:cs="DengXian-Regular"/>
          <w:sz w:val="32"/>
          <w:szCs w:val="32"/>
        </w:rPr>
        <w:t>万元；主要是项目资金收入增加；本年支出</w:t>
      </w:r>
      <w:r>
        <w:rPr>
          <w:rFonts w:ascii="仿宋_GB2312" w:hAnsi="Times New Roman" w:eastAsia="仿宋_GB2312" w:cs="DengXian-Regular"/>
          <w:sz w:val="32"/>
          <w:szCs w:val="32"/>
        </w:rPr>
        <w:t>20477.04</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2195.85</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12.01%</w:t>
      </w:r>
      <w:r>
        <w:rPr>
          <w:rFonts w:hint="eastAsia" w:ascii="仿宋_GB2312" w:hAnsi="Times New Roman" w:eastAsia="仿宋_GB2312" w:cs="DengXian-Regular"/>
          <w:sz w:val="32"/>
          <w:szCs w:val="32"/>
        </w:rPr>
        <w:t>，主要是结转项目资金支出增加。</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ascii="仿宋_GB2312" w:hAnsi="Times New Roman" w:eastAsia="仿宋_GB2312" w:cs="DengXian-Regular"/>
          <w:sz w:val="32"/>
          <w:szCs w:val="32"/>
        </w:rPr>
        <w:t>1924.97</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1884.97</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4712.42%</w:t>
      </w:r>
      <w:r>
        <w:rPr>
          <w:rFonts w:hint="eastAsia" w:ascii="仿宋_GB2312" w:hAnsi="Times New Roman" w:eastAsia="仿宋_GB2312" w:cs="DengXian-Regular"/>
          <w:sz w:val="32"/>
          <w:szCs w:val="32"/>
        </w:rPr>
        <w:t>，主要原因是年初预算安排政府性基金项目增加；本年支出</w:t>
      </w:r>
      <w:r>
        <w:rPr>
          <w:rFonts w:ascii="仿宋_GB2312" w:hAnsi="Times New Roman" w:eastAsia="仿宋_GB2312" w:cs="DengXian-Regular"/>
          <w:sz w:val="32"/>
          <w:szCs w:val="32"/>
        </w:rPr>
        <w:t>1964.97</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1964.97</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，主要原因是将</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年度当年政府性基金项目和</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年度结转的政府性基金项目全部支出。</w: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r>
        <w:pict>
          <v:shape id="图表 4" o:spid="_x0000_s1040" o:spt="75" type="#_x0000_t75" style="position:absolute;left:0pt;margin-left:43.8pt;margin-top:3.95pt;height:217.2pt;width:361.2pt;mso-wrap-distance-bottom:0pt;mso-wrap-distance-left:9pt;mso-wrap-distance-right:9pt;mso-wrap-distance-top:0pt;z-index:251666432;mso-width-relative:page;mso-height-relative:page;" filled="f" o:preferrelative="t" stroked="f" coordsize="21600,21600" o:gfxdata="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">
            <v:path/>
            <v:fill on="f" focussize="0,0"/>
            <v:stroke on="f"/>
            <v:imagedata r:id="rId21" o:title=""/>
            <o:lock v:ext="edit" aspectratio="f"/>
            <w10:wrap type="square"/>
          </v:shape>
        </w:pic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年度财政拨款本年收入</w:t>
      </w:r>
      <w:r>
        <w:rPr>
          <w:rFonts w:ascii="仿宋_GB2312" w:hAnsi="Times New Roman" w:eastAsia="仿宋_GB2312" w:cs="DengXian-Regular"/>
          <w:sz w:val="32"/>
          <w:szCs w:val="32"/>
        </w:rPr>
        <w:t>17619.44</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112.36%,</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1938.09</w:t>
      </w:r>
      <w:r>
        <w:rPr>
          <w:rFonts w:hint="eastAsia" w:ascii="仿宋_GB2312" w:hAnsi="Times New Roman" w:eastAsia="仿宋_GB2312" w:cs="DengXian-Regular"/>
          <w:sz w:val="32"/>
          <w:szCs w:val="32"/>
        </w:rPr>
        <w:t>万元，决算数大于预算数主要原因是年中收到上级下达项目资金；本年支出</w:t>
      </w:r>
      <w:r>
        <w:rPr>
          <w:rFonts w:ascii="仿宋_GB2312" w:hAnsi="Times New Roman" w:eastAsia="仿宋_GB2312" w:cs="DengXian-Regular"/>
          <w:sz w:val="32"/>
          <w:szCs w:val="32"/>
        </w:rPr>
        <w:t>22442.01</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143.11%,</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6760.66</w:t>
      </w:r>
      <w:r>
        <w:rPr>
          <w:rFonts w:hint="eastAsia" w:ascii="仿宋_GB2312" w:hAnsi="Times New Roman" w:eastAsia="仿宋_GB2312" w:cs="DengXian-Regular"/>
          <w:sz w:val="32"/>
          <w:szCs w:val="32"/>
        </w:rPr>
        <w:t>万元，决算数大于预算数主要原因是主要是结转项目资金支出，且年中收到上级下达项目资金并部分支出。具体情况如下：</w:t>
      </w:r>
    </w:p>
    <w:p>
      <w:pPr>
        <w:adjustRightInd w:val="0"/>
        <w:snapToGrid w:val="0"/>
        <w:spacing w:line="580" w:lineRule="exact"/>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    1.</w:t>
      </w:r>
      <w:r>
        <w:rPr>
          <w:rFonts w:hint="eastAsia" w:ascii="仿宋_GB2312" w:hAnsi="Times New Roman" w:eastAsia="仿宋_GB2312" w:cs="DengXian-Regular"/>
          <w:sz w:val="32"/>
          <w:szCs w:val="32"/>
        </w:rPr>
        <w:t>一般公共预算财政拨款本年收入</w:t>
      </w:r>
      <w:r>
        <w:rPr>
          <w:rFonts w:ascii="仿宋_GB2312" w:hAnsi="Times New Roman" w:eastAsia="仿宋_GB2312" w:cs="DengXian-Regular"/>
          <w:sz w:val="32"/>
          <w:szCs w:val="32"/>
        </w:rPr>
        <w:t>15694.47</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完成年初预算</w:t>
      </w:r>
      <w:r>
        <w:rPr>
          <w:rFonts w:ascii="仿宋_GB2312" w:hAnsi="Times New Roman" w:eastAsia="仿宋_GB2312" w:cs="DengXian-Regular"/>
          <w:sz w:val="32"/>
          <w:szCs w:val="32"/>
        </w:rPr>
        <w:t>114.09%</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1938.12</w:t>
      </w:r>
      <w:r>
        <w:rPr>
          <w:rFonts w:hint="eastAsia" w:ascii="仿宋_GB2312" w:hAnsi="Times New Roman" w:eastAsia="仿宋_GB2312" w:cs="DengXian-Regular"/>
          <w:sz w:val="32"/>
          <w:szCs w:val="32"/>
        </w:rPr>
        <w:t>万元，主要是年中收到上级下达项目资金；本年支出</w:t>
      </w:r>
      <w:r>
        <w:rPr>
          <w:rFonts w:ascii="仿宋_GB2312" w:hAnsi="Times New Roman" w:eastAsia="仿宋_GB2312" w:cs="DengXian-Regular"/>
          <w:sz w:val="32"/>
          <w:szCs w:val="32"/>
        </w:rPr>
        <w:t>20477.04</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支出完成年初预算</w:t>
      </w:r>
      <w:r>
        <w:rPr>
          <w:rFonts w:ascii="仿宋_GB2312" w:hAnsi="Times New Roman" w:eastAsia="仿宋_GB2312" w:cs="DengXian-Regular"/>
          <w:sz w:val="32"/>
          <w:szCs w:val="32"/>
        </w:rPr>
        <w:t>148.85%</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6720.69</w:t>
      </w:r>
      <w:r>
        <w:rPr>
          <w:rFonts w:hint="eastAsia" w:ascii="仿宋_GB2312" w:hAnsi="Times New Roman" w:eastAsia="仿宋_GB2312" w:cs="DengXian-Regular"/>
          <w:sz w:val="32"/>
          <w:szCs w:val="32"/>
        </w:rPr>
        <w:t>万元，主要是结转项目资金支出，且年中收到上级下达项目资金并部分支出。</w:t>
      </w:r>
    </w:p>
    <w:p>
      <w:pPr>
        <w:adjustRightInd w:val="0"/>
        <w:snapToGrid w:val="0"/>
        <w:spacing w:line="580" w:lineRule="exact"/>
        <w:ind w:firstLine="640"/>
        <w:rPr>
          <w:rFonts w:hint="eastAsia" w:ascii="仿宋_GB2312" w:hAnsi="Times New Roman" w:eastAsia="仿宋_GB2312" w:cs="DengXian-Regular"/>
          <w:sz w:val="32"/>
          <w:szCs w:val="32"/>
        </w:rPr>
      </w:pPr>
      <w:r>
        <w:pict>
          <v:shape id="图表 5" o:spid="_x0000_s1041" o:spt="75" type="#_x0000_t75" style="position:absolute;left:0pt;margin-left:36.8pt;margin-top:88.75pt;height:217.2pt;width:361.2pt;mso-wrap-distance-bottom:0pt;mso-wrap-distance-left:9pt;mso-wrap-distance-right:9pt;mso-wrap-distance-top:0pt;z-index:251667456;mso-width-relative:page;mso-height-relative:page;" filled="f" o:preferrelative="t" stroked="f" coordsize="21600,21600" o:gfxdata="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">
            <v:path/>
            <v:fill on="f" focussize="0,0"/>
            <v:stroke on="f"/>
            <v:imagedata r:id="rId22" o:title=""/>
            <o:lock v:ext="edit" aspectratio="f"/>
            <w10:wrap type="square"/>
          </v:shape>
        </w:pic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政府性基金预算财政拨款本年收入</w:t>
      </w:r>
      <w:r>
        <w:rPr>
          <w:rFonts w:ascii="仿宋_GB2312" w:hAnsi="Times New Roman" w:eastAsia="仿宋_GB2312" w:cs="DengXian-Regular"/>
          <w:sz w:val="32"/>
          <w:szCs w:val="32"/>
        </w:rPr>
        <w:t>1924.97</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完成年初预算</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，与年初预算持平；本年支出</w:t>
      </w:r>
      <w:r>
        <w:rPr>
          <w:rFonts w:ascii="仿宋_GB2312" w:hAnsi="Times New Roman" w:eastAsia="仿宋_GB2312" w:cs="DengXian-Regular"/>
          <w:sz w:val="32"/>
          <w:szCs w:val="32"/>
        </w:rPr>
        <w:t>1964.97</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完成年初预算</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，与年初预算持平。</w:t>
      </w:r>
    </w:p>
    <w:p>
      <w:pPr>
        <w:adjustRightInd w:val="0"/>
        <w:snapToGrid w:val="0"/>
        <w:spacing w:line="580" w:lineRule="exact"/>
        <w:ind w:firstLine="640"/>
        <w:rPr>
          <w:rFonts w:hint="eastAsia" w:ascii="仿宋_GB2312" w:hAnsi="Times New Roman" w:eastAsia="仿宋_GB2312" w:cs="DengXian-Regular"/>
          <w:sz w:val="32"/>
          <w:szCs w:val="32"/>
        </w:rPr>
      </w:pPr>
    </w:p>
    <w:p>
      <w:pPr>
        <w:adjustRightInd w:val="0"/>
        <w:snapToGrid w:val="0"/>
        <w:spacing w:line="580" w:lineRule="exact"/>
        <w:ind w:firstLine="640"/>
        <w:rPr>
          <w:rFonts w:hint="eastAsia" w:ascii="仿宋_GB2312" w:hAnsi="Times New Roman" w:eastAsia="仿宋_GB2312" w:cs="DengXian-Regular"/>
          <w:sz w:val="32"/>
          <w:szCs w:val="32"/>
        </w:rPr>
      </w:pPr>
    </w:p>
    <w:p>
      <w:pPr>
        <w:adjustRightInd w:val="0"/>
        <w:snapToGrid w:val="0"/>
        <w:spacing w:line="580" w:lineRule="exact"/>
        <w:ind w:firstLine="640"/>
        <w:rPr>
          <w:rFonts w:hint="eastAsia" w:ascii="仿宋_GB2312" w:hAnsi="Times New Roman" w:eastAsia="仿宋_GB2312" w:cs="DengXian-Regular"/>
          <w:sz w:val="32"/>
          <w:szCs w:val="32"/>
        </w:rPr>
      </w:pPr>
    </w:p>
    <w:p>
      <w:pPr>
        <w:adjustRightInd w:val="0"/>
        <w:snapToGrid w:val="0"/>
        <w:spacing w:line="580" w:lineRule="exact"/>
        <w:ind w:firstLine="640"/>
        <w:rPr>
          <w:rFonts w:hint="eastAsia" w:ascii="仿宋_GB2312" w:hAnsi="Times New Roman" w:eastAsia="仿宋_GB2312" w:cs="DengXian-Regular"/>
          <w:sz w:val="32"/>
          <w:szCs w:val="32"/>
        </w:rPr>
      </w:pPr>
    </w:p>
    <w:p>
      <w:pPr>
        <w:adjustRightInd w:val="0"/>
        <w:snapToGrid w:val="0"/>
        <w:spacing w:line="580" w:lineRule="exact"/>
        <w:ind w:firstLine="640"/>
        <w:rPr>
          <w:rFonts w:hint="eastAsia" w:ascii="仿宋_GB2312" w:hAnsi="Times New Roman" w:eastAsia="仿宋_GB2312" w:cs="DengXian-Regular"/>
          <w:sz w:val="32"/>
          <w:szCs w:val="32"/>
        </w:rPr>
      </w:pPr>
    </w:p>
    <w:p>
      <w:pPr>
        <w:numPr>
          <w:ilvl w:val="0"/>
          <w:numId w:val="2"/>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年度财政拨款支出</w:t>
      </w:r>
      <w:r>
        <w:rPr>
          <w:rFonts w:ascii="仿宋_GB2312" w:hAnsi="Times New Roman" w:eastAsia="仿宋_GB2312" w:cs="DengXian-Regular"/>
          <w:sz w:val="32"/>
          <w:szCs w:val="32"/>
        </w:rPr>
        <w:t>22442.01</w:t>
      </w:r>
      <w:r>
        <w:rPr>
          <w:rFonts w:hint="eastAsia" w:ascii="仿宋_GB2312" w:hAnsi="Times New Roman" w:eastAsia="仿宋_GB2312" w:cs="DengXian-Regular"/>
          <w:sz w:val="32"/>
          <w:szCs w:val="32"/>
        </w:rPr>
        <w:t>万元，主要用于以下方面</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一般公共服务</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类</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支出</w:t>
      </w:r>
      <w:r>
        <w:rPr>
          <w:rFonts w:ascii="仿宋_GB2312" w:hAnsi="Times New Roman" w:eastAsia="仿宋_GB2312" w:cs="DengXian-Regular"/>
          <w:sz w:val="32"/>
          <w:szCs w:val="32"/>
        </w:rPr>
        <w:t>0.81</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教育</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类</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支出</w:t>
      </w:r>
      <w:r>
        <w:rPr>
          <w:rFonts w:ascii="仿宋_GB2312" w:hAnsi="Times New Roman" w:eastAsia="仿宋_GB2312" w:cs="DengXian-Regular"/>
          <w:sz w:val="32"/>
          <w:szCs w:val="32"/>
        </w:rPr>
        <w:t>198.96</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占</w:t>
      </w:r>
      <w:r>
        <w:rPr>
          <w:rFonts w:ascii="仿宋_GB2312" w:hAnsi="Times New Roman" w:eastAsia="仿宋_GB2312" w:cs="DengXian-Regular"/>
          <w:sz w:val="32"/>
          <w:szCs w:val="32"/>
        </w:rPr>
        <w:t>0.89%;</w:t>
      </w:r>
      <w:r>
        <w:rPr>
          <w:rFonts w:hint="eastAsia" w:ascii="仿宋_GB2312" w:hAnsi="Times New Roman" w:eastAsia="仿宋_GB2312" w:cs="DengXian-Regular"/>
          <w:sz w:val="32"/>
          <w:szCs w:val="32"/>
        </w:rPr>
        <w:t>社会保障和就业（类）支出</w:t>
      </w:r>
      <w:r>
        <w:rPr>
          <w:rFonts w:ascii="仿宋_GB2312" w:hAnsi="Times New Roman" w:eastAsia="仿宋_GB2312" w:cs="DengXian-Regular"/>
          <w:sz w:val="32"/>
          <w:szCs w:val="32"/>
        </w:rPr>
        <w:t>241.93</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1.08%</w:t>
      </w:r>
      <w:r>
        <w:rPr>
          <w:rFonts w:hint="eastAsia" w:ascii="仿宋_GB2312" w:hAnsi="Times New Roman" w:eastAsia="仿宋_GB2312" w:cs="DengXian-Regular"/>
          <w:sz w:val="32"/>
          <w:szCs w:val="32"/>
        </w:rPr>
        <w:t>；卫生健康（类）支出</w:t>
      </w:r>
      <w:r>
        <w:rPr>
          <w:rFonts w:ascii="仿宋_GB2312" w:hAnsi="Times New Roman" w:eastAsia="仿宋_GB2312" w:cs="DengXian-Regular"/>
          <w:sz w:val="32"/>
          <w:szCs w:val="32"/>
        </w:rPr>
        <w:t>211.49</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0.94%</w:t>
      </w:r>
      <w:r>
        <w:rPr>
          <w:rFonts w:hint="eastAsia" w:ascii="仿宋_GB2312" w:hAnsi="Times New Roman" w:eastAsia="仿宋_GB2312" w:cs="DengXian-Regular"/>
          <w:sz w:val="32"/>
          <w:szCs w:val="32"/>
        </w:rPr>
        <w:t>；城乡社区（类）支出</w:t>
      </w:r>
      <w:r>
        <w:rPr>
          <w:rFonts w:ascii="仿宋_GB2312" w:hAnsi="Times New Roman" w:eastAsia="仿宋_GB2312" w:cs="DengXian-Regular"/>
          <w:sz w:val="32"/>
          <w:szCs w:val="32"/>
        </w:rPr>
        <w:t>1964.97</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8.76%</w:t>
      </w:r>
      <w:r>
        <w:rPr>
          <w:rFonts w:hint="eastAsia" w:ascii="仿宋_GB2312" w:hAnsi="Times New Roman" w:eastAsia="仿宋_GB2312" w:cs="DengXian-Regular"/>
          <w:sz w:val="32"/>
          <w:szCs w:val="32"/>
        </w:rPr>
        <w:t>；农林水（类）支出</w:t>
      </w:r>
      <w:r>
        <w:rPr>
          <w:rFonts w:ascii="仿宋_GB2312" w:hAnsi="Times New Roman" w:eastAsia="仿宋_GB2312" w:cs="DengXian-Regular"/>
          <w:sz w:val="32"/>
          <w:szCs w:val="32"/>
        </w:rPr>
        <w:t>19565.10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87.18%</w:t>
      </w:r>
      <w:r>
        <w:rPr>
          <w:rFonts w:hint="eastAsia" w:ascii="仿宋_GB2312" w:hAnsi="Times New Roman" w:eastAsia="仿宋_GB2312" w:cs="DengXian-Regular"/>
          <w:sz w:val="32"/>
          <w:szCs w:val="32"/>
        </w:rPr>
        <w:t>；住房保障（类）支出</w:t>
      </w:r>
      <w:r>
        <w:rPr>
          <w:rFonts w:ascii="仿宋_GB2312" w:hAnsi="Times New Roman" w:eastAsia="仿宋_GB2312" w:cs="DengXian-Regular"/>
          <w:sz w:val="32"/>
          <w:szCs w:val="32"/>
        </w:rPr>
        <w:t>258.75</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 xml:space="preserve"> 1.15%</w:t>
      </w:r>
      <w:r>
        <w:rPr>
          <w:rFonts w:hint="eastAsia" w:ascii="仿宋_GB2312" w:hAnsi="Times New Roman" w:eastAsia="仿宋_GB2312" w:cs="DengXian-Regular"/>
          <w:sz w:val="32"/>
          <w:szCs w:val="32"/>
        </w:rPr>
        <w:t>。</w:t>
      </w:r>
    </w:p>
    <w:p>
      <w:pPr>
        <w:adjustRightInd w:val="0"/>
        <w:snapToGrid w:val="0"/>
        <w:spacing w:line="600" w:lineRule="exact"/>
        <w:ind w:firstLine="420" w:firstLineChars="200"/>
        <w:rPr>
          <w:rFonts w:ascii="仿宋_GB2312" w:hAnsi="Times New Roman" w:eastAsia="仿宋_GB2312" w:cs="Wingdings"/>
          <w:sz w:val="32"/>
          <w:szCs w:val="32"/>
        </w:rPr>
      </w:pPr>
      <w:r>
        <w:pict>
          <v:shape id="图表 6" o:spid="_x0000_s1042" o:spt="75" type="#_x0000_t75" style="position:absolute;left:0pt;margin-left:40.8pt;margin-top:6.6pt;height:217.2pt;width:361.2pt;mso-wrap-distance-bottom:0pt;mso-wrap-distance-left:9pt;mso-wrap-distance-right:9pt;mso-wrap-distance-top:0pt;z-index:251668480;mso-width-relative:page;mso-height-relative:page;" filled="f" o:preferrelative="t" stroked="f" coordsize="21600,21600" o:gfxdata="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">
            <v:path/>
            <v:fill on="f" focussize="0,0"/>
            <v:stroke on="f"/>
            <v:imagedata r:id="rId23" o:title=""/>
            <o:lock v:ext="edit" aspectratio="f"/>
            <w10:wrap type="square"/>
          </v:shape>
        </w:pict>
      </w: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2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20" w:lineRule="exact"/>
        <w:ind w:firstLine="640" w:firstLineChars="200"/>
        <w:rPr>
          <w:rFonts w:ascii="仿宋_GB2312" w:hAnsi="Times New Roman" w:eastAsia="仿宋_GB2312" w:cs="Wingdings"/>
          <w:sz w:val="32"/>
          <w:szCs w:val="32"/>
        </w:rPr>
      </w:pPr>
      <w:r>
        <w:rPr>
          <w:rFonts w:ascii="仿宋_GB2312" w:hAnsi="Times New Roman" w:eastAsia="仿宋_GB2312" w:cs="Wingdings"/>
          <w:sz w:val="32"/>
          <w:szCs w:val="32"/>
        </w:rPr>
        <w:t xml:space="preserve">2020 </w:t>
      </w:r>
      <w:r>
        <w:rPr>
          <w:rFonts w:hint="eastAsia" w:ascii="仿宋_GB2312" w:hAnsi="Times New Roman" w:eastAsia="仿宋_GB2312" w:cs="Wingdings"/>
          <w:sz w:val="32"/>
          <w:szCs w:val="32"/>
        </w:rPr>
        <w:t>年度财政拨款基本支出</w:t>
      </w:r>
      <w:r>
        <w:rPr>
          <w:rFonts w:ascii="仿宋_GB2312" w:hAnsi="Times New Roman" w:eastAsia="仿宋_GB2312" w:cs="Wingdings"/>
          <w:sz w:val="32"/>
          <w:szCs w:val="32"/>
        </w:rPr>
        <w:t>3843.16</w:t>
      </w:r>
      <w:r>
        <w:rPr>
          <w:rFonts w:hint="eastAsia" w:ascii="仿宋_GB2312" w:hAnsi="Times New Roman" w:eastAsia="仿宋_GB2312" w:cs="Wingdings"/>
          <w:sz w:val="32"/>
          <w:szCs w:val="32"/>
        </w:rPr>
        <w:t>万元，其中：人员经费</w:t>
      </w:r>
      <w:r>
        <w:rPr>
          <w:rFonts w:ascii="仿宋_GB2312" w:hAnsi="Times New Roman" w:eastAsia="仿宋_GB2312" w:cs="Wingdings"/>
          <w:sz w:val="32"/>
          <w:szCs w:val="32"/>
        </w:rPr>
        <w:t xml:space="preserve"> 3328.54</w:t>
      </w:r>
      <w:r>
        <w:rPr>
          <w:rFonts w:hint="eastAsia" w:ascii="仿宋_GB2312" w:hAnsi="Times New Roman" w:eastAsia="仿宋_GB2312" w:cs="Wingdings"/>
          <w:sz w:val="32"/>
          <w:szCs w:val="32"/>
        </w:rPr>
        <w:t>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Wingdings"/>
          <w:sz w:val="32"/>
          <w:szCs w:val="32"/>
        </w:rPr>
        <w:t>514.62</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20" w:lineRule="exact"/>
        <w:ind w:firstLine="640" w:firstLineChars="200"/>
        <w:outlineLvl w:val="1"/>
        <w:rPr>
          <w:rFonts w:ascii="黑体" w:eastAsia="黑体"/>
          <w:sz w:val="32"/>
          <w:szCs w:val="32"/>
        </w:rPr>
      </w:pPr>
      <w:r>
        <w:rPr>
          <w:rFonts w:hint="eastAsia" w:ascii="黑体" w:eastAsia="黑体"/>
          <w:sz w:val="32"/>
          <w:szCs w:val="32"/>
        </w:rPr>
        <w:t>五、一般公共预算“三公”</w:t>
      </w:r>
      <w:r>
        <w:rPr>
          <w:rFonts w:ascii="黑体" w:eastAsia="黑体"/>
          <w:sz w:val="32"/>
          <w:szCs w:val="32"/>
        </w:rPr>
        <w:t xml:space="preserve"> </w:t>
      </w:r>
      <w:r>
        <w:rPr>
          <w:rFonts w:hint="eastAsia" w:ascii="黑体" w:eastAsia="黑体"/>
          <w:sz w:val="32"/>
          <w:szCs w:val="32"/>
        </w:rPr>
        <w:t>经费支出决算情况说明</w:t>
      </w:r>
    </w:p>
    <w:p>
      <w:pPr>
        <w:adjustRightInd w:val="0"/>
        <w:snapToGrid w:val="0"/>
        <w:spacing w:line="62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utoSpaceDE w:val="0"/>
        <w:autoSpaceDN w:val="0"/>
        <w:adjustRightInd w:val="0"/>
        <w:snapToGrid w:val="0"/>
        <w:spacing w:line="620" w:lineRule="exact"/>
        <w:ind w:firstLine="640" w:firstLineChars="200"/>
        <w:rPr>
          <w:rFonts w:eastAsia="仿宋_GB2312"/>
          <w:sz w:val="32"/>
          <w:szCs w:val="32"/>
        </w:rPr>
      </w:pPr>
      <w:r>
        <w:rPr>
          <w:rFonts w:hint="eastAsia" w:eastAsia="仿宋_GB2312"/>
          <w:sz w:val="32"/>
          <w:szCs w:val="32"/>
        </w:rPr>
        <w:t>近年来，我部门严控“三公”经费支出，硬化预算约束，有效的控制了“三公”等相关经费的支出。</w:t>
      </w:r>
    </w:p>
    <w:p>
      <w:pPr>
        <w:adjustRightInd w:val="0"/>
        <w:snapToGrid w:val="0"/>
        <w:spacing w:line="620" w:lineRule="exact"/>
        <w:ind w:firstLine="640" w:firstLineChars="200"/>
        <w:rPr>
          <w:rFonts w:ascii="仿宋_GB2312" w:hAnsi="Times New Roman" w:eastAsia="仿宋_GB2312" w:cs="Wingdings"/>
          <w:sz w:val="32"/>
          <w:szCs w:val="32"/>
        </w:rPr>
      </w:pP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年度“三公”经费财政拨款支出预算为</w:t>
      </w:r>
      <w:r>
        <w:rPr>
          <w:rFonts w:ascii="仿宋_GB2312" w:hAnsi="Times New Roman" w:eastAsia="仿宋_GB2312" w:cs="Wingdings"/>
          <w:sz w:val="32"/>
          <w:szCs w:val="32"/>
        </w:rPr>
        <w:t>31.4</w:t>
      </w:r>
      <w:r>
        <w:rPr>
          <w:rFonts w:hint="eastAsia" w:ascii="仿宋_GB2312" w:hAnsi="Times New Roman" w:eastAsia="仿宋_GB2312" w:cs="Wingdings"/>
          <w:sz w:val="32"/>
          <w:szCs w:val="32"/>
        </w:rPr>
        <w:t>万元，支出决算为</w:t>
      </w:r>
      <w:r>
        <w:rPr>
          <w:rFonts w:ascii="仿宋_GB2312" w:hAnsi="Times New Roman" w:eastAsia="仿宋_GB2312" w:cs="Wingdings"/>
          <w:sz w:val="32"/>
          <w:szCs w:val="32"/>
        </w:rPr>
        <w:t>24.21</w:t>
      </w:r>
      <w:r>
        <w:rPr>
          <w:rFonts w:hint="eastAsia" w:ascii="仿宋_GB2312" w:hAnsi="Times New Roman" w:eastAsia="仿宋_GB2312" w:cs="Wingdings"/>
          <w:sz w:val="32"/>
          <w:szCs w:val="32"/>
        </w:rPr>
        <w:t>万元，完成预算的</w:t>
      </w:r>
      <w:r>
        <w:rPr>
          <w:rFonts w:ascii="仿宋_GB2312" w:hAnsi="Times New Roman" w:eastAsia="仿宋_GB2312" w:cs="Wingdings"/>
          <w:sz w:val="32"/>
          <w:szCs w:val="32"/>
        </w:rPr>
        <w:t>77.1%,</w:t>
      </w:r>
      <w:r>
        <w:rPr>
          <w:rFonts w:hint="eastAsia" w:ascii="仿宋_GB2312" w:hAnsi="Times New Roman" w:eastAsia="仿宋_GB2312" w:cs="Wingdings"/>
          <w:sz w:val="32"/>
          <w:szCs w:val="32"/>
        </w:rPr>
        <w:t>较预算减少</w:t>
      </w:r>
      <w:r>
        <w:rPr>
          <w:rFonts w:ascii="仿宋_GB2312" w:hAnsi="Times New Roman" w:eastAsia="仿宋_GB2312" w:cs="Wingdings"/>
          <w:sz w:val="32"/>
          <w:szCs w:val="32"/>
        </w:rPr>
        <w:t>7.19</w:t>
      </w:r>
      <w:r>
        <w:rPr>
          <w:rFonts w:hint="eastAsia" w:ascii="仿宋_GB2312" w:hAnsi="Times New Roman" w:eastAsia="仿宋_GB2312" w:cs="Wingdings"/>
          <w:sz w:val="32"/>
          <w:szCs w:val="32"/>
        </w:rPr>
        <w:t>万元，下降</w:t>
      </w:r>
      <w:r>
        <w:rPr>
          <w:rFonts w:ascii="仿宋_GB2312" w:hAnsi="Times New Roman" w:eastAsia="仿宋_GB2312" w:cs="Wingdings"/>
          <w:sz w:val="32"/>
          <w:szCs w:val="32"/>
        </w:rPr>
        <w:t>22.9%</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Wingdings"/>
          <w:sz w:val="32"/>
          <w:szCs w:val="32"/>
        </w:rPr>
        <w:t>。</w:t>
      </w:r>
    </w:p>
    <w:p>
      <w:pPr>
        <w:adjustRightInd w:val="0"/>
        <w:snapToGrid w:val="0"/>
        <w:spacing w:line="62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与上年决算相比，本年“三公”经费支出减少</w:t>
      </w:r>
      <w:r>
        <w:rPr>
          <w:rFonts w:ascii="仿宋_GB2312" w:hAnsi="Times New Roman" w:eastAsia="仿宋_GB2312" w:cs="Wingdings"/>
          <w:sz w:val="32"/>
          <w:szCs w:val="32"/>
        </w:rPr>
        <w:t>1.42</w:t>
      </w:r>
      <w:r>
        <w:rPr>
          <w:rFonts w:hint="eastAsia" w:ascii="仿宋_GB2312" w:hAnsi="Times New Roman" w:eastAsia="仿宋_GB2312" w:cs="Wingdings"/>
          <w:sz w:val="32"/>
          <w:szCs w:val="32"/>
        </w:rPr>
        <w:t>万元，下降</w:t>
      </w:r>
      <w:r>
        <w:rPr>
          <w:rFonts w:ascii="仿宋_GB2312" w:hAnsi="Times New Roman" w:eastAsia="仿宋_GB2312" w:cs="Wingdings"/>
          <w:sz w:val="32"/>
          <w:szCs w:val="32"/>
        </w:rPr>
        <w:t>5.54%</w:t>
      </w:r>
      <w:r>
        <w:rPr>
          <w:rFonts w:hint="eastAsia" w:ascii="仿宋_GB2312" w:hAnsi="Times New Roman" w:eastAsia="仿宋_GB2312" w:cs="Wingdings"/>
          <w:sz w:val="32"/>
          <w:szCs w:val="32"/>
        </w:rPr>
        <w:t>，主要是公务用车运行维护费用较上年减少</w:t>
      </w:r>
      <w:r>
        <w:rPr>
          <w:rFonts w:ascii="仿宋_GB2312" w:hAnsi="Times New Roman" w:eastAsia="仿宋_GB2312" w:cs="Wingdings"/>
          <w:sz w:val="32"/>
          <w:szCs w:val="32"/>
        </w:rPr>
        <w:t>1.42</w:t>
      </w:r>
      <w:r>
        <w:rPr>
          <w:rFonts w:hint="eastAsia" w:ascii="仿宋_GB2312" w:hAnsi="Times New Roman" w:eastAsia="仿宋_GB2312" w:cs="Wingdings"/>
          <w:sz w:val="32"/>
          <w:szCs w:val="32"/>
        </w:rPr>
        <w:t>万元。</w:t>
      </w:r>
    </w:p>
    <w:p>
      <w:pPr>
        <w:adjustRightInd w:val="0"/>
        <w:snapToGrid w:val="0"/>
        <w:spacing w:line="62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ascii="楷体_GB2312" w:hAnsi="Times New Roman" w:eastAsia="楷体_GB2312" w:cs="Mongolian Baiti"/>
          <w:b/>
          <w:bCs/>
          <w:sz w:val="32"/>
          <w:szCs w:val="32"/>
        </w:rPr>
        <w:t>1.</w:t>
      </w:r>
      <w:r>
        <w:rPr>
          <w:rFonts w:hint="eastAsia" w:ascii="楷体_GB2312" w:hAnsi="Times New Roman" w:eastAsia="楷体_GB2312" w:cs="Mongolian Baiti"/>
          <w:b/>
          <w:bCs/>
          <w:sz w:val="32"/>
          <w:szCs w:val="32"/>
        </w:rPr>
        <w:t>因公出国（境）费。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参加其他部门组织的因公出国（境）团组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无本部门组织的出国（境）团组。因公出国（境）费支出与年初预算持平；与</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年度决算支出持平。</w:t>
      </w:r>
    </w:p>
    <w:p>
      <w:pPr>
        <w:adjustRightInd w:val="0"/>
        <w:snapToGrid w:val="0"/>
        <w:spacing w:line="620" w:lineRule="exact"/>
        <w:ind w:firstLine="643" w:firstLineChars="200"/>
        <w:rPr>
          <w:rFonts w:ascii="仿宋_GB2312" w:hAnsi="Times New Roman" w:eastAsia="仿宋_GB2312" w:cs="Mongolian Baiti"/>
          <w:b/>
          <w:bCs/>
          <w:sz w:val="32"/>
          <w:szCs w:val="32"/>
        </w:rPr>
      </w:pPr>
      <w:r>
        <w:rPr>
          <w:rFonts w:ascii="楷体_GB2312" w:hAnsi="Times New Roman" w:eastAsia="楷体_GB2312" w:cs="Mongolian Baiti"/>
          <w:b/>
          <w:bCs/>
          <w:sz w:val="32"/>
          <w:szCs w:val="32"/>
        </w:rPr>
        <w:t>2.</w:t>
      </w:r>
      <w:r>
        <w:rPr>
          <w:rFonts w:hint="eastAsia" w:ascii="楷体_GB2312" w:hAnsi="Times New Roman" w:eastAsia="楷体_GB2312" w:cs="Mongolian Baiti"/>
          <w:b/>
          <w:bCs/>
          <w:sz w:val="32"/>
          <w:szCs w:val="32"/>
        </w:rPr>
        <w:t>公务用车购置及运行维护费。</w:t>
      </w:r>
      <w:r>
        <w:rPr>
          <w:rFonts w:hint="eastAsia" w:ascii="仿宋_GB2312" w:hAnsi="Times New Roman" w:eastAsia="仿宋_GB2312" w:cs="Wingdings"/>
          <w:sz w:val="32"/>
          <w:szCs w:val="32"/>
        </w:rPr>
        <w:t>本部门</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年度公务用车购置及运行维护费支出</w:t>
      </w:r>
      <w:r>
        <w:rPr>
          <w:rFonts w:ascii="仿宋_GB2312" w:hAnsi="Times New Roman" w:eastAsia="仿宋_GB2312" w:cs="Wingdings"/>
          <w:sz w:val="32"/>
          <w:szCs w:val="32"/>
        </w:rPr>
        <w:t>24.21</w:t>
      </w:r>
      <w:r>
        <w:rPr>
          <w:rFonts w:hint="eastAsia" w:ascii="仿宋_GB2312" w:hAnsi="Times New Roman" w:eastAsia="仿宋_GB2312" w:cs="Wingdings"/>
          <w:sz w:val="32"/>
          <w:szCs w:val="32"/>
        </w:rPr>
        <w:t>万元，较预算减少</w:t>
      </w:r>
      <w:r>
        <w:rPr>
          <w:rFonts w:ascii="仿宋_GB2312" w:hAnsi="Times New Roman" w:eastAsia="仿宋_GB2312" w:cs="Wingdings"/>
          <w:sz w:val="32"/>
          <w:szCs w:val="32"/>
        </w:rPr>
        <w:t>7.19</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22.9%,</w:t>
      </w:r>
      <w:r>
        <w:rPr>
          <w:rFonts w:hint="eastAsia" w:ascii="仿宋_GB2312" w:hAnsi="Times New Roman" w:eastAsia="仿宋_GB2312" w:cs="Mongolian Baiti"/>
          <w:b/>
          <w:bCs/>
          <w:sz w:val="32"/>
          <w:szCs w:val="32"/>
        </w:rPr>
        <w:t>其中：</w:t>
      </w:r>
    </w:p>
    <w:p>
      <w:pPr>
        <w:adjustRightInd w:val="0"/>
        <w:snapToGrid w:val="0"/>
        <w:spacing w:line="62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年度公务用车购置量</w:t>
      </w:r>
      <w:r>
        <w:rPr>
          <w:rFonts w:ascii="仿宋_GB2312" w:hAnsi="Times New Roman" w:eastAsia="仿宋_GB2312" w:cs="Wingdings"/>
          <w:sz w:val="32"/>
          <w:szCs w:val="32"/>
        </w:rPr>
        <w:t>0</w:t>
      </w:r>
      <w:r>
        <w:rPr>
          <w:rFonts w:hint="eastAsia" w:ascii="仿宋_GB2312" w:hAnsi="Times New Roman" w:eastAsia="仿宋_GB2312" w:cs="Wingdings"/>
          <w:sz w:val="32"/>
          <w:szCs w:val="32"/>
        </w:rPr>
        <w:t>辆，未发生“公务用车购置”经费支出，与预算和上年决算持平。</w:t>
      </w:r>
    </w:p>
    <w:p>
      <w:pPr>
        <w:adjustRightInd w:val="0"/>
        <w:snapToGrid w:val="0"/>
        <w:spacing w:line="62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Cs/>
          <w:sz w:val="32"/>
          <w:szCs w:val="32"/>
        </w:rPr>
        <w:t>本部门</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年度公务用车保有量</w:t>
      </w:r>
      <w:r>
        <w:rPr>
          <w:rFonts w:ascii="仿宋_GB2312" w:hAnsi="Times New Roman" w:eastAsia="仿宋_GB2312" w:cs="Wingdings"/>
          <w:sz w:val="32"/>
          <w:szCs w:val="32"/>
        </w:rPr>
        <w:t>11</w:t>
      </w:r>
      <w:r>
        <w:rPr>
          <w:rFonts w:hint="eastAsia" w:ascii="仿宋_GB2312" w:hAnsi="Times New Roman" w:eastAsia="仿宋_GB2312" w:cs="Wingdings"/>
          <w:sz w:val="32"/>
          <w:szCs w:val="32"/>
        </w:rPr>
        <w:t>辆，公务用车运维费支出</w:t>
      </w:r>
      <w:r>
        <w:rPr>
          <w:rFonts w:ascii="仿宋_GB2312" w:hAnsi="Times New Roman" w:eastAsia="仿宋_GB2312" w:cs="Wingdings"/>
          <w:sz w:val="32"/>
          <w:szCs w:val="32"/>
        </w:rPr>
        <w:t>24.21</w:t>
      </w:r>
      <w:r>
        <w:rPr>
          <w:rFonts w:hint="eastAsia" w:ascii="仿宋_GB2312" w:hAnsi="Times New Roman" w:eastAsia="仿宋_GB2312" w:cs="Wingdings"/>
          <w:sz w:val="32"/>
          <w:szCs w:val="32"/>
        </w:rPr>
        <w:t>万元。公车运行维护费支出较预算减少</w:t>
      </w:r>
      <w:r>
        <w:rPr>
          <w:rFonts w:ascii="仿宋_GB2312" w:hAnsi="Times New Roman" w:eastAsia="仿宋_GB2312" w:cs="Wingdings"/>
          <w:sz w:val="32"/>
          <w:szCs w:val="32"/>
        </w:rPr>
        <w:t>7.19</w:t>
      </w:r>
      <w:r>
        <w:rPr>
          <w:rFonts w:hint="eastAsia" w:ascii="仿宋_GB2312" w:hAnsi="Times New Roman" w:eastAsia="仿宋_GB2312" w:cs="Wingdings"/>
          <w:sz w:val="32"/>
          <w:szCs w:val="32"/>
        </w:rPr>
        <w:t>万元，下降</w:t>
      </w:r>
      <w:r>
        <w:rPr>
          <w:rFonts w:ascii="仿宋_GB2312" w:hAnsi="Times New Roman" w:eastAsia="仿宋_GB2312" w:cs="Wingdings"/>
          <w:sz w:val="32"/>
          <w:szCs w:val="32"/>
        </w:rPr>
        <w:t>22.9%,</w:t>
      </w:r>
      <w:r>
        <w:rPr>
          <w:rFonts w:hint="eastAsia" w:ascii="仿宋_GB2312" w:hAnsi="Times New Roman" w:eastAsia="仿宋_GB2312" w:cs="Wingdings"/>
          <w:sz w:val="32"/>
          <w:szCs w:val="32"/>
        </w:rPr>
        <w:t>主要是硬化预算约束，严守公务用车配备及使用纪律所致。较上年决算减少了</w:t>
      </w:r>
      <w:r>
        <w:rPr>
          <w:rFonts w:ascii="仿宋_GB2312" w:hAnsi="Times New Roman" w:eastAsia="仿宋_GB2312" w:cs="Wingdings"/>
          <w:sz w:val="32"/>
          <w:szCs w:val="32"/>
        </w:rPr>
        <w:t>1.42</w:t>
      </w:r>
      <w:r>
        <w:rPr>
          <w:rFonts w:hint="eastAsia" w:ascii="仿宋_GB2312" w:hAnsi="Times New Roman" w:eastAsia="仿宋_GB2312" w:cs="Wingdings"/>
          <w:sz w:val="32"/>
          <w:szCs w:val="32"/>
        </w:rPr>
        <w:t>万元，下降</w:t>
      </w:r>
      <w:r>
        <w:rPr>
          <w:rFonts w:ascii="仿宋_GB2312" w:hAnsi="Times New Roman" w:eastAsia="仿宋_GB2312" w:cs="Wingdings"/>
          <w:sz w:val="32"/>
          <w:szCs w:val="32"/>
        </w:rPr>
        <w:t>5.54%</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主要是认</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bookmarkStart w:id="0" w:name="_GoBack"/>
      <w:bookmarkEnd w:id="0"/>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Wingdings"/>
          <w:sz w:val="32"/>
          <w:szCs w:val="32"/>
        </w:rPr>
        <w:t>。</w:t>
      </w:r>
    </w:p>
    <w:p>
      <w:pPr>
        <w:adjustRightInd w:val="0"/>
        <w:snapToGrid w:val="0"/>
        <w:spacing w:line="620" w:lineRule="exact"/>
        <w:ind w:firstLine="643" w:firstLineChars="200"/>
        <w:rPr>
          <w:rFonts w:ascii="仿宋_GB2312" w:hAnsi="Times New Roman" w:eastAsia="仿宋_GB2312" w:cs="Wingdings"/>
          <w:sz w:val="32"/>
          <w:szCs w:val="32"/>
        </w:rPr>
      </w:pPr>
      <w:r>
        <w:rPr>
          <w:rFonts w:ascii="楷体_GB2312" w:hAnsi="Times New Roman" w:eastAsia="楷体_GB2312" w:cs="Mongolian Baiti"/>
          <w:b/>
          <w:bCs/>
          <w:sz w:val="32"/>
          <w:szCs w:val="32"/>
        </w:rPr>
        <w:t>3.</w:t>
      </w:r>
      <w:r>
        <w:rPr>
          <w:rFonts w:hint="eastAsia" w:ascii="楷体_GB2312" w:hAnsi="Times New Roman" w:eastAsia="楷体_GB2312" w:cs="Mongolian Baiti"/>
          <w:b/>
          <w:bCs/>
          <w:sz w:val="32"/>
          <w:szCs w:val="32"/>
        </w:rPr>
        <w:t>公务接待费。</w:t>
      </w:r>
      <w:r>
        <w:rPr>
          <w:rFonts w:hint="eastAsia" w:ascii="楷体_GB2312" w:hAnsi="Times New Roman" w:eastAsia="楷体_GB2312" w:cs="Mongolian Baiti"/>
          <w:sz w:val="32"/>
          <w:szCs w:val="32"/>
        </w:rPr>
        <w:t>本部门</w:t>
      </w:r>
      <w:r>
        <w:rPr>
          <w:rFonts w:ascii="楷体_GB2312" w:hAnsi="Times New Roman" w:eastAsia="楷体_GB2312" w:cs="Mongolian Baiti"/>
          <w:sz w:val="32"/>
          <w:szCs w:val="32"/>
        </w:rPr>
        <w:t>2020</w:t>
      </w:r>
      <w:r>
        <w:rPr>
          <w:rFonts w:hint="eastAsia" w:ascii="楷体_GB2312" w:hAnsi="Times New Roman" w:eastAsia="楷体_GB2312" w:cs="Mongolian Baiti"/>
          <w:sz w:val="32"/>
          <w:szCs w:val="32"/>
        </w:rPr>
        <w:t>年公务接待费支出</w:t>
      </w:r>
      <w:r>
        <w:rPr>
          <w:rFonts w:ascii="楷体_GB2312" w:hAnsi="Times New Roman" w:eastAsia="楷体_GB2312" w:cs="Mongolian Baiti"/>
          <w:sz w:val="32"/>
          <w:szCs w:val="32"/>
        </w:rPr>
        <w:t>0</w:t>
      </w:r>
      <w:r>
        <w:rPr>
          <w:rFonts w:hint="eastAsia" w:ascii="楷体_GB2312" w:hAnsi="Times New Roman" w:eastAsia="楷体_GB2312" w:cs="Mongolian Baiti"/>
          <w:sz w:val="32"/>
          <w:szCs w:val="32"/>
        </w:rPr>
        <w:t>万元，</w:t>
      </w:r>
      <w:r>
        <w:rPr>
          <w:rFonts w:hint="eastAsia" w:ascii="仿宋_GB2312" w:hAnsi="Times New Roman" w:eastAsia="仿宋_GB2312" w:cs="Wingdings"/>
          <w:sz w:val="32"/>
          <w:szCs w:val="32"/>
        </w:rPr>
        <w:t>公务接待共</w:t>
      </w:r>
      <w:r>
        <w:rPr>
          <w:rFonts w:ascii="仿宋_GB2312" w:hAnsi="Times New Roman" w:eastAsia="仿宋_GB2312" w:cs="Wingdings"/>
          <w:sz w:val="32"/>
          <w:szCs w:val="32"/>
        </w:rPr>
        <w:t>0</w:t>
      </w:r>
      <w:r>
        <w:rPr>
          <w:rFonts w:hint="eastAsia" w:ascii="仿宋_GB2312" w:hAnsi="Times New Roman" w:eastAsia="仿宋_GB2312" w:cs="Wingdings"/>
          <w:sz w:val="32"/>
          <w:szCs w:val="32"/>
        </w:rPr>
        <w:t>批次、</w:t>
      </w:r>
      <w:r>
        <w:rPr>
          <w:rFonts w:ascii="仿宋_GB2312" w:hAnsi="Times New Roman" w:eastAsia="仿宋_GB2312" w:cs="Wingdings"/>
          <w:sz w:val="32"/>
          <w:szCs w:val="32"/>
        </w:rPr>
        <w:t>0</w:t>
      </w:r>
      <w:r>
        <w:rPr>
          <w:rFonts w:hint="eastAsia" w:ascii="仿宋_GB2312" w:hAnsi="Times New Roman" w:eastAsia="仿宋_GB2312" w:cs="Wingdings"/>
          <w:sz w:val="32"/>
          <w:szCs w:val="32"/>
        </w:rPr>
        <w:t>人次。公务接待费支出较预算减少</w:t>
      </w:r>
      <w:r>
        <w:rPr>
          <w:rFonts w:ascii="仿宋_GB2312" w:hAnsi="Times New Roman" w:eastAsia="仿宋_GB2312" w:cs="Wingdings"/>
          <w:sz w:val="32"/>
          <w:szCs w:val="32"/>
        </w:rPr>
        <w:t>1.7</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100%,</w:t>
      </w:r>
      <w:r>
        <w:rPr>
          <w:rFonts w:hint="eastAsia" w:ascii="仿宋_GB2312" w:hAnsi="Times New Roman" w:eastAsia="仿宋_GB2312" w:cs="DengXian-Regular"/>
          <w:sz w:val="32"/>
          <w:szCs w:val="32"/>
        </w:rPr>
        <w:t>主要是</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年度无公务接待</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与</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年度决算支出持平。</w:t>
      </w:r>
    </w:p>
    <w:p>
      <w:pPr>
        <w:adjustRightInd w:val="0"/>
        <w:snapToGrid w:val="0"/>
        <w:spacing w:line="620" w:lineRule="exact"/>
        <w:ind w:firstLine="640" w:firstLineChars="200"/>
        <w:rPr>
          <w:rFonts w:ascii="黑体" w:hAnsi="Times New Roman" w:eastAsia="黑体"/>
          <w:sz w:val="32"/>
          <w:szCs w:val="40"/>
        </w:rPr>
      </w:pPr>
      <w:r>
        <w:rPr>
          <w:rFonts w:hint="eastAsia" w:ascii="黑体" w:hAnsi="Times New Roman" w:eastAsia="黑体"/>
          <w:sz w:val="32"/>
          <w:szCs w:val="40"/>
        </w:rPr>
        <w:t>六、预算绩效情况说明</w:t>
      </w:r>
    </w:p>
    <w:p>
      <w:pPr>
        <w:adjustRightInd w:val="0"/>
        <w:snapToGrid w:val="0"/>
        <w:spacing w:line="62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根据《关于开展</w:t>
      </w:r>
      <w:r>
        <w:rPr>
          <w:rFonts w:ascii="仿宋" w:hAnsi="仿宋" w:eastAsia="仿宋" w:cs="仿宋"/>
          <w:b w:val="0"/>
          <w:bCs w:val="0"/>
        </w:rPr>
        <w:t xml:space="preserve"> 2018 </w:t>
      </w:r>
      <w:r>
        <w:rPr>
          <w:rFonts w:hint="eastAsia" w:ascii="仿宋" w:hAnsi="仿宋" w:eastAsia="仿宋" w:cs="仿宋"/>
          <w:b w:val="0"/>
          <w:bCs w:val="0"/>
        </w:rPr>
        <w:t>年度财政专项资金部门绩效自评价工作的通知》</w:t>
      </w:r>
      <w:r>
        <w:rPr>
          <w:rFonts w:ascii="仿宋" w:hAnsi="仿宋" w:eastAsia="仿宋" w:cs="仿宋"/>
          <w:b w:val="0"/>
          <w:bCs w:val="0"/>
        </w:rPr>
        <w:t xml:space="preserve"> </w:t>
      </w:r>
      <w:r>
        <w:rPr>
          <w:rFonts w:hint="eastAsia" w:ascii="仿宋" w:hAnsi="仿宋" w:eastAsia="仿宋" w:cs="仿宋"/>
          <w:b w:val="0"/>
          <w:bCs w:val="0"/>
        </w:rPr>
        <w:t>（石财绩</w:t>
      </w:r>
      <w:r>
        <w:rPr>
          <w:rFonts w:ascii="仿宋" w:hAnsi="仿宋" w:eastAsia="仿宋" w:cs="仿宋"/>
          <w:b w:val="0"/>
          <w:bCs w:val="0"/>
        </w:rPr>
        <w:t>[2019]1</w:t>
      </w:r>
      <w:r>
        <w:rPr>
          <w:rFonts w:hint="eastAsia" w:ascii="仿宋" w:hAnsi="仿宋" w:eastAsia="仿宋" w:cs="仿宋"/>
          <w:b w:val="0"/>
          <w:bCs w:val="0"/>
        </w:rPr>
        <w:t>号），本</w:t>
      </w:r>
      <w:r>
        <w:rPr>
          <w:rFonts w:hint="eastAsia" w:ascii="宋体" w:hAnsi="宋体" w:cs="宋体"/>
          <w:b w:val="0"/>
          <w:bCs w:val="0"/>
        </w:rPr>
        <w:t>部门</w:t>
      </w:r>
      <w:r>
        <w:rPr>
          <w:rFonts w:hint="eastAsia" w:ascii="仿宋" w:hAnsi="仿宋" w:eastAsia="仿宋" w:cs="仿宋"/>
          <w:b w:val="0"/>
          <w:bCs w:val="0"/>
        </w:rPr>
        <w:t>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line="62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w:t>
      </w:r>
      <w:r>
        <w:rPr>
          <w:rFonts w:ascii="楷体_GB2312" w:hAnsi="楷体_GB2312" w:eastAsia="楷体_GB2312" w:cs="楷体_GB2312"/>
          <w:b/>
          <w:bCs/>
          <w:sz w:val="32"/>
          <w:szCs w:val="32"/>
        </w:rPr>
        <w:t xml:space="preserve"> </w:t>
      </w:r>
      <w:r>
        <w:rPr>
          <w:rFonts w:hint="eastAsia" w:ascii="楷体_GB2312" w:hAnsi="楷体_GB2312" w:eastAsia="楷体_GB2312" w:cs="楷体_GB2312"/>
          <w:b/>
          <w:bCs/>
          <w:sz w:val="32"/>
          <w:szCs w:val="32"/>
        </w:rPr>
        <w:t>部门决算中项目绩效自评结果。</w:t>
      </w:r>
    </w:p>
    <w:p>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根据预算绩效管理要求，本</w:t>
      </w:r>
      <w:r>
        <w:rPr>
          <w:rFonts w:hint="eastAsia" w:ascii="宋体" w:hAnsi="宋体" w:cs="宋体"/>
          <w:b w:val="0"/>
          <w:bCs w:val="0"/>
        </w:rPr>
        <w:t>部门</w:t>
      </w:r>
      <w:r>
        <w:rPr>
          <w:rFonts w:hint="eastAsia" w:ascii="仿宋" w:hAnsi="仿宋" w:eastAsia="仿宋" w:cs="仿宋"/>
          <w:b w:val="0"/>
          <w:bCs w:val="0"/>
        </w:rPr>
        <w:t>组织对</w:t>
      </w:r>
      <w:r>
        <w:rPr>
          <w:rFonts w:ascii="仿宋" w:hAnsi="仿宋" w:eastAsia="仿宋" w:cs="仿宋"/>
          <w:b w:val="0"/>
          <w:bCs w:val="0"/>
        </w:rPr>
        <w:t xml:space="preserve"> 2020 </w:t>
      </w:r>
      <w:r>
        <w:rPr>
          <w:rFonts w:hint="eastAsia" w:ascii="仿宋" w:hAnsi="仿宋" w:eastAsia="仿宋" w:cs="仿宋"/>
          <w:b w:val="0"/>
          <w:bCs w:val="0"/>
        </w:rPr>
        <w:t>年度一般公共预算项目支出全面开展绩效自评，涉及项目</w:t>
      </w:r>
      <w:r>
        <w:rPr>
          <w:rFonts w:hint="eastAsia" w:ascii="仿宋" w:hAnsi="仿宋" w:eastAsia="仿宋" w:cs="仿宋"/>
          <w:b w:val="0"/>
          <w:bCs w:val="0"/>
          <w:lang w:val="en-US" w:eastAsia="zh-CN"/>
        </w:rPr>
        <w:t>111</w:t>
      </w:r>
      <w:r>
        <w:rPr>
          <w:rFonts w:hint="eastAsia" w:ascii="仿宋" w:hAnsi="仿宋" w:eastAsia="仿宋" w:cs="仿宋"/>
          <w:b w:val="0"/>
          <w:bCs w:val="0"/>
        </w:rPr>
        <w:t>个。从评价情况看，评价结果为优秀的项目有</w:t>
      </w:r>
      <w:r>
        <w:rPr>
          <w:rFonts w:hint="eastAsia" w:ascii="仿宋" w:hAnsi="仿宋" w:eastAsia="仿宋" w:cs="仿宋"/>
          <w:b w:val="0"/>
          <w:bCs w:val="0"/>
          <w:lang w:val="en-US" w:eastAsia="zh-CN"/>
        </w:rPr>
        <w:t>111</w:t>
      </w:r>
      <w:r>
        <w:rPr>
          <w:rFonts w:hint="eastAsia" w:ascii="仿宋" w:hAnsi="仿宋" w:eastAsia="仿宋" w:cs="仿宋"/>
          <w:b w:val="0"/>
          <w:bCs w:val="0"/>
        </w:rPr>
        <w:t>个。</w:t>
      </w:r>
    </w:p>
    <w:p>
      <w:pPr>
        <w:adjustRightInd w:val="0"/>
        <w:snapToGrid w:val="0"/>
        <w:spacing w:line="62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（三）预算项目绩效自评选例</w:t>
      </w:r>
    </w:p>
    <w:p>
      <w:pPr>
        <w:keepNext/>
        <w:keepLines/>
        <w:snapToGrid w:val="0"/>
        <w:spacing w:line="580" w:lineRule="exact"/>
        <w:ind w:firstLine="640" w:firstLineChars="200"/>
        <w:outlineLvl w:val="1"/>
        <w:rPr>
          <w:rFonts w:ascii="仿宋" w:hAnsi="仿宋" w:eastAsia="仿宋" w:cs="仿宋"/>
          <w:sz w:val="32"/>
          <w:szCs w:val="32"/>
        </w:rPr>
      </w:pPr>
      <w:r>
        <w:rPr>
          <w:rFonts w:hint="eastAsia" w:ascii="仿宋" w:hAnsi="仿宋" w:eastAsia="仿宋" w:cs="仿宋"/>
          <w:sz w:val="32"/>
          <w:szCs w:val="32"/>
        </w:rPr>
        <w:t>本</w:t>
      </w:r>
      <w:r>
        <w:rPr>
          <w:rFonts w:hint="eastAsia" w:ascii="宋体" w:hAnsi="宋体" w:cs="宋体"/>
          <w:sz w:val="32"/>
          <w:szCs w:val="32"/>
        </w:rPr>
        <w:t>部门</w:t>
      </w:r>
      <w:r>
        <w:rPr>
          <w:rFonts w:hint="eastAsia" w:ascii="仿宋" w:hAnsi="仿宋" w:eastAsia="仿宋" w:cs="仿宋"/>
          <w:sz w:val="32"/>
          <w:szCs w:val="32"/>
        </w:rPr>
        <w:t>无民生项目和重点支出项目。</w:t>
      </w:r>
    </w:p>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本部门</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年度机关运行经费支出</w:t>
      </w:r>
      <w:r>
        <w:rPr>
          <w:rFonts w:ascii="仿宋_GB2312" w:hAnsi="仿宋_GB2312" w:eastAsia="仿宋_GB2312" w:cs="仿宋_GB2312"/>
          <w:sz w:val="32"/>
          <w:szCs w:val="32"/>
        </w:rPr>
        <w:t>382.76</w:t>
      </w:r>
      <w:r>
        <w:rPr>
          <w:rFonts w:hint="eastAsia" w:ascii="仿宋_GB2312" w:hAnsi="仿宋_GB2312" w:eastAsia="仿宋_GB2312" w:cs="仿宋_GB2312"/>
          <w:sz w:val="32"/>
          <w:szCs w:val="32"/>
        </w:rPr>
        <w:t>万元，比</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年度增加</w:t>
      </w:r>
      <w:r>
        <w:rPr>
          <w:rFonts w:ascii="仿宋_GB2312" w:hAnsi="仿宋_GB2312" w:eastAsia="仿宋_GB2312" w:cs="仿宋_GB2312"/>
          <w:sz w:val="32"/>
          <w:szCs w:val="32"/>
        </w:rPr>
        <w:t>77.43</w:t>
      </w:r>
      <w:r>
        <w:rPr>
          <w:rFonts w:hint="eastAsia" w:ascii="仿宋_GB2312" w:hAnsi="仿宋_GB2312" w:eastAsia="仿宋_GB2312" w:cs="仿宋_GB2312"/>
          <w:sz w:val="32"/>
          <w:szCs w:val="32"/>
        </w:rPr>
        <w:t>万元，增长</w:t>
      </w:r>
      <w:r>
        <w:rPr>
          <w:rFonts w:ascii="仿宋_GB2312" w:hAnsi="仿宋_GB2312" w:eastAsia="仿宋_GB2312" w:cs="仿宋_GB2312"/>
          <w:sz w:val="32"/>
          <w:szCs w:val="32"/>
        </w:rPr>
        <w:t>25.35%</w:t>
      </w:r>
      <w:r>
        <w:rPr>
          <w:rFonts w:hint="eastAsia" w:ascii="仿宋_GB2312" w:hAnsi="仿宋_GB2312" w:eastAsia="仿宋_GB2312" w:cs="仿宋_GB2312"/>
          <w:sz w:val="32"/>
          <w:szCs w:val="32"/>
        </w:rPr>
        <w:t>。主要是</w:t>
      </w:r>
      <w:r>
        <w:rPr>
          <w:rFonts w:hint="eastAsia" w:ascii="仿宋_GB2312" w:hAnsi="Times New Roman" w:eastAsia="仿宋_GB2312" w:cs="DengXian-Regular"/>
          <w:sz w:val="32"/>
          <w:szCs w:val="32"/>
        </w:rPr>
        <w:t>劳务派遣人员工资以及物价上涨等因素导致运行经费增加。</w:t>
      </w:r>
    </w:p>
    <w:p>
      <w:pPr>
        <w:adjustRightInd w:val="0"/>
        <w:snapToGrid w:val="0"/>
        <w:spacing w:line="600" w:lineRule="exact"/>
        <w:ind w:firstLine="640" w:firstLineChars="200"/>
        <w:rPr>
          <w:rFonts w:ascii="仿宋_GB2312" w:hAnsi="仿宋_GB2312" w:eastAsia="仿宋_GB2312" w:cs="仿宋_GB2312"/>
          <w:sz w:val="32"/>
          <w:szCs w:val="32"/>
          <w:highlight w:val="yellow"/>
        </w:rPr>
      </w:pPr>
    </w:p>
    <w:p>
      <w:pPr>
        <w:keepNext/>
        <w:keepLines/>
        <w:snapToGrid w:val="0"/>
        <w:spacing w:line="60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年度政府采购支出总额</w:t>
      </w:r>
      <w:r>
        <w:rPr>
          <w:rFonts w:ascii="仿宋_GB2312" w:hAnsi="Times New Roman" w:eastAsia="仿宋_GB2312" w:cs="DengXian-Regular"/>
          <w:sz w:val="32"/>
          <w:szCs w:val="32"/>
        </w:rPr>
        <w:t>258.44</w:t>
      </w:r>
      <w:r>
        <w:rPr>
          <w:rFonts w:hint="eastAsia" w:ascii="仿宋_GB2312" w:hAnsi="Times New Roman" w:eastAsia="仿宋_GB2312" w:cs="DengXian-Regular"/>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258.44</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258.44</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100%</w:t>
      </w:r>
      <w:r>
        <w:rPr>
          <w:rFonts w:hint="eastAsia" w:ascii="仿宋_GB2312" w:hAnsi="仿宋_GB2312" w:eastAsia="仿宋_GB2312" w:cs="仿宋_GB2312"/>
          <w:color w:val="000000"/>
          <w:kern w:val="0"/>
          <w:sz w:val="32"/>
          <w:szCs w:val="32"/>
        </w:rPr>
        <w:t>，其中授予小微企业合同金额</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仿宋_GB2312" w:eastAsia="仿宋_GB2312" w:cs="仿宋_GB2312"/>
          <w:sz w:val="32"/>
          <w:szCs w:val="32"/>
          <w:highlight w:val="none"/>
        </w:rPr>
        <w:t>截至</w:t>
      </w:r>
      <w:r>
        <w:rPr>
          <w:rFonts w:ascii="仿宋_GB2312" w:hAnsi="仿宋_GB2312" w:eastAsia="仿宋_GB2312" w:cs="仿宋_GB2312"/>
          <w:sz w:val="32"/>
          <w:szCs w:val="32"/>
          <w:highlight w:val="none"/>
        </w:rPr>
        <w:t>2020</w:t>
      </w:r>
      <w:r>
        <w:rPr>
          <w:rFonts w:hint="eastAsia" w:ascii="仿宋_GB2312" w:hAnsi="仿宋_GB2312" w:eastAsia="仿宋_GB2312" w:cs="仿宋_GB2312"/>
          <w:sz w:val="32"/>
          <w:szCs w:val="32"/>
          <w:highlight w:val="none"/>
        </w:rPr>
        <w:t>年</w:t>
      </w:r>
      <w:r>
        <w:rPr>
          <w:rFonts w:ascii="仿宋_GB2312" w:hAnsi="仿宋_GB2312" w:eastAsia="仿宋_GB2312" w:cs="仿宋_GB2312"/>
          <w:sz w:val="32"/>
          <w:szCs w:val="32"/>
          <w:highlight w:val="none"/>
        </w:rPr>
        <w:t>12</w:t>
      </w:r>
      <w:r>
        <w:rPr>
          <w:rFonts w:hint="eastAsia" w:ascii="仿宋_GB2312" w:hAnsi="仿宋_GB2312" w:eastAsia="仿宋_GB2312" w:cs="仿宋_GB2312"/>
          <w:sz w:val="32"/>
          <w:szCs w:val="32"/>
          <w:highlight w:val="none"/>
        </w:rPr>
        <w:t>月</w:t>
      </w:r>
      <w:r>
        <w:rPr>
          <w:rFonts w:ascii="仿宋_GB2312" w:hAnsi="仿宋_GB2312" w:eastAsia="仿宋_GB2312" w:cs="仿宋_GB2312"/>
          <w:sz w:val="32"/>
          <w:szCs w:val="32"/>
          <w:highlight w:val="none"/>
        </w:rPr>
        <w:t>31</w:t>
      </w:r>
      <w:r>
        <w:rPr>
          <w:rFonts w:hint="eastAsia" w:ascii="仿宋_GB2312" w:hAnsi="仿宋_GB2312" w:eastAsia="仿宋_GB2312" w:cs="仿宋_GB2312"/>
          <w:sz w:val="32"/>
          <w:szCs w:val="32"/>
          <w:highlight w:val="none"/>
        </w:rPr>
        <w:t>日，本部门共有车辆</w:t>
      </w:r>
      <w:r>
        <w:rPr>
          <w:rFonts w:ascii="仿宋_GB2312" w:hAnsi="仿宋_GB2312" w:eastAsia="仿宋_GB2312" w:cs="仿宋_GB2312"/>
          <w:sz w:val="32"/>
          <w:szCs w:val="32"/>
          <w:highlight w:val="none"/>
        </w:rPr>
        <w:t>17</w:t>
      </w:r>
      <w:r>
        <w:rPr>
          <w:rFonts w:hint="eastAsia" w:ascii="仿宋_GB2312" w:hAnsi="仿宋_GB2312" w:eastAsia="仿宋_GB2312" w:cs="仿宋_GB2312"/>
          <w:sz w:val="32"/>
          <w:szCs w:val="32"/>
          <w:highlight w:val="none"/>
        </w:rPr>
        <w:t>辆，与上年持平。其中，</w:t>
      </w:r>
      <w:r>
        <w:rPr>
          <w:rFonts w:hint="eastAsia" w:ascii="仿宋_GB2312" w:hAnsi="Times New Roman" w:eastAsia="仿宋_GB2312" w:cs="DengXian-Regular"/>
          <w:sz w:val="32"/>
          <w:szCs w:val="32"/>
          <w:highlight w:val="none"/>
        </w:rPr>
        <w:t>副部（省）级及以上领导用车</w:t>
      </w:r>
      <w:r>
        <w:rPr>
          <w:rFonts w:ascii="仿宋_GB2312" w:hAnsi="Times New Roman" w:eastAsia="仿宋_GB2312" w:cs="DengXian-Regular"/>
          <w:sz w:val="32"/>
          <w:szCs w:val="32"/>
          <w:highlight w:val="none"/>
        </w:rPr>
        <w:t>0</w:t>
      </w:r>
      <w:r>
        <w:rPr>
          <w:rFonts w:hint="eastAsia" w:ascii="仿宋_GB2312" w:hAnsi="Times New Roman" w:eastAsia="仿宋_GB2312" w:cs="DengXian-Regular"/>
          <w:sz w:val="32"/>
          <w:szCs w:val="32"/>
          <w:highlight w:val="none"/>
        </w:rPr>
        <w:t>辆，主要领导干部用车</w:t>
      </w:r>
      <w:r>
        <w:rPr>
          <w:rFonts w:ascii="仿宋_GB2312" w:hAnsi="Times New Roman" w:eastAsia="仿宋_GB2312" w:cs="DengXian-Regular"/>
          <w:sz w:val="32"/>
          <w:szCs w:val="32"/>
          <w:highlight w:val="none"/>
        </w:rPr>
        <w:t>0</w:t>
      </w:r>
      <w:r>
        <w:rPr>
          <w:rFonts w:hint="eastAsia" w:ascii="仿宋_GB2312" w:hAnsi="Times New Roman" w:eastAsia="仿宋_GB2312" w:cs="DengXian-Regular"/>
          <w:sz w:val="32"/>
          <w:szCs w:val="32"/>
          <w:highlight w:val="none"/>
        </w:rPr>
        <w:t>辆，机要通信用车</w:t>
      </w:r>
      <w:r>
        <w:rPr>
          <w:rFonts w:ascii="仿宋_GB2312" w:hAnsi="Times New Roman" w:eastAsia="仿宋_GB2312" w:cs="DengXian-Regular"/>
          <w:sz w:val="32"/>
          <w:szCs w:val="32"/>
          <w:highlight w:val="none"/>
        </w:rPr>
        <w:t>0</w:t>
      </w:r>
      <w:r>
        <w:rPr>
          <w:rFonts w:hint="eastAsia" w:ascii="仿宋_GB2312" w:hAnsi="Times New Roman" w:eastAsia="仿宋_GB2312" w:cs="DengXian-Regular"/>
          <w:sz w:val="32"/>
          <w:szCs w:val="32"/>
          <w:highlight w:val="none"/>
        </w:rPr>
        <w:t>辆，应急保障用车</w:t>
      </w:r>
      <w:r>
        <w:rPr>
          <w:rFonts w:ascii="仿宋_GB2312" w:hAnsi="Times New Roman" w:eastAsia="仿宋_GB2312" w:cs="DengXian-Regular"/>
          <w:sz w:val="32"/>
          <w:szCs w:val="32"/>
          <w:highlight w:val="none"/>
        </w:rPr>
        <w:t>2</w:t>
      </w:r>
      <w:r>
        <w:rPr>
          <w:rFonts w:hint="eastAsia" w:ascii="仿宋_GB2312" w:hAnsi="Times New Roman" w:eastAsia="仿宋_GB2312" w:cs="DengXian-Regular"/>
          <w:sz w:val="32"/>
          <w:szCs w:val="32"/>
          <w:highlight w:val="none"/>
        </w:rPr>
        <w:t>辆，执法执勤用车</w:t>
      </w:r>
      <w:r>
        <w:rPr>
          <w:rFonts w:ascii="仿宋_GB2312" w:hAnsi="Times New Roman" w:eastAsia="仿宋_GB2312" w:cs="DengXian-Regular"/>
          <w:sz w:val="32"/>
          <w:szCs w:val="32"/>
          <w:highlight w:val="none"/>
        </w:rPr>
        <w:t>4</w:t>
      </w:r>
      <w:r>
        <w:rPr>
          <w:rFonts w:hint="eastAsia" w:ascii="仿宋_GB2312" w:hAnsi="Times New Roman" w:eastAsia="仿宋_GB2312" w:cs="DengXian-Regular"/>
          <w:sz w:val="32"/>
          <w:szCs w:val="32"/>
          <w:highlight w:val="none"/>
        </w:rPr>
        <w:t>辆，特种专业技术用车</w:t>
      </w:r>
      <w:r>
        <w:rPr>
          <w:rFonts w:ascii="仿宋_GB2312" w:hAnsi="Times New Roman" w:eastAsia="仿宋_GB2312" w:cs="DengXian-Regular"/>
          <w:sz w:val="32"/>
          <w:szCs w:val="32"/>
          <w:highlight w:val="none"/>
        </w:rPr>
        <w:t>0</w:t>
      </w:r>
      <w:r>
        <w:rPr>
          <w:rFonts w:hint="eastAsia" w:ascii="仿宋_GB2312" w:hAnsi="Times New Roman" w:eastAsia="仿宋_GB2312" w:cs="DengXian-Regular"/>
          <w:sz w:val="32"/>
          <w:szCs w:val="32"/>
          <w:highlight w:val="none"/>
        </w:rPr>
        <w:t>辆，离退休干部用车</w:t>
      </w:r>
      <w:r>
        <w:rPr>
          <w:rFonts w:ascii="仿宋_GB2312" w:hAnsi="Times New Roman" w:eastAsia="仿宋_GB2312" w:cs="DengXian-Regular"/>
          <w:sz w:val="32"/>
          <w:szCs w:val="32"/>
          <w:highlight w:val="none"/>
        </w:rPr>
        <w:t>1</w:t>
      </w:r>
      <w:r>
        <w:rPr>
          <w:rFonts w:hint="eastAsia" w:ascii="仿宋_GB2312" w:hAnsi="Times New Roman" w:eastAsia="仿宋_GB2312" w:cs="DengXian-Regular"/>
          <w:sz w:val="32"/>
          <w:szCs w:val="32"/>
          <w:highlight w:val="none"/>
        </w:rPr>
        <w:t>辆，其他用车</w:t>
      </w:r>
      <w:r>
        <w:rPr>
          <w:rFonts w:hint="eastAsia" w:ascii="仿宋_GB2312" w:hAnsi="Times New Roman" w:eastAsia="仿宋_GB2312" w:cs="DengXian-Regular"/>
          <w:sz w:val="32"/>
          <w:szCs w:val="32"/>
          <w:highlight w:val="none"/>
          <w:lang w:val="en-US" w:eastAsia="zh-CN"/>
        </w:rPr>
        <w:t>1</w:t>
      </w:r>
      <w:r>
        <w:rPr>
          <w:rFonts w:ascii="仿宋_GB2312" w:hAnsi="Times New Roman" w:eastAsia="仿宋_GB2312" w:cs="DengXian-Regular"/>
          <w:sz w:val="32"/>
          <w:szCs w:val="32"/>
          <w:highlight w:val="none"/>
        </w:rPr>
        <w:t>0</w:t>
      </w:r>
      <w:r>
        <w:rPr>
          <w:rFonts w:hint="eastAsia" w:ascii="仿宋_GB2312" w:hAnsi="Times New Roman" w:eastAsia="仿宋_GB2312" w:cs="DengXian-Regular"/>
          <w:sz w:val="32"/>
          <w:szCs w:val="32"/>
          <w:highlight w:val="none"/>
        </w:rPr>
        <w:t>辆</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highlight w:val="none"/>
          <w:lang w:val="en-US" w:eastAsia="zh-CN"/>
        </w:rPr>
        <w:t>其他用车主要是下乡用车</w:t>
      </w:r>
      <w:r>
        <w:rPr>
          <w:rFonts w:hint="eastAsia" w:ascii="仿宋_GB2312" w:hAnsi="Times New Roman" w:eastAsia="仿宋_GB2312" w:cs="DengXian-Regular"/>
          <w:sz w:val="32"/>
          <w:szCs w:val="32"/>
          <w:highlight w:val="none"/>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本部门没有部门价值</w:t>
      </w:r>
      <w:r>
        <w:rPr>
          <w:rFonts w:ascii="仿宋_GB2312" w:hAnsi="仿宋_GB2312" w:eastAsia="仿宋_GB2312" w:cs="仿宋_GB2312"/>
          <w:sz w:val="32"/>
          <w:szCs w:val="32"/>
        </w:rPr>
        <w:t>50</w:t>
      </w:r>
      <w:r>
        <w:rPr>
          <w:rFonts w:hint="eastAsia" w:ascii="仿宋_GB2312" w:hAnsi="仿宋_GB2312" w:eastAsia="仿宋_GB2312" w:cs="仿宋_GB2312"/>
          <w:sz w:val="32"/>
          <w:szCs w:val="32"/>
        </w:rPr>
        <w:t>万元以上通用设备及部门价值</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万元以上专用设备，与上年持平。</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 xml:space="preserve">1. </w:t>
      </w:r>
      <w:r>
        <w:rPr>
          <w:rFonts w:hint="eastAsia" w:ascii="仿宋_GB2312" w:hAnsi="仿宋_GB2312" w:eastAsia="仿宋_GB2312" w:cs="仿宋_GB2312"/>
          <w:sz w:val="32"/>
          <w:szCs w:val="32"/>
        </w:rPr>
        <w:t>本部门</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年度未发生国有资金经营预算收支及结转结余情况，故国有资金经营预算支出表以空表列示。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 xml:space="preserve">2. </w:t>
      </w:r>
      <w:r>
        <w:rPr>
          <w:rFonts w:hint="eastAsia" w:ascii="仿宋_GB2312" w:hAnsi="仿宋_GB2312" w:eastAsia="仿宋_GB2312" w:cs="仿宋_GB2312"/>
          <w:sz w:val="32"/>
          <w:szCs w:val="32"/>
        </w:rPr>
        <w:t>由于决算公开表格中金额数值应当保留两位小数，公开数据为四舍五入计算结果，个别数据合计项与分项之和存在小数点后差额，特此说明。</w:t>
      </w:r>
    </w:p>
    <w:p>
      <w:pPr>
        <w:rPr>
          <w:rFonts w:ascii="仿宋_GB2312" w:hAnsi="仿宋_GB2312" w:eastAsia="仿宋_GB2312" w:cs="仿宋_GB2312"/>
          <w:sz w:val="32"/>
          <w:szCs w:val="32"/>
        </w:rPr>
      </w:pPr>
      <w:r>
        <w:rPr>
          <w:rFonts w:ascii="仿宋_GB2312" w:hAnsi="仿宋_GB2312" w:eastAsia="仿宋_GB2312" w:cs="仿宋_GB2312"/>
          <w:sz w:val="32"/>
          <w:szCs w:val="32"/>
        </w:rPr>
        <w:br w:type="page"/>
      </w:r>
    </w:p>
    <w:p>
      <w:pPr>
        <w:adjustRightInd w:val="0"/>
        <w:snapToGrid w:val="0"/>
        <w:spacing w:line="600" w:lineRule="exact"/>
        <w:ind w:firstLine="640" w:firstLineChars="200"/>
        <w:rPr>
          <w:rFonts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pict>
          <v:shape id="_x0000_s1034" o:spid="_x0000_s1034" o:spt="202" type="#_x0000_t202" style="position:absolute;left:0pt;margin-left:-80.5pt;margin-top:15.9pt;height:263.1pt;width:613.65pt;z-index:251658240;v-text-anchor:middle;mso-width-relative:page;mso-height-relative:page;" fillcolor="#7F7F7F" filled="t" stroked="t" coordsize="21600,21600">
            <v:path/>
            <v:fill type="pattern" on="t" focussize="0,0"/>
            <v:stroke weight="0.5pt" color="#7F7F7F" joinstyle="round"/>
            <v:imagedata o:title=""/>
            <o:lock v:ext="edit"/>
            <v:textbox>
              <w:txbxContent>
                <w:p>
                  <w:pPr>
                    <w:widowControl/>
                    <w:jc w:val="center"/>
                  </w:pPr>
                  <w:r>
                    <w:rPr>
                      <w:rFonts w:hint="eastAsia" w:ascii="黑体" w:hAnsi="黑体" w:eastAsia="黑体" w:cs="黑体"/>
                      <w:color w:val="000000"/>
                      <w:sz w:val="90"/>
                      <w:szCs w:val="90"/>
                    </w:rPr>
                    <w:t>第三部分</w:t>
                  </w:r>
                  <w:r>
                    <w:rPr>
                      <w:rFonts w:ascii="黑体" w:hAnsi="黑体" w:eastAsia="黑体" w:cs="黑体"/>
                      <w:color w:val="000000"/>
                      <w:sz w:val="90"/>
                      <w:szCs w:val="90"/>
                    </w:rPr>
                    <w:t xml:space="preserve"> </w:t>
                  </w:r>
                  <w:r>
                    <w:rPr>
                      <w:rFonts w:hint="eastAsia" w:ascii="黑体" w:hAnsi="黑体" w:eastAsia="黑体" w:cs="黑体"/>
                      <w:color w:val="000000"/>
                      <w:sz w:val="90"/>
                      <w:szCs w:val="90"/>
                    </w:rPr>
                    <w:t>相关名词解释</w:t>
                  </w:r>
                </w:p>
              </w:txbxContent>
            </v:textbox>
          </v:shape>
        </w:pic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指事业部门开展专业业务活动及辅助活动所取得的收入。</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（五）结余分配：</w:t>
      </w:r>
      <w:r>
        <w:rPr>
          <w:rFonts w:hint="eastAsia" w:ascii="仿宋_GB2312" w:hAnsi="宋体" w:eastAsia="仿宋_GB2312"/>
          <w:color w:val="000000"/>
          <w:kern w:val="0"/>
          <w:sz w:val="32"/>
          <w:szCs w:val="32"/>
        </w:rPr>
        <w:t>指事业部门按照事业部门会计制度的规定从非财政补助结余中分配的事业基金和职工福利基金等。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（六）年末结转和结余：</w:t>
      </w:r>
      <w:r>
        <w:rPr>
          <w:rFonts w:hint="eastAsia" w:ascii="仿宋_GB2312" w:hAnsi="宋体" w:eastAsia="仿宋_GB2312"/>
          <w:color w:val="000000"/>
          <w:kern w:val="0"/>
          <w:sz w:val="32"/>
          <w:szCs w:val="32"/>
        </w:rPr>
        <w:t>指部门按有关规定结转到下年或以后年度继续使用的资金，或项目已完成等产生的结余资金。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（七）基本支出：</w:t>
      </w:r>
      <w:r>
        <w:rPr>
          <w:rFonts w:hint="eastAsia" w:ascii="仿宋_GB2312" w:hAnsi="宋体" w:eastAsia="仿宋_GB2312"/>
          <w:color w:val="000000"/>
          <w:kern w:val="0"/>
          <w:sz w:val="32"/>
          <w:szCs w:val="32"/>
        </w:rPr>
        <w:t>填列部门为保障机构正常运转、完成日常工作任务而发生的各项支出。</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（八）项目支出：</w:t>
      </w:r>
      <w:r>
        <w:rPr>
          <w:rFonts w:hint="eastAsia" w:ascii="仿宋_GB2312" w:hAnsi="宋体" w:eastAsia="仿宋_GB2312"/>
          <w:color w:val="000000"/>
          <w:kern w:val="0"/>
          <w:sz w:val="32"/>
          <w:szCs w:val="32"/>
        </w:rPr>
        <w:t>填列部门为完成特定的行政工作任务或事业发展目标，在基本支出之外发生的各项支出</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（九）基本建设支出：</w:t>
      </w:r>
      <w:r>
        <w:rPr>
          <w:rFonts w:hint="eastAsia" w:ascii="仿宋_GB2312" w:hAnsi="宋体" w:eastAsia="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（十）其他资本性支出：</w:t>
      </w:r>
      <w:r>
        <w:rPr>
          <w:rFonts w:hint="eastAsia" w:ascii="仿宋_GB2312" w:hAnsi="宋体" w:eastAsia="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部门公务出国（境）的国际旅费、国外城市间交通费、住宿费、伙食费、培训费、公杂费等支出；公务用车购置及运行费反映部门公务用车购置支出（含车辆购置税、牌照费）及按规定保留的公务用车燃料费、维修费、过桥过路费、保险费、安全奖励费用等支出；公务接待费反映部门按规定开支的各类公务接待（含外宾接待）支出。</w:t>
      </w:r>
    </w:p>
    <w:p>
      <w:pPr>
        <w:snapToGrid w:val="0"/>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（十二）其他交通费用：</w:t>
      </w:r>
      <w:r>
        <w:rPr>
          <w:rFonts w:hint="eastAsia" w:ascii="仿宋_GB2312" w:hAnsi="宋体" w:eastAsia="仿宋_GB2312"/>
          <w:color w:val="000000"/>
          <w:kern w:val="0"/>
          <w:sz w:val="32"/>
          <w:szCs w:val="32"/>
        </w:rPr>
        <w:t>填列部门除公务用车运行维护费以外的其他交通费用。如公务交通补贴、租车费用、出租车费用，飞机、船舶等燃料费、维修费、保险费等。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（十三）公务用车购置：</w:t>
      </w:r>
      <w:r>
        <w:rPr>
          <w:rFonts w:hint="eastAsia" w:ascii="仿宋_GB2312" w:hAnsi="宋体" w:eastAsia="仿宋_GB2312"/>
          <w:color w:val="000000"/>
          <w:kern w:val="0"/>
          <w:sz w:val="32"/>
          <w:szCs w:val="32"/>
        </w:rPr>
        <w:t>填列部门公务用车车辆购置支出（含车辆购置税、牌照费）。</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（十四）其他交通工具购置：</w:t>
      </w:r>
      <w:r>
        <w:rPr>
          <w:rFonts w:hint="eastAsia" w:ascii="仿宋_GB2312" w:hAnsi="宋体" w:eastAsia="仿宋_GB2312"/>
          <w:color w:val="000000"/>
          <w:kern w:val="0"/>
          <w:sz w:val="32"/>
          <w:szCs w:val="32"/>
        </w:rPr>
        <w:t>填列部门除公务用车外的其他各类交通工具（如船舶、飞机等）购置支出（含车辆购置税、牌照费）。</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（十五）机关运行经费：</w:t>
      </w:r>
      <w:r>
        <w:rPr>
          <w:rFonts w:hint="eastAsia" w:ascii="仿宋_GB2312" w:hAnsi="宋体" w:eastAsia="仿宋_GB2312"/>
          <w:color w:val="000000"/>
          <w:kern w:val="0"/>
          <w:sz w:val="32"/>
          <w:szCs w:val="32"/>
        </w:rPr>
        <w:t>指为保障行政部门（包括参照公务员法管理的事业部门）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b/>
          <w:bCs/>
          <w:color w:val="000000"/>
          <w:kern w:val="0"/>
          <w:sz w:val="32"/>
          <w:szCs w:val="32"/>
        </w:rPr>
        <w:t>（十六）经费形式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sz w:val="32"/>
          <w:szCs w:val="32"/>
        </w:rPr>
      </w:pPr>
      <w:r>
        <w:rPr>
          <w:rFonts w:ascii="Times New Roman" w:hAnsi="Times New Roman" w:eastAsia="黑体"/>
          <w:sz w:val="32"/>
          <w:szCs w:val="32"/>
        </w:rPr>
        <w:br w:type="page"/>
      </w:r>
    </w:p>
    <w:p>
      <w:pPr>
        <w:widowControl/>
        <w:spacing w:after="160" w:line="580" w:lineRule="exact"/>
        <w:rPr>
          <w:rFonts w:ascii="Times New Roman" w:hAnsi="Times New Roman" w:eastAsia="黑体"/>
          <w:sz w:val="32"/>
          <w:szCs w:val="32"/>
        </w:rPr>
        <w:sectPr>
          <w:headerReference r:id="rId14" w:type="default"/>
          <w:pgSz w:w="11906" w:h="16838"/>
          <w:pgMar w:top="2098" w:right="1531" w:bottom="1984" w:left="1531" w:header="851" w:footer="992" w:gutter="0"/>
          <w:pgNumType w:fmt="numberInDash"/>
          <w:cols w:space="0" w:num="1"/>
          <w:titlePg/>
          <w:docGrid w:type="lines" w:linePitch="312" w:charSpace="0"/>
        </w:sectPr>
      </w:pPr>
    </w:p>
    <w:p>
      <w:pPr>
        <w:rPr>
          <w:sz w:val="72"/>
        </w:rPr>
      </w:pPr>
      <w:r>
        <w:pict>
          <v:shape id="_x0000_s1035" o:spid="_x0000_s1035" o:spt="202" type="#_x0000_t202" style="position:absolute;left:0pt;margin-left:-80.9pt;margin-top:90.65pt;height:263.1pt;width:613.65pt;z-index:251662336;v-text-anchor:middle;mso-width-relative:page;mso-height-relative:page;" fillcolor="#7F7F7F" filled="t" stroked="t" coordsize="21600,21600">
            <v:path/>
            <v:fill type="pattern" on="t" focussize="0,0"/>
            <v:stroke weight="1pt" color="#A6A6A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第四部分</w:t>
                  </w:r>
                  <w:r>
                    <w:rPr>
                      <w:rFonts w:ascii="黑体" w:hAnsi="黑体" w:eastAsia="黑体" w:cs="黑体"/>
                      <w:color w:val="000000"/>
                      <w:sz w:val="90"/>
                      <w:szCs w:val="90"/>
                    </w:rPr>
                    <w:t xml:space="preserve"> </w:t>
                  </w:r>
                </w:p>
                <w:p>
                  <w:pPr>
                    <w:widowControl/>
                    <w:jc w:val="center"/>
                  </w:pPr>
                  <w:r>
                    <w:rPr>
                      <w:rFonts w:ascii="黑体" w:hAnsi="黑体" w:eastAsia="黑体" w:cs="黑体"/>
                      <w:color w:val="000000"/>
                      <w:sz w:val="90"/>
                      <w:szCs w:val="90"/>
                    </w:rPr>
                    <w:t>2020</w:t>
                  </w:r>
                  <w:r>
                    <w:rPr>
                      <w:rFonts w:hint="eastAsia" w:ascii="黑体" w:hAnsi="黑体" w:eastAsia="黑体" w:cs="黑体"/>
                      <w:color w:val="000000"/>
                      <w:sz w:val="90"/>
                      <w:szCs w:val="90"/>
                    </w:rPr>
                    <w:t>年度部门决算报表</w:t>
                  </w:r>
                </w:p>
                <w:p/>
              </w:txbxContent>
            </v:textbox>
          </v:shape>
        </w:pict>
      </w:r>
    </w:p>
    <w:p/>
    <w:p/>
    <w:p/>
    <w:p/>
    <w:p/>
    <w:p/>
    <w:p/>
    <w:p/>
    <w:p/>
    <w:p/>
    <w:p/>
    <w:p/>
    <w:p/>
    <w:p/>
    <w:p/>
    <w:p/>
    <w:p/>
    <w:p/>
    <w:p/>
    <w:p/>
    <w:p/>
    <w:p>
      <w:r>
        <w:br w:type="page"/>
      </w:r>
    </w:p>
    <w:tbl>
      <w:tblPr>
        <w:tblStyle w:val="6"/>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080"/>
        <w:gridCol w:w="406"/>
        <w:gridCol w:w="883"/>
        <w:gridCol w:w="2889"/>
        <w:gridCol w:w="406"/>
        <w:gridCol w:w="12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4" w:hRule="atLeast"/>
        </w:trPr>
        <w:tc>
          <w:tcPr>
            <w:tcW w:w="8868" w:type="dxa"/>
            <w:gridSpan w:val="6"/>
            <w:tcBorders>
              <w:top w:val="nil"/>
              <w:left w:val="nil"/>
              <w:bottom w:val="nil"/>
              <w:right w:val="nil"/>
            </w:tcBorders>
            <w:shd w:val="clear" w:color="auto" w:fill="auto"/>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308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0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83"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2889"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0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204"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4369" w:type="dxa"/>
            <w:gridSpan w:val="3"/>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w:t>
            </w:r>
            <w:r>
              <w:rPr>
                <w:rFonts w:hint="eastAsia" w:ascii="宋体" w:hAnsi="宋体" w:cs="宋体"/>
                <w:i w:val="0"/>
                <w:color w:val="000000"/>
                <w:kern w:val="0"/>
                <w:sz w:val="20"/>
                <w:szCs w:val="20"/>
                <w:u w:val="none"/>
                <w:lang w:val="en-US" w:eastAsia="zh-CN" w:bidi="ar"/>
              </w:rPr>
              <w:t>农村</w:t>
            </w:r>
            <w:r>
              <w:rPr>
                <w:rFonts w:hint="eastAsia" w:ascii="宋体" w:hAnsi="宋体" w:eastAsia="宋体" w:cs="宋体"/>
                <w:i w:val="0"/>
                <w:color w:val="000000"/>
                <w:kern w:val="0"/>
                <w:sz w:val="20"/>
                <w:szCs w:val="20"/>
                <w:u w:val="none"/>
                <w:lang w:val="en-US" w:eastAsia="zh-CN" w:bidi="ar"/>
              </w:rPr>
              <w:t>局（汇总）</w:t>
            </w:r>
          </w:p>
        </w:tc>
        <w:tc>
          <w:tcPr>
            <w:tcW w:w="2889"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610"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369" w:type="dxa"/>
            <w:gridSpan w:val="3"/>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4499" w:type="dxa"/>
            <w:gridSpan w:val="3"/>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883"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20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83"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20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15,694.47</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三、国有资本经营预算财政拨款收入</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四、上级补助收入</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五、事业收入</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六、经营收入</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七、附属单位上缴收入</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八、其他收入</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2,667.63</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22,236.94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十四、资源勘探工业信息等支出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二十一、国有资本经营预算支出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二十二、灾害防治及应急管理支出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二十三、其他支出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b/>
                <w:i w:val="0"/>
                <w:color w:val="000000"/>
                <w:sz w:val="20"/>
                <w:szCs w:val="20"/>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二十四、债务还本支出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二十五、债务付息支出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26</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0"/>
                <w:szCs w:val="20"/>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二十六、抗疫特别国债安排的支出</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20,287.07</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25,113.84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使用非财政拨款结余</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7,155.13</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2,328.36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06" w:type="dxa"/>
            <w:tcBorders>
              <w:top w:val="nil"/>
              <w:left w:val="nil"/>
              <w:bottom w:val="single" w:color="000000" w:sz="8"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88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27,442.20</w:t>
            </w:r>
          </w:p>
        </w:tc>
        <w:tc>
          <w:tcPr>
            <w:tcW w:w="28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0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w:t>
            </w:r>
          </w:p>
        </w:tc>
        <w:tc>
          <w:tcPr>
            <w:tcW w:w="12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27,442.20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8868" w:type="dxa"/>
            <w:gridSpan w:val="6"/>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注：本表反映部门本年度的总收支和年末结转结余情况。本套报表金额单位转换时可能存在尾数误差。</w:t>
            </w:r>
          </w:p>
        </w:tc>
      </w:tr>
    </w:tbl>
    <w:p/>
    <w:p>
      <w:pPr>
        <w:rPr>
          <w:sz w:val="72"/>
          <w:szCs w:val="144"/>
        </w:rPr>
      </w:pPr>
    </w:p>
    <w:p>
      <w:pPr>
        <w:jc w:val="center"/>
        <w:rPr>
          <w:sz w:val="72"/>
          <w:szCs w:val="144"/>
        </w:rPr>
      </w:pPr>
    </w:p>
    <w:p>
      <w:pPr>
        <w:jc w:val="center"/>
        <w:rPr>
          <w:sz w:val="72"/>
          <w:szCs w:val="144"/>
        </w:rPr>
      </w:pPr>
    </w:p>
    <w:p>
      <w:pPr>
        <w:jc w:val="center"/>
        <w:rPr>
          <w:sz w:val="72"/>
          <w:szCs w:val="144"/>
        </w:rPr>
      </w:pPr>
    </w:p>
    <w:p>
      <w:pPr>
        <w:jc w:val="center"/>
        <w:rPr>
          <w:sz w:val="72"/>
          <w:szCs w:val="144"/>
        </w:rPr>
      </w:pPr>
    </w:p>
    <w:p>
      <w:pPr>
        <w:jc w:val="center"/>
        <w:rPr>
          <w:sz w:val="72"/>
          <w:szCs w:val="144"/>
        </w:rPr>
      </w:pPr>
    </w:p>
    <w:p/>
    <w:p/>
    <w:p/>
    <w:p/>
    <w:p/>
    <w:p/>
    <w:tbl>
      <w:tblPr>
        <w:tblStyle w:val="6"/>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50"/>
        <w:gridCol w:w="30"/>
        <w:gridCol w:w="31"/>
        <w:gridCol w:w="3723"/>
        <w:gridCol w:w="907"/>
        <w:gridCol w:w="907"/>
        <w:gridCol w:w="417"/>
        <w:gridCol w:w="417"/>
        <w:gridCol w:w="417"/>
        <w:gridCol w:w="417"/>
        <w:gridCol w:w="9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4" w:hRule="atLeast"/>
        </w:trPr>
        <w:tc>
          <w:tcPr>
            <w:tcW w:w="8868" w:type="dxa"/>
            <w:gridSpan w:val="11"/>
            <w:tcBorders>
              <w:top w:val="nil"/>
              <w:left w:val="nil"/>
              <w:bottom w:val="nil"/>
              <w:right w:val="nil"/>
            </w:tcBorders>
            <w:shd w:val="clear" w:color="auto" w:fill="auto"/>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65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723"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0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0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52"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4434" w:type="dxa"/>
            <w:gridSpan w:val="4"/>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部门：石家庄市鹿泉区农业农村局（汇总）</w:t>
            </w:r>
          </w:p>
        </w:tc>
        <w:tc>
          <w:tcPr>
            <w:tcW w:w="90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0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369"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434" w:type="dxa"/>
            <w:gridSpan w:val="4"/>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07"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907"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417"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417"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417"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417"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952"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723"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0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0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5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723"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0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0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5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723"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0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0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5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434"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0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0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4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4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4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4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952"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434"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20,287.07</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17,619.44</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2,667.63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2010304</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专项服务</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198.95</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198.95</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20508</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进修及培训</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198.95</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198.95</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2050802</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干部教育</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198.95</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198.95</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233.52</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233.52</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221.95</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221.95</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221.95</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221.95</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205.22</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205.22</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205.22</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205.22</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100.09</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100.09</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国有土地使用权出让收入安排的支出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924.97</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924.97</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2120899</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其他国有土地使用权出让收入安排的支出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17,442.69</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14,775.05</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2,667.63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农业农村</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17,320.69</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14,653.05</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2,667.63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1,825.71</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1,825.24</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2130104</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1,118.73</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1,116.83</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2130106</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科技转化与推广服务</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540.06</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540.06</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2130108</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病虫害控制</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283.66</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283.66</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2130109</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农产品质量安全</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76.70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76.70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2130110</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执法监管</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农业结构调整补贴</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2130122</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农业生产发展</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11,395.23</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9,342.05</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2,053.18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2130124</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农村合作经济</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388.46</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388.46</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2130126</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农村社会事业</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2130135</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农业资源保护修复与利用</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16.78</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16.78</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2130148</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成品油价格改革对渔业的补贴</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192.00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其他农业农村支出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1,134.11</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522.03</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2130799</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122.00</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260.91</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260.91</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260.91</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260.91</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1"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72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260.91</w:t>
            </w:r>
          </w:p>
        </w:tc>
        <w:tc>
          <w:tcPr>
            <w:tcW w:w="90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260.91</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bl>
    <w:p/>
    <w:p/>
    <w:p/>
    <w:p/>
    <w:p/>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tbl>
      <w:tblPr>
        <w:tblStyle w:val="6"/>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51"/>
        <w:gridCol w:w="30"/>
        <w:gridCol w:w="32"/>
        <w:gridCol w:w="3734"/>
        <w:gridCol w:w="910"/>
        <w:gridCol w:w="811"/>
        <w:gridCol w:w="910"/>
        <w:gridCol w:w="418"/>
        <w:gridCol w:w="418"/>
        <w:gridCol w:w="9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4" w:hRule="atLeast"/>
        </w:trPr>
        <w:tc>
          <w:tcPr>
            <w:tcW w:w="8868" w:type="dxa"/>
            <w:gridSpan w:val="10"/>
            <w:tcBorders>
              <w:top w:val="nil"/>
              <w:left w:val="nil"/>
              <w:bottom w:val="nil"/>
              <w:right w:val="nil"/>
            </w:tcBorders>
            <w:shd w:val="clear" w:color="auto" w:fill="auto"/>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65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2"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73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1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1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1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8"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8"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54"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4447" w:type="dxa"/>
            <w:gridSpan w:val="4"/>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部门：石家庄市鹿泉区农业农村局（汇总）</w:t>
            </w:r>
          </w:p>
        </w:tc>
        <w:tc>
          <w:tcPr>
            <w:tcW w:w="91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1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1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18"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372"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447" w:type="dxa"/>
            <w:gridSpan w:val="4"/>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10"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811"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910"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418"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418"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954"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73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11"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5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73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11"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5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73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11"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1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5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447"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1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1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1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418"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418"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95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447"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25,113.84</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3,845.53</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21,268.31</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2010304</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专项服务</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20508</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进修及培训</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2050802</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干部教育</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241.93</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107.71</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107.71</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103.78</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103.78</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国有土地使用权出让收入安排的支出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964.97</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964.97</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2120899</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其他国有土地使用权出让收入安排的支出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22,236.94</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2,945.98</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19,290.95</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农业农村</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22,175.68</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2,945.98</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19,229.70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1,825.71</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1,825.71</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2130104</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1,118.35</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1,118.35</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2130106</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科技转化与推广服务</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1,396.85</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1,396.85</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2130108</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病虫害控制</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261.50</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261.50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2130109</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农产品质量安全</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95.80</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95.80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2130110</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执法监管</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7.32</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2130121</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农业结构调整补贴</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25.50</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2130122</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农业生产发展</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10,277.17</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10,277.17</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2130124</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农村合作经济</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629.26</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629.26</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2130125</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农产品加工与促销</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4,600.00</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4,600.00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2130126</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农村社会事业</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373.24</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373.24</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2130135</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农业资源保护修复与利用</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23.78</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23.78</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2130148</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成品油价格改革对渔业的补贴</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132.00</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其他农业农村支出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1,407.28</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1,407.28</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2130799</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13"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73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8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91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1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8868" w:type="dxa"/>
            <w:gridSpan w:val="10"/>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pPr>
        <w:tabs>
          <w:tab w:val="left" w:pos="682"/>
        </w:tabs>
        <w:jc w:val="left"/>
      </w:pPr>
      <w:r>
        <w:br w:type="page"/>
      </w:r>
    </w:p>
    <w:tbl>
      <w:tblPr>
        <w:tblStyle w:val="6"/>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283"/>
        <w:gridCol w:w="316"/>
        <w:gridCol w:w="846"/>
        <w:gridCol w:w="2100"/>
        <w:gridCol w:w="317"/>
        <w:gridCol w:w="835"/>
        <w:gridCol w:w="835"/>
        <w:gridCol w:w="867"/>
        <w:gridCol w:w="4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4" w:hRule="atLeast"/>
        </w:trPr>
        <w:tc>
          <w:tcPr>
            <w:tcW w:w="8868" w:type="dxa"/>
            <w:gridSpan w:val="9"/>
            <w:tcBorders>
              <w:top w:val="nil"/>
              <w:left w:val="nil"/>
              <w:bottom w:val="nil"/>
              <w:right w:val="nil"/>
            </w:tcBorders>
            <w:shd w:val="clear" w:color="auto" w:fill="auto"/>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2283"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1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4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210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1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35"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35"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336"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5545" w:type="dxa"/>
            <w:gridSpan w:val="4"/>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部门：石家庄市鹿泉区农业农村局（汇总）</w:t>
            </w:r>
          </w:p>
        </w:tc>
        <w:tc>
          <w:tcPr>
            <w:tcW w:w="31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35"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35"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336"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445" w:type="dxa"/>
            <w:gridSpan w:val="3"/>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5423" w:type="dxa"/>
            <w:gridSpan w:val="6"/>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2" w:hRule="atLeast"/>
        </w:trPr>
        <w:tc>
          <w:tcPr>
            <w:tcW w:w="2283" w:type="dxa"/>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1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84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2100"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17"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835"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35"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867"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c>
          <w:tcPr>
            <w:tcW w:w="469"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2283"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1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4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100"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17"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35"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35"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67"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69"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4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3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3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6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46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15,694.47</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三、国有资本经营财政拨款</w:t>
            </w: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241.93</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241.93</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19,565.10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19,565.10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十四、资源勘探工业信息等支出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二十一、国有资本经营预算支出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二十二、灾害防治及应急管理支出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二十三、其他支出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b/>
                <w:i w:val="0"/>
                <w:color w:val="000000"/>
                <w:sz w:val="20"/>
                <w:szCs w:val="20"/>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二十四、债务还本支出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二十五、债务付息支出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二十六、抗疫特别国债安排的支出</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17,619.44</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22,442.01</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20,477.04</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7,150.28</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2,327.71</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2,327.71</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一般公共预算财政拨款</w:t>
            </w: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7,110.28</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政府性基金预算财政拨款</w:t>
            </w: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国有资本经营预算财政拨款</w:t>
            </w:r>
          </w:p>
        </w:tc>
        <w:tc>
          <w:tcPr>
            <w:tcW w:w="3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316" w:type="dxa"/>
            <w:tcBorders>
              <w:top w:val="nil"/>
              <w:left w:val="nil"/>
              <w:bottom w:val="single" w:color="000000" w:sz="8"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8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24,769.71</w:t>
            </w:r>
          </w:p>
        </w:tc>
        <w:tc>
          <w:tcPr>
            <w:tcW w:w="21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31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24,769.71</w:t>
            </w:r>
          </w:p>
        </w:tc>
        <w:tc>
          <w:tcPr>
            <w:tcW w:w="83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22,804.75</w:t>
            </w:r>
          </w:p>
        </w:tc>
        <w:tc>
          <w:tcPr>
            <w:tcW w:w="86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46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8399" w:type="dxa"/>
            <w:gridSpan w:val="8"/>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注：本表反映部门本年度一般公共预算财政拨款、政府性基金预算财政拨款和国有资本经营预算财政拨款的总收支和年末结转结余情况。</w:t>
            </w:r>
          </w:p>
        </w:tc>
        <w:tc>
          <w:tcPr>
            <w:tcW w:w="469" w:type="dxa"/>
            <w:tcBorders>
              <w:top w:val="nil"/>
              <w:left w:val="nil"/>
              <w:bottom w:val="nil"/>
              <w:right w:val="nil"/>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r>
    </w:tbl>
    <w:p>
      <w:pPr>
        <w:tabs>
          <w:tab w:val="left" w:pos="682"/>
        </w:tabs>
        <w:jc w:val="left"/>
      </w:pPr>
      <w:r>
        <w:br w:type="page"/>
      </w:r>
    </w:p>
    <w:tbl>
      <w:tblPr>
        <w:tblStyle w:val="6"/>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687"/>
        <w:gridCol w:w="30"/>
        <w:gridCol w:w="30"/>
        <w:gridCol w:w="3764"/>
        <w:gridCol w:w="1022"/>
        <w:gridCol w:w="911"/>
        <w:gridCol w:w="14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4" w:hRule="atLeast"/>
        </w:trPr>
        <w:tc>
          <w:tcPr>
            <w:tcW w:w="8868" w:type="dxa"/>
            <w:gridSpan w:val="7"/>
            <w:tcBorders>
              <w:top w:val="nil"/>
              <w:left w:val="nil"/>
              <w:bottom w:val="nil"/>
              <w:right w:val="nil"/>
            </w:tcBorders>
            <w:shd w:val="clear" w:color="auto" w:fill="auto"/>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168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76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022"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1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424"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5511" w:type="dxa"/>
            <w:gridSpan w:val="4"/>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部门：石家庄市鹿泉区农业农村局（汇总）</w:t>
            </w:r>
          </w:p>
        </w:tc>
        <w:tc>
          <w:tcPr>
            <w:tcW w:w="1022"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1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424"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511" w:type="dxa"/>
            <w:gridSpan w:val="4"/>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357" w:type="dxa"/>
            <w:gridSpan w:val="3"/>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76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22"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911"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42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7" w:hRule="atLeast"/>
        </w:trPr>
        <w:tc>
          <w:tcPr>
            <w:tcW w:w="1747"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76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022"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1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2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76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022"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1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2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511"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22"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1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2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511"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20,477.04</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3,843.16</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16,633.88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2010304</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专项服务</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20508</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进修及培训</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2050802</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干部教育</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198.96</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241.93</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230.36</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211.49</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107.71</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107.71</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103.78</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103.78</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19,565.10</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2,943.61</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16,621.49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农业农村</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19,503.85</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2,943.61</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16,560.24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1,825.24</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1,825.24</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2130104</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1,116.45</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1,116.45</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2130106</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科技转化与推广服务</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1,396.85</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1,396.85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2130108</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病虫害控制</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261.50</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2130109</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农产品质量安全</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95.80</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2130110</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执法监管</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2130121</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农业结构调整补贴</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25.50</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2130122</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农业生产发展</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8,223.99</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8,223.99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2130124</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农村合作经济</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629.26</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629.26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2130125</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农产品加工与促销</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4,600.00</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2130126</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农村社会事业</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369.04</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369.04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2130135</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农业资源保护修复与利用</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23.78</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2130148</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成品油价格改革对渔业的补贴</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132.00</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其他农业农村支出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795.20</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795.20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2130799</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747"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7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0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9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258.75</w:t>
            </w:r>
          </w:p>
        </w:tc>
        <w:tc>
          <w:tcPr>
            <w:tcW w:w="14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bl>
    <w:p>
      <w:pPr>
        <w:tabs>
          <w:tab w:val="left" w:pos="682"/>
        </w:tabs>
        <w:jc w:val="left"/>
      </w:pPr>
      <w:r>
        <w:br w:type="page"/>
      </w:r>
    </w:p>
    <w:tbl>
      <w:tblPr>
        <w:tblStyle w:val="6"/>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75"/>
        <w:gridCol w:w="2134"/>
        <w:gridCol w:w="587"/>
        <w:gridCol w:w="376"/>
        <w:gridCol w:w="1431"/>
        <w:gridCol w:w="446"/>
        <w:gridCol w:w="376"/>
        <w:gridCol w:w="2697"/>
        <w:gridCol w:w="4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4" w:hRule="atLeast"/>
        </w:trPr>
        <w:tc>
          <w:tcPr>
            <w:tcW w:w="8868" w:type="dxa"/>
            <w:gridSpan w:val="9"/>
            <w:tcBorders>
              <w:top w:val="nil"/>
              <w:left w:val="nil"/>
              <w:bottom w:val="nil"/>
              <w:right w:val="nil"/>
            </w:tcBorders>
            <w:shd w:val="clear" w:color="auto" w:fill="auto"/>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375"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213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58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7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43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4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7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143"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4903" w:type="dxa"/>
            <w:gridSpan w:val="5"/>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部门：石家庄市鹿泉区农业农村局（汇总）</w:t>
            </w:r>
          </w:p>
        </w:tc>
        <w:tc>
          <w:tcPr>
            <w:tcW w:w="44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7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143"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096" w:type="dxa"/>
            <w:gridSpan w:val="3"/>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5772" w:type="dxa"/>
            <w:gridSpan w:val="6"/>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13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587"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37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431"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44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37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697"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44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13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87"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7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3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4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7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697"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4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3,257.38</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503.18</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870.53</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46.48</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299.70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0.10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747.71</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541.06</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240.40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94.75</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223.41</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15.74</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0.59</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8.61</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5.66</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265.80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4.11</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60.16</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71.16</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13.04</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48.77</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30217</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无形资产购置</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8.99</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224.55</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医疗费补助</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17.63</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10.95</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0.35</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13.09</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24.21</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30311</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代缴社会保险费</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25.49</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0.15</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7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13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143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5.94</w:t>
            </w:r>
          </w:p>
        </w:tc>
        <w:tc>
          <w:tcPr>
            <w:tcW w:w="3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6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509" w:type="dxa"/>
            <w:gridSpan w:val="2"/>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587"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3,328.54</w:t>
            </w:r>
          </w:p>
        </w:tc>
        <w:tc>
          <w:tcPr>
            <w:tcW w:w="5326" w:type="dxa"/>
            <w:gridSpan w:val="5"/>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44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514.62</w:t>
            </w:r>
          </w:p>
        </w:tc>
      </w:tr>
    </w:tbl>
    <w:p>
      <w:pPr>
        <w:tabs>
          <w:tab w:val="left" w:pos="682"/>
        </w:tabs>
        <w:jc w:val="left"/>
      </w:pPr>
      <w:r>
        <w:br w:type="page"/>
      </w:r>
    </w:p>
    <w:tbl>
      <w:tblPr>
        <w:tblStyle w:val="6"/>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920"/>
        <w:gridCol w:w="756"/>
        <w:gridCol w:w="624"/>
        <w:gridCol w:w="564"/>
        <w:gridCol w:w="638"/>
        <w:gridCol w:w="538"/>
        <w:gridCol w:w="576"/>
        <w:gridCol w:w="571"/>
        <w:gridCol w:w="689"/>
        <w:gridCol w:w="456"/>
        <w:gridCol w:w="636"/>
        <w:gridCol w:w="9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4" w:hRule="atLeast"/>
        </w:trPr>
        <w:tc>
          <w:tcPr>
            <w:tcW w:w="8868" w:type="dxa"/>
            <w:gridSpan w:val="12"/>
            <w:tcBorders>
              <w:top w:val="nil"/>
              <w:left w:val="nil"/>
              <w:bottom w:val="nil"/>
              <w:right w:val="nil"/>
            </w:tcBorders>
            <w:shd w:val="clear" w:color="auto" w:fill="auto"/>
            <w:tcMar>
              <w:top w:w="12" w:type="dxa"/>
              <w:left w:w="12" w:type="dxa"/>
              <w:right w:w="12" w:type="dxa"/>
            </w:tcMar>
            <w:vAlign w:val="bottom"/>
          </w:tcPr>
          <w:p>
            <w:pPr>
              <w:jc w:val="center"/>
              <w:rPr>
                <w:rFonts w:hint="default" w:ascii="Arial" w:hAnsi="Arial" w:cs="Arial"/>
                <w:i w:val="0"/>
                <w:color w:val="000000"/>
                <w:sz w:val="36"/>
                <w:szCs w:val="36"/>
                <w:u w:val="none"/>
              </w:rPr>
            </w:pPr>
            <w:r>
              <w:rPr>
                <w:rFonts w:hint="eastAsia" w:ascii="宋体" w:hAnsi="宋体" w:eastAsia="宋体" w:cs="宋体"/>
                <w:i w:val="0"/>
                <w:color w:val="000000"/>
                <w:kern w:val="0"/>
                <w:sz w:val="36"/>
                <w:szCs w:val="36"/>
                <w:u w:val="none"/>
                <w:lang w:val="en-US" w:eastAsia="zh-CN" w:bidi="ar"/>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192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75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62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56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638"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538"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57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57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689"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5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63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3864" w:type="dxa"/>
            <w:gridSpan w:val="4"/>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部门：石家庄市鹿泉区农业农村局（汇总）</w:t>
            </w:r>
          </w:p>
        </w:tc>
        <w:tc>
          <w:tcPr>
            <w:tcW w:w="638"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538"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57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57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689"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5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536"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040" w:type="dxa"/>
            <w:gridSpan w:val="6"/>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3828" w:type="dxa"/>
            <w:gridSpan w:val="6"/>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920" w:type="dxa"/>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75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1826" w:type="dxa"/>
            <w:gridSpan w:val="3"/>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538"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57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571"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1781" w:type="dxa"/>
            <w:gridSpan w:val="3"/>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900"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5" w:hRule="atLeast"/>
        </w:trPr>
        <w:tc>
          <w:tcPr>
            <w:tcW w:w="1920"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5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2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56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638"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538"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7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7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45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63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900"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92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75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2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56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38"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538"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7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57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689"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45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63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90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920"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31.40</w:t>
            </w:r>
          </w:p>
        </w:tc>
        <w:tc>
          <w:tcPr>
            <w:tcW w:w="75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29.70</w:t>
            </w:r>
          </w:p>
        </w:tc>
        <w:tc>
          <w:tcPr>
            <w:tcW w:w="56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29.70</w:t>
            </w:r>
          </w:p>
        </w:tc>
        <w:tc>
          <w:tcPr>
            <w:tcW w:w="5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1.70</w:t>
            </w:r>
          </w:p>
        </w:tc>
        <w:tc>
          <w:tcPr>
            <w:tcW w:w="57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24.21</w:t>
            </w:r>
          </w:p>
        </w:tc>
        <w:tc>
          <w:tcPr>
            <w:tcW w:w="57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24.21</w:t>
            </w:r>
          </w:p>
        </w:tc>
        <w:tc>
          <w:tcPr>
            <w:tcW w:w="45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24.21</w:t>
            </w:r>
          </w:p>
        </w:tc>
        <w:tc>
          <w:tcPr>
            <w:tcW w:w="90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bl>
    <w:p>
      <w:pPr>
        <w:tabs>
          <w:tab w:val="left" w:pos="682"/>
        </w:tabs>
        <w:jc w:val="left"/>
      </w:pPr>
      <w:r>
        <w:br w:type="page"/>
      </w:r>
    </w:p>
    <w:tbl>
      <w:tblPr>
        <w:tblStyle w:val="6"/>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77"/>
        <w:gridCol w:w="31"/>
        <w:gridCol w:w="36"/>
        <w:gridCol w:w="3920"/>
        <w:gridCol w:w="541"/>
        <w:gridCol w:w="851"/>
        <w:gridCol w:w="851"/>
        <w:gridCol w:w="438"/>
        <w:gridCol w:w="851"/>
        <w:gridCol w:w="6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4" w:hRule="atLeast"/>
        </w:trPr>
        <w:tc>
          <w:tcPr>
            <w:tcW w:w="8868" w:type="dxa"/>
            <w:gridSpan w:val="10"/>
            <w:tcBorders>
              <w:top w:val="nil"/>
              <w:left w:val="nil"/>
              <w:bottom w:val="nil"/>
              <w:right w:val="nil"/>
            </w:tcBorders>
            <w:shd w:val="clear" w:color="auto" w:fill="auto"/>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677"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6"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92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54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5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5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38"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523"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4664" w:type="dxa"/>
            <w:gridSpan w:val="4"/>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部门：石家庄市鹿泉区农业农村局（汇总）</w:t>
            </w:r>
          </w:p>
        </w:tc>
        <w:tc>
          <w:tcPr>
            <w:tcW w:w="54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5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85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438"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523" w:type="dxa"/>
            <w:gridSpan w:val="2"/>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664" w:type="dxa"/>
            <w:gridSpan w:val="4"/>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41"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851"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2140" w:type="dxa"/>
            <w:gridSpan w:val="3"/>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672"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44" w:type="dxa"/>
            <w:gridSpan w:val="3"/>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920"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541"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51"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51"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438"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851"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67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4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920"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41"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51"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5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38"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5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7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4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920"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41"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51"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5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438"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5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7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664"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4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5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5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438"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5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72"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664"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54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1,924.97</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1,964.97</w:t>
            </w:r>
          </w:p>
        </w:tc>
        <w:tc>
          <w:tcPr>
            <w:tcW w:w="4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1,964.97</w:t>
            </w:r>
          </w:p>
        </w:tc>
        <w:tc>
          <w:tcPr>
            <w:tcW w:w="6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4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92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54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4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6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4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92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国有土地使用权出让收入安排的支出</w:t>
            </w:r>
          </w:p>
        </w:tc>
        <w:tc>
          <w:tcPr>
            <w:tcW w:w="54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4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6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4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392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54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924.97</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964.97</w:t>
            </w:r>
          </w:p>
        </w:tc>
        <w:tc>
          <w:tcPr>
            <w:tcW w:w="4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964.97</w:t>
            </w:r>
          </w:p>
        </w:tc>
        <w:tc>
          <w:tcPr>
            <w:tcW w:w="6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4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2120899</w:t>
            </w:r>
          </w:p>
        </w:tc>
        <w:tc>
          <w:tcPr>
            <w:tcW w:w="392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其他国有土地使用权出让收入安排的支出</w:t>
            </w:r>
          </w:p>
        </w:tc>
        <w:tc>
          <w:tcPr>
            <w:tcW w:w="54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4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6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4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92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4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4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6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4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92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4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4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6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4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92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4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4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6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4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3920"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4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43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85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6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bl>
    <w:p>
      <w:pPr>
        <w:tabs>
          <w:tab w:val="left" w:pos="682"/>
        </w:tabs>
        <w:jc w:val="left"/>
      </w:pPr>
      <w:r>
        <w:br w:type="page"/>
      </w:r>
    </w:p>
    <w:tbl>
      <w:tblPr>
        <w:tblStyle w:val="6"/>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824"/>
        <w:gridCol w:w="30"/>
        <w:gridCol w:w="30"/>
        <w:gridCol w:w="904"/>
        <w:gridCol w:w="2411"/>
        <w:gridCol w:w="244"/>
        <w:gridCol w:w="14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4" w:hRule="atLeast"/>
        </w:trPr>
        <w:tc>
          <w:tcPr>
            <w:tcW w:w="8868" w:type="dxa"/>
            <w:gridSpan w:val="7"/>
            <w:tcBorders>
              <w:top w:val="nil"/>
              <w:left w:val="nil"/>
              <w:bottom w:val="nil"/>
              <w:right w:val="nil"/>
            </w:tcBorders>
            <w:shd w:val="clear" w:color="auto" w:fill="auto"/>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382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0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241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24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425"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3824"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w:t>
            </w:r>
            <w:r>
              <w:rPr>
                <w:rFonts w:hint="eastAsia" w:ascii="宋体" w:hAnsi="宋体" w:cs="宋体"/>
                <w:i w:val="0"/>
                <w:color w:val="000000"/>
                <w:kern w:val="0"/>
                <w:sz w:val="20"/>
                <w:szCs w:val="20"/>
                <w:u w:val="none"/>
                <w:lang w:val="en-US" w:eastAsia="zh-CN" w:bidi="ar"/>
              </w:rPr>
              <w:t>农村</w:t>
            </w:r>
            <w:r>
              <w:rPr>
                <w:rFonts w:hint="eastAsia" w:ascii="宋体" w:hAnsi="宋体" w:eastAsia="宋体" w:cs="宋体"/>
                <w:i w:val="0"/>
                <w:color w:val="000000"/>
                <w:kern w:val="0"/>
                <w:sz w:val="20"/>
                <w:szCs w:val="20"/>
                <w:u w:val="none"/>
                <w:lang w:val="en-US" w:eastAsia="zh-CN" w:bidi="ar"/>
              </w:rPr>
              <w:t>局（汇总）</w:t>
            </w:r>
          </w:p>
        </w:tc>
        <w:tc>
          <w:tcPr>
            <w:tcW w:w="3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30"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90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2411"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244" w:type="dxa"/>
            <w:tcBorders>
              <w:top w:val="nil"/>
              <w:left w:val="nil"/>
              <w:bottom w:val="nil"/>
              <w:right w:val="nil"/>
            </w:tcBorders>
            <w:shd w:val="clear" w:color="auto" w:fill="auto"/>
            <w:tcMar>
              <w:top w:w="12" w:type="dxa"/>
              <w:left w:w="12" w:type="dxa"/>
              <w:right w:w="12" w:type="dxa"/>
            </w:tcMar>
            <w:vAlign w:val="bottom"/>
          </w:tcPr>
          <w:p>
            <w:pPr>
              <w:rPr>
                <w:rFonts w:hint="default" w:ascii="Arial" w:hAnsi="Arial" w:cs="Arial"/>
                <w:i w:val="0"/>
                <w:color w:val="000000"/>
                <w:sz w:val="20"/>
                <w:szCs w:val="20"/>
                <w:u w:val="none"/>
              </w:rPr>
            </w:pPr>
          </w:p>
        </w:tc>
        <w:tc>
          <w:tcPr>
            <w:tcW w:w="1425" w:type="dxa"/>
            <w:tcBorders>
              <w:top w:val="nil"/>
              <w:left w:val="nil"/>
              <w:bottom w:val="nil"/>
              <w:right w:val="nil"/>
            </w:tcBorders>
            <w:shd w:val="clear" w:color="auto" w:fill="auto"/>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788" w:type="dxa"/>
            <w:gridSpan w:val="4"/>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080" w:type="dxa"/>
            <w:gridSpan w:val="3"/>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gridSpan w:val="3"/>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90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411"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4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425"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0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1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25"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0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1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25"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788"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411"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4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2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788" w:type="dxa"/>
            <w:gridSpan w:val="4"/>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4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b/>
                <w:i w:val="0"/>
                <w:color w:val="000000"/>
                <w:sz w:val="22"/>
                <w:szCs w:val="22"/>
                <w:u w:val="none"/>
              </w:rPr>
            </w:pPr>
          </w:p>
        </w:tc>
        <w:tc>
          <w:tcPr>
            <w:tcW w:w="24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b/>
                <w:i w:val="0"/>
                <w:color w:val="000000"/>
                <w:sz w:val="22"/>
                <w:szCs w:val="22"/>
                <w:u w:val="none"/>
              </w:rPr>
            </w:pPr>
          </w:p>
        </w:tc>
        <w:tc>
          <w:tcPr>
            <w:tcW w:w="142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4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4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42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88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4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4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42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4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4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42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4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4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42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4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4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42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2411"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4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42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bl>
    <w:p>
      <w:pPr>
        <w:tabs>
          <w:tab w:val="left" w:pos="682"/>
        </w:tabs>
        <w:ind w:firstLine="420" w:firstLineChars="200"/>
        <w:jc w:val="left"/>
        <w:sectPr>
          <w:pgSz w:w="11906" w:h="16838"/>
          <w:pgMar w:top="2098" w:right="1531" w:bottom="1984" w:left="1531" w:header="851" w:footer="992" w:gutter="0"/>
          <w:pgNumType w:fmt="numberInDash"/>
          <w:cols w:space="0" w:num="1"/>
          <w:titlePg/>
          <w:docGrid w:type="lines" w:linePitch="312" w:charSpace="0"/>
        </w:sectPr>
      </w:pPr>
      <w:r>
        <w:rPr>
          <w:rFonts w:hint="eastAsia"/>
          <w:lang w:eastAsia="zh-CN"/>
        </w:rPr>
        <w:t>本</w:t>
      </w:r>
      <w:r>
        <w:rPr>
          <w:rFonts w:hint="eastAsia"/>
          <w:lang w:val="en-US" w:eastAsia="zh-CN"/>
        </w:rPr>
        <w:t>部门</w:t>
      </w:r>
      <w:r>
        <w:rPr>
          <w:rFonts w:hint="eastAsia"/>
          <w:lang w:eastAsia="zh-CN"/>
        </w:rPr>
        <w:t>本年度无相关支出情况，按要求空表列示。</w:t>
      </w:r>
    </w:p>
    <w:p>
      <w:pPr>
        <w:tabs>
          <w:tab w:val="left" w:pos="235"/>
        </w:tabs>
        <w:spacing w:line="600" w:lineRule="exact"/>
        <w:ind w:firstLine="420" w:firstLineChars="200"/>
        <w:jc w:val="left"/>
        <w:rPr>
          <w:rFonts w:ascii="仿宋_GB2312" w:hAnsi="Cambria" w:eastAsia="仿宋_GB2312" w:cs="Arial Black"/>
          <w:kern w:val="0"/>
          <w:sz w:val="32"/>
          <w:szCs w:val="32"/>
        </w:rPr>
      </w:pPr>
      <w:r>
        <w:pict>
          <v:rect id="_x0000_s1036" o:spid="_x0000_s1036" o:spt="1" style="position:absolute;left:0pt;margin-left:-78.2pt;margin-top:-106.6pt;height:842.2pt;width:601pt;z-index:251661312;v-text-anchor:middle;mso-width-relative:page;mso-height-relative:page;" fillcolor="#BDD7EE" filled="t" stroked="f" coordsize="21600,21600">
            <v:path/>
            <v:fill on="t" focussize="0,0"/>
            <v:stroke on="f" weight="1pt"/>
            <v:imagedata o:title=""/>
            <o:lock v:ext="edit"/>
          </v:rect>
        </w:pic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ArialUnicodeMS">
    <w:altName w:val="Malgun Gothic"/>
    <w:panose1 w:val="00000000000000000000"/>
    <w:charset w:val="81"/>
    <w:family w:val="auto"/>
    <w:pitch w:val="default"/>
    <w:sig w:usb0="00000000" w:usb1="00000000" w:usb2="00000010" w:usb3="00000000" w:csb0="00080000"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0"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abstractNum w:abstractNumId="1">
    <w:nsid w:val="78C1413D"/>
    <w:multiLevelType w:val="singleLevel"/>
    <w:tmpl w:val="78C1413D"/>
    <w:lvl w:ilvl="0" w:tentative="0">
      <w:start w:val="1"/>
      <w:numFmt w:val="decimal"/>
      <w:suff w:val="space"/>
      <w:lvlText w:val="%1."/>
      <w:lvlJc w:val="left"/>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34C45458"/>
    <w:rsid w:val="00061A05"/>
    <w:rsid w:val="00074261"/>
    <w:rsid w:val="00117D72"/>
    <w:rsid w:val="001509E7"/>
    <w:rsid w:val="00182206"/>
    <w:rsid w:val="0018668E"/>
    <w:rsid w:val="001B73D2"/>
    <w:rsid w:val="001D75E8"/>
    <w:rsid w:val="001E62BF"/>
    <w:rsid w:val="00284034"/>
    <w:rsid w:val="00293E7B"/>
    <w:rsid w:val="002D1F4F"/>
    <w:rsid w:val="0034168A"/>
    <w:rsid w:val="00366D90"/>
    <w:rsid w:val="003C5258"/>
    <w:rsid w:val="003D5884"/>
    <w:rsid w:val="003D678E"/>
    <w:rsid w:val="004B3433"/>
    <w:rsid w:val="005766B1"/>
    <w:rsid w:val="0058170D"/>
    <w:rsid w:val="005A3C53"/>
    <w:rsid w:val="005F3520"/>
    <w:rsid w:val="0068459C"/>
    <w:rsid w:val="006C6A07"/>
    <w:rsid w:val="006F2585"/>
    <w:rsid w:val="007031FF"/>
    <w:rsid w:val="00742747"/>
    <w:rsid w:val="007C766F"/>
    <w:rsid w:val="00801F66"/>
    <w:rsid w:val="00817D2C"/>
    <w:rsid w:val="008B172C"/>
    <w:rsid w:val="008B7910"/>
    <w:rsid w:val="009334BF"/>
    <w:rsid w:val="009C2083"/>
    <w:rsid w:val="009C2C58"/>
    <w:rsid w:val="009E5333"/>
    <w:rsid w:val="009F524A"/>
    <w:rsid w:val="00A37B02"/>
    <w:rsid w:val="00B0533F"/>
    <w:rsid w:val="00B52153"/>
    <w:rsid w:val="00B749FC"/>
    <w:rsid w:val="00C27D0A"/>
    <w:rsid w:val="00C56774"/>
    <w:rsid w:val="00DD333B"/>
    <w:rsid w:val="00DE271C"/>
    <w:rsid w:val="00E20C3F"/>
    <w:rsid w:val="00EB34C2"/>
    <w:rsid w:val="01B662B9"/>
    <w:rsid w:val="01EF4C84"/>
    <w:rsid w:val="021D0949"/>
    <w:rsid w:val="028A640C"/>
    <w:rsid w:val="02C77062"/>
    <w:rsid w:val="031C2E73"/>
    <w:rsid w:val="03D93120"/>
    <w:rsid w:val="0682065E"/>
    <w:rsid w:val="06C625A1"/>
    <w:rsid w:val="07D078D9"/>
    <w:rsid w:val="086E76C4"/>
    <w:rsid w:val="0A1817EF"/>
    <w:rsid w:val="0A57050D"/>
    <w:rsid w:val="0B08014C"/>
    <w:rsid w:val="0BC5238E"/>
    <w:rsid w:val="0CBE686E"/>
    <w:rsid w:val="0EA325C9"/>
    <w:rsid w:val="0EA8126F"/>
    <w:rsid w:val="10014A13"/>
    <w:rsid w:val="11626F19"/>
    <w:rsid w:val="11867352"/>
    <w:rsid w:val="156932F9"/>
    <w:rsid w:val="15EC54DE"/>
    <w:rsid w:val="16B415A0"/>
    <w:rsid w:val="16EC3DC4"/>
    <w:rsid w:val="19FC2D79"/>
    <w:rsid w:val="1AF714B4"/>
    <w:rsid w:val="1B8D2E42"/>
    <w:rsid w:val="1CD2482F"/>
    <w:rsid w:val="1FD61320"/>
    <w:rsid w:val="1FFC3A13"/>
    <w:rsid w:val="208D3058"/>
    <w:rsid w:val="2258269B"/>
    <w:rsid w:val="227B2BE1"/>
    <w:rsid w:val="2315346C"/>
    <w:rsid w:val="23714ED5"/>
    <w:rsid w:val="23A517AB"/>
    <w:rsid w:val="24CE378C"/>
    <w:rsid w:val="25E011F4"/>
    <w:rsid w:val="26871B56"/>
    <w:rsid w:val="269E624D"/>
    <w:rsid w:val="26C42AE4"/>
    <w:rsid w:val="2803445A"/>
    <w:rsid w:val="2B1033BD"/>
    <w:rsid w:val="2B965068"/>
    <w:rsid w:val="2C902CAD"/>
    <w:rsid w:val="2D782B63"/>
    <w:rsid w:val="2E672DA4"/>
    <w:rsid w:val="2F6444AC"/>
    <w:rsid w:val="2FEA17BD"/>
    <w:rsid w:val="305D7B83"/>
    <w:rsid w:val="31606405"/>
    <w:rsid w:val="31975BEA"/>
    <w:rsid w:val="329D1649"/>
    <w:rsid w:val="33685493"/>
    <w:rsid w:val="34C45458"/>
    <w:rsid w:val="3666334E"/>
    <w:rsid w:val="36825BF5"/>
    <w:rsid w:val="36F733FF"/>
    <w:rsid w:val="38CD2F89"/>
    <w:rsid w:val="3A097242"/>
    <w:rsid w:val="3A5F1C21"/>
    <w:rsid w:val="3B304753"/>
    <w:rsid w:val="3EE57933"/>
    <w:rsid w:val="4177056A"/>
    <w:rsid w:val="41AF11CB"/>
    <w:rsid w:val="41D145C2"/>
    <w:rsid w:val="42970903"/>
    <w:rsid w:val="432B5504"/>
    <w:rsid w:val="43ED641B"/>
    <w:rsid w:val="452C725D"/>
    <w:rsid w:val="470E4152"/>
    <w:rsid w:val="483112B7"/>
    <w:rsid w:val="487A643D"/>
    <w:rsid w:val="497568CB"/>
    <w:rsid w:val="4A3B454E"/>
    <w:rsid w:val="4A9E52A9"/>
    <w:rsid w:val="4AD83144"/>
    <w:rsid w:val="4ADA7AC5"/>
    <w:rsid w:val="4AE02E10"/>
    <w:rsid w:val="4B206950"/>
    <w:rsid w:val="4CD4701E"/>
    <w:rsid w:val="4CF90833"/>
    <w:rsid w:val="4CFA0B21"/>
    <w:rsid w:val="4EE66F97"/>
    <w:rsid w:val="4F6F6307"/>
    <w:rsid w:val="4FEC2608"/>
    <w:rsid w:val="50136BF3"/>
    <w:rsid w:val="507D35E5"/>
    <w:rsid w:val="519F6683"/>
    <w:rsid w:val="51B46F58"/>
    <w:rsid w:val="530D1EE1"/>
    <w:rsid w:val="53602541"/>
    <w:rsid w:val="53C64FF3"/>
    <w:rsid w:val="53FA1287"/>
    <w:rsid w:val="54B0108F"/>
    <w:rsid w:val="57487C5D"/>
    <w:rsid w:val="57556C76"/>
    <w:rsid w:val="57AD70A6"/>
    <w:rsid w:val="57F3229F"/>
    <w:rsid w:val="585402C5"/>
    <w:rsid w:val="585D7C90"/>
    <w:rsid w:val="5A176940"/>
    <w:rsid w:val="5A7B61AF"/>
    <w:rsid w:val="5B0F13DE"/>
    <w:rsid w:val="5B1B2C38"/>
    <w:rsid w:val="5D5A092A"/>
    <w:rsid w:val="5EA85616"/>
    <w:rsid w:val="60F13D4E"/>
    <w:rsid w:val="60FB3C99"/>
    <w:rsid w:val="615A2A2A"/>
    <w:rsid w:val="61685CD7"/>
    <w:rsid w:val="61790D62"/>
    <w:rsid w:val="61792A96"/>
    <w:rsid w:val="619921D6"/>
    <w:rsid w:val="62CE3501"/>
    <w:rsid w:val="63DE5C57"/>
    <w:rsid w:val="65362850"/>
    <w:rsid w:val="653E44A0"/>
    <w:rsid w:val="65D06EC3"/>
    <w:rsid w:val="65DD547B"/>
    <w:rsid w:val="6615176C"/>
    <w:rsid w:val="661A2B55"/>
    <w:rsid w:val="67E24449"/>
    <w:rsid w:val="686B4ADC"/>
    <w:rsid w:val="68E64F61"/>
    <w:rsid w:val="699E5D98"/>
    <w:rsid w:val="6A7E57DF"/>
    <w:rsid w:val="702E5D92"/>
    <w:rsid w:val="70AC258E"/>
    <w:rsid w:val="70CA60D9"/>
    <w:rsid w:val="71275A58"/>
    <w:rsid w:val="724258EA"/>
    <w:rsid w:val="75405F21"/>
    <w:rsid w:val="754C58FE"/>
    <w:rsid w:val="7558519B"/>
    <w:rsid w:val="75CA7592"/>
    <w:rsid w:val="75D854E7"/>
    <w:rsid w:val="76D213C0"/>
    <w:rsid w:val="786204CE"/>
    <w:rsid w:val="78E702C6"/>
    <w:rsid w:val="79553592"/>
    <w:rsid w:val="79E57D87"/>
    <w:rsid w:val="79EE2A15"/>
    <w:rsid w:val="7AD0008F"/>
    <w:rsid w:val="7AE00E9A"/>
    <w:rsid w:val="7EB9160C"/>
    <w:rsid w:val="7EF05FD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semiHidden="0"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99"/>
    <w:pPr>
      <w:keepNext/>
      <w:keepLines/>
      <w:spacing w:before="260" w:after="260" w:line="416" w:lineRule="auto"/>
      <w:outlineLvl w:val="1"/>
    </w:pPr>
    <w:rPr>
      <w:rFonts w:cs="黑体"/>
      <w:b/>
      <w:bCs/>
      <w:sz w:val="32"/>
      <w:szCs w:val="32"/>
    </w:rPr>
  </w:style>
  <w:style w:type="character" w:default="1" w:styleId="8">
    <w:name w:val="Default Paragraph Font"/>
    <w:semiHidden/>
    <w:uiPriority w:val="99"/>
  </w:style>
  <w:style w:type="table" w:default="1" w:styleId="6">
    <w:name w:val="Normal Table"/>
    <w:unhideWhenUsed/>
    <w:qFormat/>
    <w:uiPriority w:val="99"/>
    <w:tblPr>
      <w:tblCellMar>
        <w:top w:w="0" w:type="dxa"/>
        <w:left w:w="108" w:type="dxa"/>
        <w:bottom w:w="0" w:type="dxa"/>
        <w:right w:w="108" w:type="dxa"/>
      </w:tblCellMar>
    </w:tbl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locked/>
    <w:uiPriority w:val="99"/>
    <w:rPr>
      <w:rFonts w:ascii="Calibri" w:hAnsi="Calibri" w:cs="Times New Roman"/>
      <w:b/>
      <w:bCs/>
      <w:kern w:val="44"/>
      <w:sz w:val="44"/>
      <w:szCs w:val="44"/>
    </w:rPr>
  </w:style>
  <w:style w:type="character" w:customStyle="1" w:styleId="10">
    <w:name w:val="Heading 2 Char"/>
    <w:basedOn w:val="8"/>
    <w:link w:val="3"/>
    <w:semiHidden/>
    <w:qFormat/>
    <w:locked/>
    <w:uiPriority w:val="99"/>
    <w:rPr>
      <w:rFonts w:ascii="Cambria" w:hAnsi="Cambria" w:eastAsia="宋体" w:cs="Times New Roman"/>
      <w:b/>
      <w:bCs/>
      <w:sz w:val="32"/>
      <w:szCs w:val="32"/>
    </w:rPr>
  </w:style>
  <w:style w:type="character" w:customStyle="1" w:styleId="11">
    <w:name w:val="Footer Char"/>
    <w:basedOn w:val="8"/>
    <w:link w:val="4"/>
    <w:semiHidden/>
    <w:qFormat/>
    <w:locked/>
    <w:uiPriority w:val="99"/>
    <w:rPr>
      <w:rFonts w:ascii="Calibri" w:hAnsi="Calibri" w:cs="Times New Roman"/>
      <w:sz w:val="18"/>
      <w:szCs w:val="18"/>
    </w:rPr>
  </w:style>
  <w:style w:type="character" w:customStyle="1" w:styleId="12">
    <w:name w:val="Header Char"/>
    <w:basedOn w:val="8"/>
    <w:link w:val="5"/>
    <w:semiHidden/>
    <w:qFormat/>
    <w:locked/>
    <w:uiPriority w:val="99"/>
    <w:rPr>
      <w:rFonts w:ascii="Calibri" w:hAnsi="Calibri"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jpe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44"/>
    <customShpInfo spid="_x0000_s1043"/>
    <customShpInfo spid="_x0000_s1026"/>
    <customShpInfo spid="_x0000_s1027"/>
    <customShpInfo spid="_x0000_s1028"/>
    <customShpInfo spid="_x0000_s1029"/>
    <customShpInfo spid="_x0000_s1037"/>
    <customShpInfo spid="_x0000_s1038"/>
    <customShpInfo spid="_x0000_s1039"/>
    <customShpInfo spid="_x0000_s1040"/>
    <customShpInfo spid="_x0000_s1041"/>
    <customShpInfo spid="_x0000_s1042"/>
    <customShpInfo spid="_x0000_s1034"/>
    <customShpInfo spid="_x0000_s1035"/>
    <customShpInfo spid="_x0000_s103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24</Pages>
  <Words>808</Words>
  <Characters>4611</Characters>
  <Lines>0</Lines>
  <Paragraphs>0</Paragraphs>
  <TotalTime>2</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lenovo</cp:lastModifiedBy>
  <dcterms:modified xsi:type="dcterms:W3CDTF">2023-06-26T02:12:06Z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EEB0AF1058714613A8329AFD3B1DD3FB</vt:lpwstr>
  </property>
</Properties>
</file>