
<file path=[Content_Types].xml><?xml version="1.0" encoding="utf-8"?>
<Types xmlns="http://schemas.openxmlformats.org/package/2006/content-types">
  <Default Extension="xml" ContentType="application/xml"/>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720" w:num="1"/>
          <w:titlePg/>
          <w:docGrid w:type="lines" w:linePitch="312" w:charSpace="0"/>
        </w:sectPr>
      </w:pPr>
      <w:r>
        <w:rPr>
          <w:rFonts w:ascii="等线" w:hAnsi="等线" w:eastAsia="等线" w:cs="黑体"/>
          <w:kern w:val="2"/>
          <w:sz w:val="21"/>
          <w:szCs w:val="22"/>
          <w:lang w:val="en-US" w:eastAsia="zh-CN" w:bidi="ar-SA"/>
        </w:rPr>
        <w:pict>
          <v:rect id="文本框 10" o:spid="_x0000_s1080" o:spt="1" style="position:absolute;left:0pt;margin-left:106.25pt;margin-top:693.55pt;height:79.95pt;width:404.15pt;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rPr>
          <w:rFonts w:ascii="等线" w:hAnsi="等线" w:eastAsia="等线" w:cs="黑体"/>
          <w:kern w:val="2"/>
          <w:sz w:val="21"/>
          <w:szCs w:val="22"/>
          <w:lang w:val="en-US" w:eastAsia="zh-CN" w:bidi="ar-SA"/>
        </w:rPr>
        <w:pict>
          <v:shape id="椭圆 8" o:spid="_x0000_s1081" o:spt="3" type="#_x0000_t3" style="position:absolute;left:0pt;margin-left:53.5pt;margin-top:232.45pt;height:121.95pt;width:121.95pt;z-index:251659264;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rect id="矩形 14" o:spid="_x0000_s1082" o:spt="1" style="position:absolute;left:0pt;margin-left:33.6pt;margin-top:256.75pt;height:69.6pt;width:160.65pt;z-index:25166438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rPr>
          <w:rFonts w:ascii="等线" w:hAnsi="等线" w:eastAsia="等线" w:cs="黑体"/>
          <w:kern w:val="2"/>
          <w:sz w:val="21"/>
          <w:szCs w:val="22"/>
          <w:lang w:val="en-US" w:eastAsia="zh-CN" w:bidi="ar-SA"/>
        </w:rPr>
        <w:pict>
          <v:shape id="椭圆 9" o:spid="_x0000_s1083" o:spt="3" type="#_x0000_t3" style="position:absolute;left:0pt;margin-left:62.2pt;margin-top:242.75pt;height:103.45pt;width:103.45pt;z-index:251663360;mso-width-relative:page;mso-height-relative:page;" fillcolor="#1F2959"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group id="组合 13" o:spid="_x0000_s1084" o:spt="203" style="position:absolute;left:0pt;margin-left:1.25pt;margin-top:821.7pt;height:21.45pt;width:595.25pt;z-index:251660288;mso-width-relative:page;mso-height-relative:page;" coordorigin="1483,16692" coordsize="11905,429">
            <o:lock v:ext="edit" position="f" selection="f" grouping="f" rotation="f" cropping="f" text="f" aspectratio="f"/>
            <v:rect id="矩形 6" o:spid="_x0000_s1085" o:spt="1" style="position:absolute;left:1483;top:16692;height:428;width:1125;" fillcolor="#FDBC11" filled="t" o:preferrelative="t" stroked="f" coordsize="21600,21600">
              <v:path/>
              <v:fill on="t" focussize="0,0"/>
              <v:stroke on="f"/>
              <v:imagedata gain="65536f" blacklevel="0f" gamma="0" o:title=""/>
              <o:lock v:ext="edit" position="f" selection="f" grouping="f" rotation="f" cropping="f" text="f" aspectratio="f"/>
            </v:rect>
            <v:rect id="矩形 7" o:spid="_x0000_s1086" o:spt="1" style="position:absolute;left:2608;top:16693;height:428;width:10780;" fillcolor="#1F2959"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21"/>
          <w:szCs w:val="22"/>
          <w:lang w:val="en-US" w:eastAsia="zh-CN" w:bidi="ar-SA"/>
        </w:rPr>
        <w:pict>
          <v:group id="组合 4" o:spid="_x0000_s1087" o:spt="203" style="position:absolute;left:0pt;margin-left:-2.5pt;margin-top:0pt;height:308.5pt;width:600.25pt;z-index:-251658240;mso-width-relative:page;mso-height-relative:page;" coordorigin="13622,283" coordsize="12005,6170">
            <o:lock v:ext="edit" position="f" selection="f" grouping="f" rotation="f" cropping="f" text="f" aspectratio="f"/>
            <v:rect id="矩形 5" o:spid="_x0000_s1088" o:spt="1" style="position:absolute;left:13622;top:283;height:6170;width:12005;" fillcolor="#FDBC11" filled="t" stroked="f" coordsize="21600,21600">
              <v:path/>
              <v:fill on="t" color2="#FFFFFF" focussize="0,0"/>
              <v:stroke on="f"/>
              <v:imagedata o:title=""/>
              <o:lock v:ext="edit" aspectratio="f"/>
            </v:rect>
            <v:rect id="文本框 10" o:spid="_x0000_s1089" o:spt="1" style="position:absolute;left:17229;top:5021;height:1392;width:8083;" filled="f" stroked="f" coordsize="21600,21600">
              <v:path/>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lang w:eastAsia="zh-CN"/>
                      </w:rPr>
                      <w:t>单位</w:t>
                    </w:r>
                    <w:r>
                      <w:rPr>
                        <w:rFonts w:hint="eastAsia" w:ascii="思源黑体 HW Bold" w:hAnsi="思源黑体 HW Bold" w:eastAsia="思源黑体 HW Bold"/>
                        <w:color w:val="000000"/>
                        <w:kern w:val="24"/>
                        <w:sz w:val="92"/>
                        <w:szCs w:val="92"/>
                      </w:rPr>
                      <w:t>决算公开文本</w:t>
                    </w:r>
                  </w:p>
                </w:txbxContent>
              </v:textbox>
            </v:rect>
          </v:group>
        </w:pict>
      </w:r>
      <w:r>
        <w:rPr>
          <w:rFonts w:ascii="等线" w:hAnsi="等线" w:eastAsia="等线" w:cs="黑体"/>
          <w:kern w:val="2"/>
          <w:sz w:val="21"/>
          <w:szCs w:val="22"/>
          <w:lang w:val="en-US" w:eastAsia="zh-CN" w:bidi="ar-SA"/>
        </w:rPr>
        <w:pict>
          <v:rect id="矩形 11" o:spid="_x0000_s1090" o:spt="1" style="position:absolute;left:0pt;margin-left:184.75pt;margin-top:286.6pt;height:31.25pt;width:339.65pt;mso-wrap-style:none;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w:t>
      </w:r>
      <w:r>
        <w:rPr>
          <w:rFonts w:hint="eastAsia" w:ascii="黑体" w:hAnsi="黑体" w:eastAsia="黑体" w:cs="黑体"/>
          <w:b/>
          <w:bCs/>
          <w:sz w:val="72"/>
          <w:szCs w:val="96"/>
          <w:lang w:eastAsia="zh-CN"/>
        </w:rPr>
        <w:t>单位</w:t>
      </w:r>
      <w:r>
        <w:rPr>
          <w:rFonts w:hint="eastAsia" w:ascii="黑体" w:hAnsi="黑体" w:eastAsia="黑体" w:cs="黑体"/>
          <w:b/>
          <w:bCs/>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highlight w:val="none"/>
          <w:lang w:eastAsia="zh-CN"/>
        </w:rPr>
      </w:pPr>
      <w:r>
        <w:rPr>
          <w:rFonts w:hint="eastAsia" w:ascii="楷体_GB2312" w:hAnsi="楷体_GB2312" w:eastAsia="楷体_GB2312" w:cs="楷体_GB2312"/>
          <w:color w:val="000000"/>
          <w:kern w:val="0"/>
          <w:sz w:val="44"/>
          <w:szCs w:val="44"/>
          <w:highlight w:val="none"/>
          <w:lang w:eastAsia="zh-CN"/>
        </w:rPr>
        <w:t>石家庄市鹿泉区农业农村局（本级）</w:t>
      </w:r>
    </w:p>
    <w:p>
      <w:pPr>
        <w:snapToGrid w:val="0"/>
        <w:jc w:val="center"/>
        <w:rPr>
          <w:rFonts w:ascii="楷体_GB2312" w:hAnsi="楷体_GB2312" w:eastAsia="楷体_GB2312" w:cs="楷体_GB2312"/>
          <w:color w:val="000000"/>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rFonts w:ascii="等线" w:hAnsi="等线" w:eastAsia="等线" w:cs="黑体"/>
          <w:kern w:val="2"/>
          <w:sz w:val="72"/>
          <w:szCs w:val="22"/>
          <w:lang w:val="en-US" w:eastAsia="zh-CN" w:bidi="ar-SA"/>
        </w:rPr>
        <w:pict>
          <v:rect id="文本框 143" o:spid="_x0000_s1091" o:spt="1" style="position:absolute;left:0pt;margin-left:-85.7pt;margin-top:80.7pt;height:263.1pt;width:613.65pt;z-index:251665408;mso-width-relative:page;mso-height-relative:page;" fillcolor="#FFD966" filled="t" o:preferrelative="t" stroked="t" coordsize="21600,21600">
            <v:path/>
            <v:fill type="pattern" on="t" color2="#FFFFFF" o:opacity2="65536f" focussize="0,0" r:id="rId27"/>
            <v:stroke weight="1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第一部分  </w:t>
                  </w:r>
                  <w:r>
                    <w:rPr>
                      <w:rFonts w:hint="eastAsia" w:ascii="黑体" w:hAnsi="黑体" w:eastAsia="黑体" w:cs="黑体"/>
                      <w:color w:val="000000"/>
                      <w:sz w:val="96"/>
                      <w:szCs w:val="96"/>
                      <w:lang w:eastAsia="zh-CN"/>
                    </w:rPr>
                    <w:t>单位</w:t>
                  </w:r>
                  <w:r>
                    <w:rPr>
                      <w:rFonts w:hint="eastAsia" w:ascii="黑体" w:hAnsi="黑体" w:eastAsia="黑体" w:cs="黑体"/>
                      <w:color w:val="000000"/>
                      <w:sz w:val="96"/>
                      <w:szCs w:val="96"/>
                    </w:rPr>
                    <w:t>概况</w:t>
                  </w:r>
                </w:p>
              </w:txbxContent>
            </v:textbox>
          </v:rect>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widowControl w:val="0"/>
        <w:spacing w:before="0" w:beforeAutospacing="0" w:after="0" w:afterAutospacing="0" w:line="578"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SA"/>
        </w:rPr>
        <w:t>统筹研究和组织实施全区“三农”工作的发展战略,负责全区农业综合执法,协调推动发展全区农村社会事业、农村公共服务、农村文化、农村基础设施和乡村治理,负责全区种植业、畜牧业、渔业、农垦、农业机械化等农业各产业的监督管理,负责全区农产品质量安全监督管理。</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83"/>
        <w:gridCol w:w="2047"/>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8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4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hint="eastAsia" w:ascii="仿宋" w:hAnsi="仿宋" w:eastAsia="仿宋" w:cs="仿宋"/>
                <w:kern w:val="0"/>
                <w:sz w:val="24"/>
                <w:szCs w:val="24"/>
              </w:rPr>
            </w:pPr>
            <w:r>
              <w:rPr>
                <w:rFonts w:hint="eastAsia" w:ascii="仿宋" w:hAnsi="仿宋" w:eastAsia="仿宋" w:cs="仿宋"/>
                <w:kern w:val="0"/>
                <w:sz w:val="24"/>
                <w:szCs w:val="24"/>
              </w:rPr>
              <w:t>1</w:t>
            </w:r>
          </w:p>
        </w:tc>
        <w:tc>
          <w:tcPr>
            <w:tcW w:w="3883" w:type="dxa"/>
            <w:vAlign w:val="top"/>
          </w:tcPr>
          <w:p>
            <w:pPr>
              <w:spacing w:line="560" w:lineRule="exact"/>
              <w:rPr>
                <w:rFonts w:hint="eastAsia" w:ascii="仿宋" w:hAnsi="仿宋" w:eastAsia="仿宋" w:cs="仿宋"/>
                <w:kern w:val="0"/>
                <w:sz w:val="24"/>
                <w:szCs w:val="24"/>
              </w:rPr>
            </w:pPr>
            <w:r>
              <w:rPr>
                <w:rFonts w:hint="eastAsia" w:ascii="仿宋" w:hAnsi="仿宋" w:eastAsia="仿宋" w:cs="仿宋"/>
                <w:kern w:val="0"/>
                <w:sz w:val="24"/>
                <w:szCs w:val="24"/>
                <w:lang w:eastAsia="zh-CN"/>
              </w:rPr>
              <w:t>石家庄市鹿泉区农业畜牧局</w:t>
            </w:r>
            <w:r>
              <w:rPr>
                <w:rFonts w:hint="eastAsia" w:ascii="仿宋" w:hAnsi="仿宋" w:eastAsia="仿宋" w:cs="仿宋"/>
                <w:kern w:val="0"/>
                <w:sz w:val="24"/>
                <w:szCs w:val="24"/>
              </w:rPr>
              <w:t>(本级)</w:t>
            </w:r>
          </w:p>
        </w:tc>
        <w:tc>
          <w:tcPr>
            <w:tcW w:w="2047" w:type="dxa"/>
            <w:vAlign w:val="top"/>
          </w:tcPr>
          <w:p>
            <w:pPr>
              <w:spacing w:line="560" w:lineRule="exact"/>
              <w:jc w:val="center"/>
              <w:rPr>
                <w:rFonts w:hint="eastAsia" w:ascii="仿宋" w:hAnsi="仿宋" w:eastAsia="仿宋" w:cs="仿宋"/>
                <w:kern w:val="0"/>
                <w:sz w:val="24"/>
                <w:szCs w:val="24"/>
              </w:rPr>
            </w:pPr>
            <w:r>
              <w:rPr>
                <w:rFonts w:hint="eastAsia" w:ascii="仿宋" w:hAnsi="仿宋" w:eastAsia="仿宋" w:cs="仿宋"/>
                <w:kern w:val="0"/>
                <w:sz w:val="24"/>
                <w:szCs w:val="24"/>
                <w:lang w:eastAsia="zh-CN"/>
              </w:rPr>
              <w:t>行政单位</w:t>
            </w:r>
          </w:p>
        </w:tc>
        <w:tc>
          <w:tcPr>
            <w:tcW w:w="2665" w:type="dxa"/>
            <w:vAlign w:val="top"/>
          </w:tcPr>
          <w:p>
            <w:pPr>
              <w:spacing w:line="560" w:lineRule="exact"/>
              <w:jc w:val="center"/>
              <w:rPr>
                <w:rFonts w:hint="eastAsia" w:ascii="仿宋" w:hAnsi="仿宋" w:eastAsia="仿宋" w:cs="仿宋"/>
                <w:kern w:val="0"/>
                <w:sz w:val="24"/>
                <w:szCs w:val="24"/>
                <w:lang w:eastAsia="zh-CN"/>
              </w:rPr>
            </w:pPr>
            <w:r>
              <w:rPr>
                <w:rFonts w:hint="eastAsia" w:ascii="仿宋" w:hAnsi="仿宋" w:eastAsia="仿宋" w:cs="仿宋"/>
                <w:kern w:val="0"/>
                <w:sz w:val="24"/>
                <w:szCs w:val="24"/>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vAlign w:val="top"/>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72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72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720" w:num="1"/>
          <w:titlePg/>
          <w:docGrid w:type="lines" w:linePitch="312" w:charSpace="0"/>
        </w:sectPr>
      </w:pPr>
      <w:r>
        <w:rPr>
          <w:rFonts w:ascii="等线" w:hAnsi="等线" w:eastAsia="等线" w:cs="黑体"/>
          <w:kern w:val="2"/>
          <w:sz w:val="72"/>
          <w:szCs w:val="22"/>
          <w:lang w:val="en-US" w:eastAsia="zh-CN" w:bidi="ar-SA"/>
        </w:rPr>
        <w:pict>
          <v:rect id="文本框 151" o:spid="_x0000_s1092" o:spt="1" style="position:absolute;left:0pt;margin-left:-85.7pt;margin-top:238.15pt;height:173.25pt;width:613.65pt;z-index:25166643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rFonts w:ascii="等线" w:hAnsi="等线" w:eastAsia="等线" w:cs="黑体"/>
          <w:kern w:val="2"/>
          <w:sz w:val="72"/>
          <w:szCs w:val="22"/>
          <w:lang w:val="en-US" w:eastAsia="zh-CN" w:bidi="ar-SA"/>
        </w:rPr>
        <w:pict>
          <v:rect id="文本框 187" o:spid="_x0000_s1093" o:spt="1" style="position:absolute;left:0pt;margin-left:-90.8pt;margin-top:4.35pt;height:263.1pt;width:613.65pt;z-index:251667456;mso-width-relative:page;mso-height-relative:page;" fillcolor="#FFD966" filled="t" o:preferrelative="t" stroked="t" coordsize="21600,21600">
            <v:path/>
            <v:fill type="pattern" on="t" color2="#FFFFFF" o:opacity2="65536f" focussize="0,0" r:id="rId27"/>
            <v:stroke weight="0.5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2019年</w:t>
                  </w:r>
                  <w:r>
                    <w:rPr>
                      <w:rFonts w:hint="eastAsia" w:ascii="黑体" w:hAnsi="黑体" w:eastAsia="黑体" w:cs="黑体"/>
                      <w:color w:val="000000"/>
                      <w:sz w:val="90"/>
                      <w:szCs w:val="90"/>
                      <w:lang w:eastAsia="zh-CN"/>
                    </w:rPr>
                    <w:t>单位</w:t>
                  </w:r>
                  <w:r>
                    <w:rPr>
                      <w:rFonts w:hint="eastAsia" w:ascii="黑体" w:hAnsi="黑体" w:eastAsia="黑体" w:cs="黑体"/>
                      <w:color w:val="000000"/>
                      <w:sz w:val="90"/>
                      <w:szCs w:val="90"/>
                    </w:rPr>
                    <w:t>决算情况说明</w:t>
                  </w:r>
                </w:p>
                <w:p/>
              </w:txbxContent>
            </v:textbox>
          </v:rect>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2019年度收支总计（含结转和结余）</w:t>
      </w:r>
      <w:r>
        <w:rPr>
          <w:rFonts w:hint="eastAsia" w:ascii="仿宋_GB2312" w:hAnsi="Times New Roman" w:eastAsia="仿宋_GB2312" w:cs="DengXian-Regular"/>
          <w:sz w:val="32"/>
          <w:szCs w:val="32"/>
          <w:lang w:val="en-US" w:eastAsia="zh-CN"/>
        </w:rPr>
        <w:t>24620.34</w:t>
      </w:r>
      <w:r>
        <w:rPr>
          <w:rFonts w:hint="eastAsia" w:ascii="仿宋_GB2312" w:hAnsi="Times New Roman" w:eastAsia="仿宋_GB2312" w:cs="DengXian-Regular"/>
          <w:sz w:val="32"/>
          <w:szCs w:val="32"/>
        </w:rPr>
        <w:t>万元。其中收入12491.15万元，支出16474.42万元，年初结转和结余12129.19万元，年末结转和结余8145.92万元，与201</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年度决算相比，收入</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1459.48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%，主要原因是上级专项资金的</w:t>
      </w:r>
      <w:r>
        <w:rPr>
          <w:rFonts w:hint="eastAsia" w:ascii="仿宋_GB2312" w:hAnsi="Times New Roman" w:eastAsia="仿宋_GB2312" w:cs="DengXian-Regular"/>
          <w:sz w:val="32"/>
          <w:szCs w:val="32"/>
          <w:lang w:eastAsia="zh-CN"/>
        </w:rPr>
        <w:t>收入减少</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10074.42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157.4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结转</w:t>
      </w:r>
      <w:r>
        <w:rPr>
          <w:rFonts w:hint="eastAsia" w:ascii="仿宋_GB2312" w:hAnsi="Times New Roman" w:eastAsia="仿宋_GB2312" w:cs="DengXian-Regular"/>
          <w:sz w:val="32"/>
          <w:szCs w:val="32"/>
        </w:rPr>
        <w:t>专项资金</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420" w:firstLineChars="200"/>
        <w:rPr>
          <w:rFonts w:ascii="黑体" w:hAnsi="Calibri" w:eastAsia="黑体" w:cs="Times New Roman"/>
          <w:b/>
          <w:bCs/>
          <w:sz w:val="32"/>
          <w:szCs w:val="32"/>
        </w:rPr>
      </w:pPr>
      <w:r>
        <w:rPr>
          <w:rFonts w:ascii="等线" w:hAnsi="等线" w:eastAsia="等线" w:cs="黑体"/>
          <w:kern w:val="2"/>
          <w:sz w:val="21"/>
          <w:szCs w:val="22"/>
          <w:lang w:val="en-US" w:eastAsia="zh-CN" w:bidi="ar-SA"/>
        </w:rPr>
        <w:pict>
          <v:shape id="图片 78" o:spid="_x0000_s1094" o:spt="75" type="#_x0000_t75" style="position:absolute;left:0pt;margin-left:10.75pt;margin-top:131.4pt;height:263.45pt;width:415.65pt;mso-wrap-distance-bottom:0pt;mso-wrap-distance-left:9pt;mso-wrap-distance-right:9pt;mso-wrap-distance-top:0pt;z-index:251671552;mso-width-relative:page;mso-height-relative:page;" fillcolor="#FFFFFF" filled="f" o:preferrelative="t" stroked="f" coordsize="21600,21600">
            <v:path/>
            <v:fill on="f" color2="#FFFFFF" focussize="0,0"/>
            <v:stroke on="f"/>
            <v:imagedata r:id="rId28" gain="65536f" blacklevel="0f" gamma="0" o:title=""/>
            <o:lock v:ext="edit" position="f" selection="f" grouping="f" rotation="f" cropping="f" text="f" aspectratio="t"/>
            <w10:wrap type="square"/>
          </v:shape>
        </w:pic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2019年度本年收入合计12491.15万元，其中：财政拨款收入11834.1万元，占</w:t>
      </w:r>
      <w:r>
        <w:rPr>
          <w:rFonts w:hint="eastAsia" w:ascii="仿宋_GB2312" w:hAnsi="Times New Roman" w:eastAsia="仿宋_GB2312" w:cs="DengXian-Regular"/>
          <w:sz w:val="32"/>
          <w:szCs w:val="32"/>
          <w:lang w:val="en-US" w:eastAsia="zh-CN"/>
        </w:rPr>
        <w:t>94.7</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%；其他收入657.06万元，占</w:t>
      </w:r>
      <w:r>
        <w:rPr>
          <w:rFonts w:hint="eastAsia" w:ascii="仿宋_GB2312" w:hAnsi="Times New Roman" w:eastAsia="仿宋_GB2312" w:cs="DengXian-Regular"/>
          <w:sz w:val="32"/>
          <w:szCs w:val="32"/>
          <w:lang w:val="en-US" w:eastAsia="zh-CN"/>
        </w:rPr>
        <w:t>5.3</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val="en-US"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2019年度本年支出合计16474.42万元，其中：基本支出2036.24万元，占</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%；项目支出14438.18万元，占</w:t>
      </w:r>
      <w:r>
        <w:rPr>
          <w:rFonts w:hint="eastAsia" w:ascii="仿宋_GB2312" w:hAnsi="Times New Roman" w:eastAsia="仿宋_GB2312" w:cs="DengXian-Regular"/>
          <w:sz w:val="32"/>
          <w:szCs w:val="32"/>
          <w:lang w:val="en-US" w:eastAsia="zh-CN"/>
        </w:rPr>
        <w:t>87.6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rPr>
          <w:rFonts w:ascii="黑体" w:hAnsi="Calibri" w:eastAsia="黑体" w:cs="Times New Roman"/>
          <w:sz w:val="32"/>
          <w:szCs w:val="32"/>
        </w:rPr>
      </w:pPr>
      <w:r>
        <w:rPr>
          <w:rFonts w:hint="eastAsia" w:ascii="等线" w:hAnsi="等线" w:eastAsia="宋体" w:cs="黑体"/>
          <w:kern w:val="2"/>
          <w:sz w:val="21"/>
          <w:szCs w:val="22"/>
          <w:lang w:val="en-US" w:eastAsia="zh-CN" w:bidi="ar-SA"/>
        </w:rPr>
        <w:pict>
          <v:shape id="图表 1" o:spid="_x0000_s1095" o:spt="75" type="#_x0000_t75" style="position:absolute;left:0pt;margin-left:24.35pt;margin-top:11.9pt;height:240pt;width:389.5pt;mso-wrap-distance-bottom:0pt;mso-wrap-distance-top:0pt;z-index:251672576;mso-width-relative:page;mso-height-relative:page;" fillcolor="#FFFFFF" filled="f" o:preferrelative="t" stroked="f" coordsize="21600,21600">
            <v:path/>
            <v:fill on="f" color2="#FFFFFF" focussize="0,0"/>
            <v:stroke on="f"/>
            <v:imagedata r:id="rId29" gain="65536f" blacklevel="0f" gamma="0" o:title=""/>
            <o:lock v:ext="edit" position="f" selection="f" grouping="f" rotation="f" cropping="f" text="f" aspectratio="t"/>
            <w10:wrap type="topAndBottom"/>
          </v:shape>
        </w:pict>
      </w:r>
      <w:r>
        <w:rPr>
          <w:rFonts w:hint="eastAsia" w:eastAsia="宋体"/>
          <w:lang w:val="en-US" w:eastAsia="zh-CN"/>
        </w:rPr>
        <w:t xml:space="preserve">      </w: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2019年度财政拨款本年收入11834.1万元,比2018年度减少</w:t>
      </w:r>
      <w:r>
        <w:rPr>
          <w:rFonts w:hint="eastAsia" w:ascii="仿宋_GB2312" w:hAnsi="Times New Roman" w:eastAsia="仿宋_GB2312" w:cs="DengXian-Regular"/>
          <w:sz w:val="32"/>
          <w:szCs w:val="32"/>
          <w:lang w:val="en-US" w:eastAsia="zh-CN"/>
        </w:rPr>
        <w:t>2016.49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项目资金收入减少</w:t>
      </w:r>
      <w:r>
        <w:rPr>
          <w:rFonts w:hint="eastAsia" w:ascii="仿宋_GB2312" w:hAnsi="Times New Roman" w:eastAsia="仿宋_GB2312" w:cs="DengXian-Regular"/>
          <w:sz w:val="32"/>
          <w:szCs w:val="32"/>
        </w:rPr>
        <w:t>；本年支出15817.37万元，增加</w:t>
      </w:r>
      <w:r>
        <w:rPr>
          <w:rFonts w:hint="eastAsia" w:ascii="仿宋_GB2312" w:hAnsi="Times New Roman" w:eastAsia="仿宋_GB2312" w:cs="DengXian-Regular"/>
          <w:sz w:val="32"/>
          <w:szCs w:val="32"/>
          <w:lang w:val="en-US" w:eastAsia="zh-CN"/>
        </w:rPr>
        <w:t>9517.41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结转项目资金支出增加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一般公共预算财政拨款本年收入11794.1万元，比上年减少</w:t>
      </w:r>
      <w:r>
        <w:rPr>
          <w:rFonts w:hint="eastAsia" w:ascii="仿宋_GB2312" w:hAnsi="Times New Roman" w:eastAsia="仿宋_GB2312" w:cs="DengXian-Regular"/>
          <w:sz w:val="32"/>
          <w:szCs w:val="32"/>
          <w:lang w:val="en-US" w:eastAsia="zh-CN"/>
        </w:rPr>
        <w:t>2056.49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项目资金收入减少</w:t>
      </w:r>
      <w:r>
        <w:rPr>
          <w:rFonts w:hint="eastAsia" w:ascii="仿宋_GB2312" w:hAnsi="Times New Roman" w:eastAsia="仿宋_GB2312" w:cs="DengXian-Regular"/>
          <w:sz w:val="32"/>
          <w:szCs w:val="32"/>
        </w:rPr>
        <w:t>；本年支出15817.37万元，比上年增加</w:t>
      </w:r>
      <w:r>
        <w:rPr>
          <w:rFonts w:hint="eastAsia" w:ascii="仿宋_GB2312" w:hAnsi="Times New Roman" w:eastAsia="仿宋_GB2312" w:cs="DengXian-Regular"/>
          <w:sz w:val="32"/>
          <w:szCs w:val="32"/>
          <w:lang w:val="en-US" w:eastAsia="zh-CN"/>
        </w:rPr>
        <w:t>9571.41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151.1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结转项目资金支出增加</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安排政府性基金项目一个</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w:t>
      </w:r>
      <w:r>
        <w:rPr>
          <w:rFonts w:hint="eastAsia" w:ascii="仿宋_GB2312" w:hAnsi="Times New Roman" w:eastAsia="仿宋_GB2312" w:cs="DengXian-Regular"/>
          <w:sz w:val="32"/>
          <w:szCs w:val="32"/>
          <w:lang w:val="en-US" w:eastAsia="zh-CN"/>
        </w:rPr>
        <w:t>2018年度</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rPr>
          <w:rFonts w:ascii="仿宋_GB2312" w:hAnsi="Times New Roman" w:eastAsia="仿宋_GB2312" w:cs="DengXian-Bold"/>
          <w:b/>
          <w:bCs/>
          <w:sz w:val="32"/>
          <w:szCs w:val="32"/>
        </w:rPr>
      </w:pPr>
      <w:r>
        <w:rPr>
          <w:rFonts w:hint="eastAsia" w:ascii="仿宋_GB2312" w:hAnsi="Times New Roman" w:eastAsia="仿宋_GB2312" w:cs="DengXian-Regular"/>
          <w:kern w:val="2"/>
          <w:sz w:val="32"/>
          <w:szCs w:val="32"/>
          <w:highlight w:val="yellow"/>
          <w:lang w:val="en-US" w:eastAsia="zh-CN" w:bidi="ar-SA"/>
        </w:rPr>
        <w:pict>
          <v:shape id="图表 4" o:spid="_x0000_s1096" o:spt="75" type="#_x0000_t75" style="position:absolute;left:0pt;margin-left:31.6pt;margin-top:16.9pt;height:271.85pt;width:390.5pt;mso-wrap-distance-bottom:0pt;mso-wrap-distance-top:0pt;z-index:251675648;mso-width-relative:page;mso-height-relative:page;" fillcolor="#FFFFFF" filled="f" o:preferrelative="t" stroked="f" coordsize="21600,21600">
            <v:path/>
            <v:fill on="f" color2="#FFFFFF" focussize="0,0"/>
            <v:stroke on="f"/>
            <v:imagedata r:id="rId30" gain="65536f" blacklevel="0f" gamma="0" o:title=""/>
            <o:lock v:ext="edit" position="f" selection="f" grouping="f" rotation="f" cropping="f" text="f" aspectratio="t"/>
            <w10:wrap type="topAndBottom"/>
          </v:shape>
        </w:pict>
      </w:r>
      <w:r>
        <w:rPr>
          <w:rFonts w:hint="eastAsia" w:ascii="仿宋_GB2312" w:hAnsi="Times New Roman" w:eastAsia="仿宋_GB2312" w:cs="DengXian-Regular"/>
          <w:sz w:val="32"/>
          <w:szCs w:val="32"/>
          <w:highlight w:val="none"/>
          <w:lang w:val="en-US" w:eastAsia="zh-CN"/>
        </w:rPr>
        <w:t xml:space="preserve">    </w:t>
      </w: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2019年度财政拨款本年收入11834.1万元，完成年初预算的</w:t>
      </w:r>
      <w:r>
        <w:rPr>
          <w:rFonts w:hint="eastAsia" w:ascii="仿宋_GB2312" w:hAnsi="Times New Roman" w:eastAsia="仿宋_GB2312" w:cs="DengXian-Regular"/>
          <w:sz w:val="32"/>
          <w:szCs w:val="32"/>
          <w:lang w:val="en-US" w:eastAsia="zh-CN"/>
        </w:rPr>
        <w:t>151.2</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4009.59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年中收到上级下达项目资金</w:t>
      </w:r>
      <w:r>
        <w:rPr>
          <w:rFonts w:hint="eastAsia" w:ascii="仿宋_GB2312" w:hAnsi="Times New Roman" w:eastAsia="仿宋_GB2312" w:cs="DengXian-Regular"/>
          <w:sz w:val="32"/>
          <w:szCs w:val="32"/>
        </w:rPr>
        <w:t>；本年支出15817.37万元，完成年初预算的</w:t>
      </w:r>
      <w:r>
        <w:rPr>
          <w:rFonts w:hint="eastAsia" w:ascii="仿宋_GB2312" w:hAnsi="Times New Roman" w:eastAsia="仿宋_GB2312" w:cs="DengXian-Regular"/>
          <w:sz w:val="32"/>
          <w:szCs w:val="32"/>
          <w:lang w:val="en-US" w:eastAsia="zh-CN"/>
        </w:rPr>
        <w:t>202.2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7992.86</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结转项目资金支出，且年中收到上级下达项目资金并部分支出</w:t>
      </w:r>
      <w:r>
        <w:rPr>
          <w:rFonts w:hint="eastAsia" w:ascii="仿宋_GB2312" w:hAnsi="Times New Roman" w:eastAsia="仿宋_GB2312" w:cs="DengXian-Regular"/>
          <w:sz w:val="32"/>
          <w:szCs w:val="32"/>
        </w:rPr>
        <w:t>。具体情况如下：</w:t>
      </w:r>
    </w:p>
    <w:p>
      <w:pPr>
        <w:numPr>
          <w:ilvl w:val="0"/>
          <w:numId w:val="0"/>
        </w:num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 xml:space="preserve">    1.</w:t>
      </w: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196.1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5780.09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年中收到上级下达项目资金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263.0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9803.36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结转项目资金支出，且年中收到上级下达项目资金并部分支出</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val="en-US" w:eastAsia="zh-CN"/>
        </w:rPr>
        <w:t xml:space="preserve">    2.</w:t>
      </w: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1770.5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项目资金由政府性基金资金调整为一般公共预算财政拨款资金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1810.5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项目资金由政府性基金资金调整为一般公共预算财政拨款资金且年底结转</w:t>
      </w:r>
      <w:r>
        <w:rPr>
          <w:rFonts w:hint="eastAsia" w:ascii="仿宋_GB2312" w:hAnsi="Times New Roman" w:eastAsia="仿宋_GB2312" w:cs="DengXian-Regular"/>
          <w:sz w:val="32"/>
          <w:szCs w:val="32"/>
          <w:lang w:val="en-US" w:eastAsia="zh-CN"/>
        </w:rPr>
        <w:t>40万元项目资金</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hint="eastAsia" w:ascii="楷体_GB2312" w:hAnsi="Times New Roman" w:eastAsia="楷体_GB2312" w:cs="DengXian-Bold"/>
          <w:b/>
          <w:bCs/>
          <w:sz w:val="32"/>
          <w:szCs w:val="32"/>
          <w:lang w:val="en-US" w:eastAsia="zh-CN"/>
        </w:rPr>
      </w:pPr>
      <w:r>
        <w:rPr>
          <w:rFonts w:hint="eastAsia" w:ascii="仿宋_GB2312" w:hAnsi="Times New Roman" w:eastAsia="仿宋_GB2312" w:cs="DengXian-Regular"/>
          <w:kern w:val="2"/>
          <w:sz w:val="32"/>
          <w:szCs w:val="32"/>
          <w:highlight w:val="yellow"/>
          <w:lang w:val="en-US" w:eastAsia="zh-CN" w:bidi="ar-SA"/>
        </w:rPr>
        <w:pict>
          <v:shape id="图表 3" o:spid="_x0000_s1097" o:spt="75" type="#_x0000_t75" style="position:absolute;left:0pt;margin-left:24.7pt;margin-top:4.65pt;height:276pt;width:400pt;mso-wrap-distance-bottom:0pt;mso-wrap-distance-top:0pt;z-index:251674624;mso-width-relative:page;mso-height-relative:page;" fillcolor="#FFFFFF" filled="f" o:preferrelative="t" stroked="f" coordsize="21600,21600">
            <v:path/>
            <v:fill on="f" color2="#FFFFFF" focussize="0,0"/>
            <v:stroke on="f"/>
            <v:imagedata r:id="rId31" gain="65536f" blacklevel="0f" gamma="0" o:title=""/>
            <o:lock v:ext="edit" position="f" selection="f" grouping="f" rotation="f" cropping="f" text="f" aspectratio="t"/>
            <w10:wrap type="topAndBottom"/>
          </v:shape>
        </w:pict>
      </w:r>
      <w:r>
        <w:rPr>
          <w:rFonts w:hint="eastAsia" w:ascii="楷体_GB2312" w:hAnsi="Times New Roman" w:eastAsia="楷体_GB2312" w:cs="DengXian-Bold"/>
          <w:b/>
          <w:bCs/>
          <w:sz w:val="32"/>
          <w:szCs w:val="32"/>
          <w:lang w:val="en-US" w:eastAsia="zh-CN"/>
        </w:rPr>
        <w:t xml:space="preserve">   </w:t>
      </w:r>
    </w:p>
    <w:p>
      <w:pPr>
        <w:numPr>
          <w:ilvl w:val="0"/>
          <w:numId w:val="0"/>
        </w:num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val="en-US" w:eastAsia="zh-CN"/>
        </w:rPr>
        <w:t xml:space="preserve">   </w:t>
      </w:r>
      <w:r>
        <w:rPr>
          <w:rFonts w:hint="eastAsia" w:ascii="楷体_GB2312" w:hAnsi="Times New Roman" w:eastAsia="楷体_GB2312" w:cs="DengXian-Bold"/>
          <w:b/>
          <w:bCs/>
          <w:sz w:val="32"/>
          <w:szCs w:val="32"/>
          <w:lang w:eastAsia="zh-CN"/>
        </w:rPr>
        <w:t>（三）</w:t>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年度财政拨款支出15817.37万元，主要用于以下方面</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272.42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152.69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卫生健康（类）支出</w:t>
      </w:r>
      <w:r>
        <w:rPr>
          <w:rFonts w:hint="eastAsia" w:ascii="仿宋_GB2312" w:hAnsi="Times New Roman" w:eastAsia="仿宋_GB2312" w:cs="DengXian-Regular"/>
          <w:sz w:val="32"/>
          <w:szCs w:val="32"/>
          <w:lang w:val="en-US" w:eastAsia="zh-CN"/>
        </w:rPr>
        <w:t>108.47万元，占0.7%；节能环保（类）支出292.73万元，占1.9%；城乡社区（类）支出1000万元，占6.3%；农林水（类）支出13903.65万元，占87.9%；</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87.41</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hint="eastAsia" w:ascii="仿宋_GB2312" w:hAnsi="Times New Roman" w:eastAsia="仿宋_GB2312" w:cs="DengXian-Regular"/>
          <w:sz w:val="32"/>
          <w:szCs w:val="32"/>
        </w:rPr>
      </w:pPr>
      <w:r>
        <w:rPr>
          <w:rFonts w:hint="eastAsia" w:ascii="楷体_GB2312" w:hAnsi="Times New Roman" w:eastAsia="楷体_GB2312" w:cs="DengXian-Bold"/>
          <w:b/>
          <w:bCs/>
          <w:kern w:val="2"/>
          <w:sz w:val="32"/>
          <w:szCs w:val="32"/>
          <w:lang w:val="en-US" w:eastAsia="zh-CN" w:bidi="ar-SA"/>
        </w:rPr>
        <w:pict>
          <v:shape id="图表 5" o:spid="_x0000_s1098" o:spt="75" type="#_x0000_t75" style="position:absolute;left:0pt;margin-left:10.05pt;margin-top:6.45pt;height:273.75pt;width:420.75pt;mso-wrap-distance-bottom:0pt;mso-wrap-distance-top:0pt;z-index:251673600;mso-width-relative:page;mso-height-relative:page;" fillcolor="#FFFFFF" filled="f" o:preferrelative="t" stroked="f" coordsize="21600,21600" o:allowoverlap="f">
            <v:path/>
            <v:fill on="f" color2="#FFFFFF" focussize="0,0"/>
            <v:stroke on="f"/>
            <v:imagedata r:id="rId32" gain="65536f" blacklevel="0f" gamma="0" o:title=""/>
            <o:lock v:ext="edit" position="f" selection="f" grouping="f" rotation="f" cropping="f" text="f" aspectratio="t"/>
            <w10:wrap type="topAndBottom"/>
          </v:shape>
        </w:pict>
      </w:r>
      <w:r>
        <w:rPr>
          <w:rFonts w:hint="eastAsia" w:ascii="楷体_GB2312" w:hAnsi="Times New Roman" w:eastAsia="楷体_GB2312" w:cs="DengXian-Bold"/>
          <w:b/>
          <w:bCs/>
          <w:sz w:val="32"/>
          <w:szCs w:val="32"/>
          <w:lang w:val="en-US" w:eastAsia="zh-CN"/>
        </w:rPr>
        <w:t xml:space="preserve">  </w:t>
      </w:r>
      <w:r>
        <w:rPr>
          <w:rFonts w:hint="eastAsia" w:ascii="楷体_GB2312" w:hAnsi="Times New Roman" w:eastAsia="楷体_GB2312" w:cs="DengXian-Bold"/>
          <w:b/>
          <w:bCs/>
          <w:sz w:val="32"/>
          <w:szCs w:val="32"/>
        </w:rPr>
        <w:t>（四）</w:t>
      </w:r>
      <w:r>
        <w:rPr>
          <w:rFonts w:hint="eastAsia" w:ascii="楷体_GB2312" w:hAnsi="Times New Roman" w:eastAsia="楷体_GB2312" w:cs="DengXian-Bold"/>
          <w:b/>
          <w:bCs/>
          <w:sz w:val="32"/>
          <w:szCs w:val="32"/>
          <w:lang w:eastAsia="zh-CN"/>
        </w:rPr>
        <w:t>一</w:t>
      </w:r>
      <w:r>
        <w:rPr>
          <w:rFonts w:hint="eastAsia" w:ascii="楷体_GB2312" w:hAnsi="Times New Roman" w:eastAsia="楷体_GB2312" w:cs="DengXian-Bold"/>
          <w:b/>
          <w:bCs/>
          <w:sz w:val="32"/>
          <w:szCs w:val="32"/>
        </w:rPr>
        <w:t>般公共</w:t>
      </w:r>
      <w:r>
        <w:rPr>
          <w:rFonts w:hint="eastAsia" w:ascii="楷体_GB2312" w:hAnsi="Times New Roman" w:eastAsia="楷体_GB2312" w:cs="DengXian-Bold"/>
          <w:b/>
          <w:bCs/>
          <w:sz w:val="32"/>
          <w:szCs w:val="32"/>
          <w:lang w:eastAsia="zh-CN"/>
        </w:rPr>
        <w:t>预</w:t>
      </w:r>
      <w:r>
        <w:rPr>
          <w:rFonts w:hint="eastAsia" w:ascii="楷体_GB2312" w:hAnsi="Times New Roman" w:eastAsia="楷体_GB2312" w:cs="DengXian-Bold"/>
          <w:b/>
          <w:bCs/>
          <w:sz w:val="32"/>
          <w:szCs w:val="32"/>
        </w:rPr>
        <w:t>算基本</w:t>
      </w:r>
      <w:r>
        <w:rPr>
          <w:rFonts w:hint="eastAsia" w:ascii="楷体_GB2312" w:hAnsi="Times New Roman" w:eastAsia="楷体_GB2312" w:cs="DengXian-Bold"/>
          <w:b/>
          <w:bCs/>
          <w:sz w:val="32"/>
          <w:szCs w:val="32"/>
          <w:lang w:eastAsia="zh-CN"/>
        </w:rPr>
        <w:t>支</w:t>
      </w:r>
      <w:r>
        <w:rPr>
          <w:rFonts w:hint="eastAsia" w:ascii="楷体_GB2312" w:hAnsi="Times New Roman" w:eastAsia="楷体_GB2312" w:cs="DengXian-Bold"/>
          <w:b/>
          <w:bCs/>
          <w:sz w:val="32"/>
          <w:szCs w:val="32"/>
        </w:rPr>
        <w:t>出决算</w:t>
      </w:r>
      <w:r>
        <w:rPr>
          <w:rFonts w:hint="eastAsia" w:ascii="楷体_GB2312" w:hAnsi="Times New Roman" w:eastAsia="楷体_GB2312" w:cs="DengXian-Bold"/>
          <w:b/>
          <w:bCs/>
          <w:sz w:val="32"/>
          <w:szCs w:val="32"/>
          <w:lang w:eastAsia="zh-CN"/>
        </w:rPr>
        <w:t>情</w:t>
      </w:r>
      <w:r>
        <w:rPr>
          <w:rFonts w:hint="eastAsia" w:ascii="楷体_GB2312" w:hAnsi="Times New Roman" w:eastAsia="楷体_GB2312" w:cs="DengXian-Bold"/>
          <w:b/>
          <w:bCs/>
          <w:sz w:val="32"/>
          <w:szCs w:val="32"/>
        </w:rPr>
        <w:t>况说明</w:t>
      </w:r>
    </w:p>
    <w:p>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2036.24</w:t>
      </w:r>
      <w:r>
        <w:rPr>
          <w:rFonts w:hint="eastAsia" w:ascii="仿宋_GB2312" w:hAnsi="Times New Roman" w:eastAsia="仿宋_GB2312" w:cs="DengXian-Regular"/>
          <w:sz w:val="32"/>
          <w:szCs w:val="32"/>
        </w:rPr>
        <w:t>万元，其中：人员经费 1730.91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305.33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2019年度“三公”经费支出共计</w:t>
      </w:r>
      <w:r>
        <w:rPr>
          <w:rFonts w:hint="eastAsia" w:ascii="仿宋_GB2312" w:hAnsi="Times New Roman" w:eastAsia="仿宋_GB2312" w:cs="DengXian-Regular"/>
          <w:sz w:val="32"/>
          <w:szCs w:val="32"/>
          <w:lang w:val="en-US" w:eastAsia="zh-CN"/>
        </w:rPr>
        <w:t>12.87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63.1</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7.53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36.9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17.6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12.87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2019年度公务用车购置及运行维护费较预算减少</w:t>
      </w:r>
      <w:r>
        <w:rPr>
          <w:rFonts w:hint="eastAsia" w:ascii="仿宋_GB2312" w:hAnsi="Times New Roman" w:eastAsia="仿宋_GB2312" w:cs="DengXian-Regular"/>
          <w:sz w:val="32"/>
          <w:szCs w:val="32"/>
          <w:lang w:val="en-US" w:eastAsia="zh-CN"/>
        </w:rPr>
        <w:t>6.03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17.6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w:t>
      </w:r>
      <w:bookmarkStart w:id="0" w:name="_GoBack"/>
      <w:bookmarkEnd w:id="0"/>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17.6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且</w:t>
      </w:r>
      <w:r>
        <w:rPr>
          <w:rFonts w:hint="eastAsia" w:ascii="仿宋_GB2312" w:hAnsi="Times New Roman" w:eastAsia="仿宋_GB2312" w:cs="DengXian-Regular"/>
          <w:sz w:val="32"/>
          <w:szCs w:val="32"/>
          <w:lang w:eastAsia="zh-CN"/>
        </w:rPr>
        <w:t>公车改革车辆上交、机构改革车辆上交</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2019年度无公务接待</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hint="eastAsia" w:ascii="黑体" w:hAnsi="Times New Roman" w:eastAsia="黑体" w:cs="Times New Roman"/>
          <w:sz w:val="32"/>
          <w:szCs w:val="40"/>
        </w:rPr>
      </w:pPr>
      <w:r>
        <w:rPr>
          <w:rFonts w:hint="eastAsia" w:ascii="黑体" w:hAnsi="Times New Roman" w:eastAsia="黑体" w:cs="Times New Roman"/>
          <w:sz w:val="32"/>
          <w:szCs w:val="40"/>
          <w:lang w:val="en-US" w:eastAsia="zh-CN"/>
        </w:rPr>
        <w:t xml:space="preserve">    </w:t>
      </w:r>
      <w:r>
        <w:rPr>
          <w:rFonts w:hint="eastAsia" w:ascii="黑体" w:hAnsi="Times New Roman" w:eastAsia="黑体" w:cs="Times New Roman"/>
          <w:sz w:val="32"/>
          <w:szCs w:val="40"/>
          <w:lang w:eastAsia="zh-CN"/>
        </w:rPr>
        <w:t>六、</w:t>
      </w:r>
      <w:r>
        <w:rPr>
          <w:rFonts w:hint="eastAsia" w:ascii="黑体" w:hAnsi="Times New Roman" w:eastAsia="黑体" w:cs="Times New Roman"/>
          <w:sz w:val="32"/>
          <w:szCs w:val="40"/>
        </w:rPr>
        <w:t>预算绩效情况说明</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（一）绩效管理工作开展情况。根据《关于开展 2018 年度</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财政专项资金部门绩效自评价工作的通知》 （石财绩[2019]1号），本单位认真开展了预算绩效管理改革开展情况自查，对部门全面规范绩效预算编制、严格预算执行管理、推进绩效评价工作、推进预决算信息公开等方面进行了自评，考核结果为优秀</w:t>
      </w:r>
      <w:r>
        <w:rPr>
          <w:rFonts w:hint="eastAsia" w:ascii="仿宋" w:hAnsi="仿宋" w:eastAsia="仿宋" w:cs="仿宋"/>
          <w:b w:val="0"/>
          <w:bCs w:val="0"/>
          <w:lang w:eastAsia="zh-CN"/>
        </w:rPr>
        <w:t>。</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（二）预算项目绩效评价开展情况。根据预算绩效管理要求，</w:t>
      </w:r>
    </w:p>
    <w:p>
      <w:pPr>
        <w:pStyle w:val="3"/>
        <w:spacing w:before="0" w:after="0" w:line="580" w:lineRule="exact"/>
        <w:rPr>
          <w:rFonts w:hint="eastAsia" w:ascii="仿宋" w:hAnsi="仿宋" w:eastAsia="仿宋" w:cs="仿宋"/>
          <w:b w:val="0"/>
          <w:bCs w:val="0"/>
        </w:rPr>
      </w:pPr>
      <w:r>
        <w:rPr>
          <w:rFonts w:hint="eastAsia" w:ascii="仿宋" w:hAnsi="仿宋" w:eastAsia="仿宋" w:cs="仿宋"/>
          <w:b w:val="0"/>
          <w:bCs w:val="0"/>
        </w:rPr>
        <w:t>本单位组织对 2018 年度一般公共预算项目支出全面开展绩效自评，涉及</w:t>
      </w:r>
      <w:r>
        <w:rPr>
          <w:rFonts w:hint="eastAsia" w:ascii="仿宋" w:hAnsi="仿宋" w:eastAsia="仿宋" w:cs="仿宋"/>
          <w:b w:val="0"/>
          <w:bCs w:val="0"/>
          <w:lang w:eastAsia="zh-CN"/>
        </w:rPr>
        <w:t>项目</w:t>
      </w:r>
      <w:r>
        <w:rPr>
          <w:rFonts w:hint="eastAsia" w:ascii="仿宋" w:hAnsi="仿宋" w:eastAsia="仿宋" w:cs="仿宋"/>
          <w:b w:val="0"/>
          <w:bCs w:val="0"/>
          <w:lang w:val="en-US" w:eastAsia="zh-CN"/>
        </w:rPr>
        <w:t>11个</w:t>
      </w:r>
      <w:r>
        <w:rPr>
          <w:rFonts w:hint="eastAsia" w:ascii="仿宋" w:hAnsi="仿宋" w:eastAsia="仿宋" w:cs="仿宋"/>
          <w:b w:val="0"/>
          <w:bCs w:val="0"/>
        </w:rPr>
        <w:t xml:space="preserve">。从评价情况看，评价结果为优秀的项目有 </w:t>
      </w:r>
      <w:r>
        <w:rPr>
          <w:rFonts w:hint="eastAsia" w:ascii="仿宋" w:hAnsi="仿宋" w:eastAsia="仿宋" w:cs="仿宋"/>
          <w:b w:val="0"/>
          <w:bCs w:val="0"/>
          <w:lang w:val="en-US" w:eastAsia="zh-CN"/>
        </w:rPr>
        <w:t>11</w:t>
      </w:r>
      <w:r>
        <w:rPr>
          <w:rFonts w:hint="eastAsia" w:ascii="仿宋" w:hAnsi="仿宋" w:eastAsia="仿宋" w:cs="仿宋"/>
          <w:b w:val="0"/>
          <w:bCs w:val="0"/>
        </w:rPr>
        <w:t>个。</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（三）预算项目绩效自评选例</w:t>
      </w:r>
    </w:p>
    <w:p>
      <w:pPr>
        <w:keepNext/>
        <w:keepLines/>
        <w:snapToGrid w:val="0"/>
        <w:spacing w:line="580" w:lineRule="exact"/>
        <w:ind w:firstLine="640" w:firstLineChars="200"/>
        <w:outlineLvl w:val="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本单位无民生项目和重点支出项目。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2019年度机关运行经费支出</w:t>
      </w:r>
      <w:r>
        <w:rPr>
          <w:rFonts w:hint="eastAsia" w:ascii="仿宋_GB2312" w:hAnsi="Times New Roman" w:eastAsia="仿宋_GB2312" w:cs="DengXian-Regular"/>
          <w:sz w:val="32"/>
          <w:szCs w:val="32"/>
          <w:lang w:val="en-US" w:eastAsia="zh-CN"/>
        </w:rPr>
        <w:t>305.33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100.05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48.7</w:t>
      </w:r>
      <w:r>
        <w:rPr>
          <w:rFonts w:hint="eastAsia" w:ascii="仿宋_GB2312" w:hAnsi="Times New Roman" w:eastAsia="仿宋_GB2312" w:cs="DengXian-Regular"/>
          <w:sz w:val="32"/>
          <w:szCs w:val="32"/>
        </w:rPr>
        <w:t>%。主要原因是增加交通补贴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通讯补贴</w:t>
      </w:r>
      <w:r>
        <w:rPr>
          <w:rFonts w:hint="eastAsia" w:ascii="仿宋_GB2312" w:hAnsi="Times New Roman" w:eastAsia="仿宋_GB2312" w:cs="DengXian-Regular"/>
          <w:sz w:val="32"/>
          <w:szCs w:val="32"/>
          <w:lang w:eastAsia="zh-CN"/>
        </w:rPr>
        <w:t>、劳务派遣人员工资</w:t>
      </w:r>
      <w:r>
        <w:rPr>
          <w:rFonts w:hint="eastAsia" w:ascii="仿宋_GB2312" w:hAnsi="Times New Roman" w:eastAsia="仿宋_GB2312" w:cs="DengXian-Regular"/>
          <w:sz w:val="32"/>
          <w:szCs w:val="32"/>
        </w:rPr>
        <w:t>以及物价上涨等因素导致运行经费增加。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2019年度政府采购支出总额</w:t>
      </w:r>
      <w:r>
        <w:rPr>
          <w:rFonts w:hint="eastAsia" w:ascii="仿宋_GB2312" w:hAnsi="Times New Roman" w:eastAsia="仿宋_GB2312" w:cs="DengXian-Regular"/>
          <w:sz w:val="32"/>
          <w:szCs w:val="32"/>
          <w:lang w:val="en-US" w:eastAsia="zh-CN"/>
        </w:rPr>
        <w:t>151.45</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公车改革，车辆上交</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w:t>
      </w:r>
      <w:r>
        <w:rPr>
          <w:rFonts w:hint="eastAsia" w:ascii="仿宋_GB2312" w:hAnsi="Times New Roman" w:eastAsia="仿宋_GB2312" w:cs="DengXian-Regular"/>
          <w:sz w:val="32"/>
          <w:szCs w:val="32"/>
          <w:lang w:eastAsia="zh-CN"/>
        </w:rPr>
        <w:t>国有资本经营</w:t>
      </w:r>
      <w:r>
        <w:rPr>
          <w:rFonts w:hint="eastAsia" w:ascii="仿宋_GB2312" w:hAnsi="Times New Roman" w:eastAsia="仿宋_GB2312" w:cs="DengXian-Regular"/>
          <w:sz w:val="32"/>
          <w:szCs w:val="32"/>
        </w:rPr>
        <w:t>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72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rFonts w:ascii="等线" w:hAnsi="等线" w:eastAsia="等线" w:cs="黑体"/>
          <w:kern w:val="2"/>
          <w:sz w:val="72"/>
          <w:szCs w:val="22"/>
          <w:lang w:val="en-US" w:eastAsia="zh-CN" w:bidi="ar-SA"/>
        </w:rPr>
        <w:pict>
          <v:rect id="文本框 188" o:spid="_x0000_s1099" o:spt="1" style="position:absolute;left:0pt;margin-left:-80.45pt;margin-top:34.8pt;height:263.1pt;width:613.65pt;z-index:251668480;mso-width-relative:page;mso-height-relative:page;" fillcolor="#FFD966" filled="t" o:preferrelative="t" stroked="t" coordsize="21600,21600">
            <v:path/>
            <v:fill type="pattern" on="t" color2="#FFFFFF" o:opacity2="65536f" focussize="0,0" r:id="rId27"/>
            <v:stroke weight="0.5pt" color="#FFD966" color2="#FFFFFF" miterlimit="2"/>
            <v:imagedata gain="65536f" blacklevel="0f" gamma="0" o:title=""/>
            <o:lock v:ext="edit" position="f" selection="f" grouping="f" rotation="f" cropping="f" text="f" aspectratio="f"/>
            <v:textbox>
              <w:txbxContent>
                <w:p>
                  <w:pPr>
                    <w:widowControl/>
                    <w:jc w:val="center"/>
                  </w:pPr>
                  <w:r>
                    <w:rPr>
                      <w:rFonts w:hint="eastAsia" w:ascii="黑体" w:hAnsi="黑体" w:eastAsia="黑体" w:cs="黑体"/>
                      <w:color w:val="000000"/>
                      <w:sz w:val="90"/>
                      <w:szCs w:val="90"/>
                    </w:rPr>
                    <w:t>第三部分 相关名词解释</w:t>
                  </w:r>
                </w:p>
              </w:txbxContent>
            </v:textbox>
          </v:rect>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72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720" w:num="1"/>
          <w:docGrid w:type="lines" w:linePitch="312" w:charSpace="0"/>
        </w:sectPr>
      </w:pPr>
      <w:r>
        <w:rPr>
          <w:rFonts w:ascii="等线" w:hAnsi="等线" w:eastAsia="等线" w:cs="黑体"/>
          <w:kern w:val="2"/>
          <w:sz w:val="72"/>
          <w:szCs w:val="22"/>
          <w:lang w:val="en-US" w:eastAsia="zh-CN" w:bidi="ar-SA"/>
        </w:rPr>
        <w:pict>
          <v:rect id="文本框 229" o:spid="_x0000_s1100" o:spt="1" style="position:absolute;left:0pt;margin-left:-82.05pt;margin-top:111.85pt;height:263.1pt;width:613.65pt;z-index:251669504;mso-width-relative:page;mso-height-relative:page;" fillcolor="#FFD966" filled="t" o:preferrelative="t" stroked="t" coordsize="21600,21600">
            <v:path/>
            <v:fill type="pattern" on="t" color2="#FFFFFF" o:opacity2="65536f" focussize="0,0" r:id="rId27"/>
            <v:stroke weight="0.5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2019年度</w:t>
                  </w:r>
                  <w:r>
                    <w:rPr>
                      <w:rFonts w:hint="eastAsia" w:ascii="黑体" w:hAnsi="黑体" w:eastAsia="黑体" w:cs="黑体"/>
                      <w:color w:val="000000"/>
                      <w:sz w:val="90"/>
                      <w:szCs w:val="90"/>
                      <w:lang w:eastAsia="zh-CN"/>
                    </w:rPr>
                    <w:t>单位</w:t>
                  </w:r>
                  <w:r>
                    <w:rPr>
                      <w:rFonts w:hint="eastAsia" w:ascii="黑体" w:hAnsi="黑体" w:eastAsia="黑体" w:cs="黑体"/>
                      <w:color w:val="000000"/>
                      <w:sz w:val="90"/>
                      <w:szCs w:val="90"/>
                    </w:rPr>
                    <w:t>决算报表</w:t>
                  </w:r>
                </w:p>
              </w:txbxContent>
            </v:textbox>
          </v:rect>
        </w:pict>
      </w:r>
    </w:p>
    <w:p>
      <w:pPr>
        <w:jc w:val="left"/>
      </w:pPr>
    </w:p>
    <w:tbl>
      <w:tblPr>
        <w:tblStyle w:val="7"/>
        <w:tblW w:w="10682" w:type="dxa"/>
        <w:tblInd w:w="-110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875"/>
        <w:gridCol w:w="795"/>
        <w:gridCol w:w="1073"/>
        <w:gridCol w:w="2580"/>
        <w:gridCol w:w="594"/>
        <w:gridCol w:w="1265"/>
        <w:gridCol w:w="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9" w:hRule="atLeast"/>
        </w:trPr>
        <w:tc>
          <w:tcPr>
            <w:tcW w:w="10182" w:type="dxa"/>
            <w:gridSpan w:val="6"/>
            <w:tcBorders>
              <w:top w:val="nil"/>
              <w:left w:val="nil"/>
              <w:bottom w:val="nil"/>
              <w:right w:val="nil"/>
            </w:tcBorders>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2"/>
                <w:szCs w:val="32"/>
                <w:u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9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073"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58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594"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265" w:type="dxa"/>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9" w:hRule="atLeast"/>
        </w:trPr>
        <w:tc>
          <w:tcPr>
            <w:tcW w:w="4670" w:type="dxa"/>
            <w:gridSpan w:val="2"/>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rPr>
              <w:t>单位：石家庄市鹿泉区农业农村局（本级）</w:t>
            </w:r>
          </w:p>
        </w:tc>
        <w:tc>
          <w:tcPr>
            <w:tcW w:w="1073"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58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859"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5743"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收入</w:t>
            </w:r>
          </w:p>
        </w:tc>
        <w:tc>
          <w:tcPr>
            <w:tcW w:w="4439"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行次</w:t>
            </w:r>
          </w:p>
        </w:tc>
        <w:tc>
          <w:tcPr>
            <w:tcW w:w="10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行次</w:t>
            </w:r>
          </w:p>
        </w:tc>
        <w:tc>
          <w:tcPr>
            <w:tcW w:w="12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栏次</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栏次</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101"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一、一般公共预算财政拨款收入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11,794.10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一、一般公共服务支出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29</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272.42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101"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二、政府性基金预算财政拨款收入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二、外交支出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三、上级补助收入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三、国防支出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四、事业收入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四、公共安全支出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五、经营收入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五、教育支出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六、附属单位上缴收入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六、科学技术支出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101"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七、其他收入</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7</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657.06</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七、文化旅游体育与传媒支出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八、社会保障和就业支出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9</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九、卫生健康支出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37</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十、节能环保支出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38</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292.73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11</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十一、城乡社区支出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十二、农林水支出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14,560.71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十三、交通运输支出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6"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十四、资源勘探信息等支出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十五、商业服务业等支出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十六、金融支出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十七、援助其他地区支出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101"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十八、自然资源海洋气象等支出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19</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十九、住房保障支出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47</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二十、粮油物资储备支出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48</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101"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二十一、灾害防治及应急管理支出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49</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22</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二十二、其他支出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50</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23</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二十四、债务付息支出</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51</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本年收入合计</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12,491.15</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本年支出合计</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52</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16,474.42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用事业基金弥补收支差额</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25</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结余分配</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53</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年初结转和结余</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26</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12,129.19</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年末结转和结余</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54</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8,145.92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55</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38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总计</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28</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24,620.34</w:t>
            </w:r>
          </w:p>
        </w:tc>
        <w:tc>
          <w:tcPr>
            <w:tcW w:w="25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总计</w:t>
            </w:r>
          </w:p>
        </w:tc>
        <w:tc>
          <w:tcPr>
            <w:tcW w:w="5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56</w:t>
            </w:r>
          </w:p>
        </w:tc>
        <w:tc>
          <w:tcPr>
            <w:tcW w:w="12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24,620.34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00" w:type="dxa"/>
          <w:trHeight w:val="90" w:hRule="atLeast"/>
        </w:trPr>
        <w:tc>
          <w:tcPr>
            <w:tcW w:w="10182"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注：本表反映单位本年度的总收支和年末结转结余情况。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trPr>
        <w:tc>
          <w:tcPr>
            <w:tcW w:w="10682" w:type="dxa"/>
            <w:gridSpan w:val="7"/>
            <w:tcBorders>
              <w:top w:val="nil"/>
              <w:left w:val="nil"/>
              <w:bottom w:val="nil"/>
              <w:right w:val="nil"/>
            </w:tcBorders>
            <w:tcMar>
              <w:top w:w="15" w:type="dxa"/>
              <w:left w:w="15" w:type="dxa"/>
              <w:right w:w="15" w:type="dxa"/>
            </w:tcMar>
            <w:vAlign w:val="bottom"/>
          </w:tcPr>
          <w:tbl>
            <w:tblPr>
              <w:tblStyle w:val="7"/>
              <w:tblW w:w="106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7"/>
              <w:gridCol w:w="240"/>
              <w:gridCol w:w="3420"/>
              <w:gridCol w:w="990"/>
              <w:gridCol w:w="1110"/>
              <w:gridCol w:w="750"/>
              <w:gridCol w:w="900"/>
              <w:gridCol w:w="675"/>
              <w:gridCol w:w="675"/>
              <w:gridCol w:w="8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4" w:hRule="atLeast"/>
                <w:jc w:val="center"/>
              </w:trPr>
              <w:tc>
                <w:tcPr>
                  <w:tcW w:w="10622" w:type="dxa"/>
                  <w:gridSpan w:val="10"/>
                  <w:tcBorders>
                    <w:top w:val="nil"/>
                    <w:left w:val="nil"/>
                    <w:bottom w:val="nil"/>
                    <w:right w:val="nil"/>
                  </w:tcBorders>
                  <w:tcMar>
                    <w:top w:w="15" w:type="dxa"/>
                    <w:left w:w="15" w:type="dxa"/>
                    <w:right w:w="15" w:type="dxa"/>
                  </w:tcMar>
                  <w:vAlign w:val="bottom"/>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32"/>
                      <w:szCs w:val="32"/>
                      <w:u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jc w:val="center"/>
              </w:trPr>
              <w:tc>
                <w:tcPr>
                  <w:tcW w:w="977"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342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99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11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5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56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6737" w:type="dxa"/>
                  <w:gridSpan w:val="5"/>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rPr>
                    <w:t>单位：石家庄市鹿泉区农业农村局（本级）</w:t>
                  </w:r>
                </w:p>
              </w:tc>
              <w:tc>
                <w:tcPr>
                  <w:tcW w:w="75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56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4637"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w:t>
                  </w:r>
                </w:p>
              </w:tc>
              <w:tc>
                <w:tcPr>
                  <w:tcW w:w="99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本年收入合计</w:t>
                  </w:r>
                </w:p>
              </w:tc>
              <w:tc>
                <w:tcPr>
                  <w:tcW w:w="111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财政拨款收入</w:t>
                  </w:r>
                </w:p>
              </w:tc>
              <w:tc>
                <w:tcPr>
                  <w:tcW w:w="75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上级补助收入</w:t>
                  </w:r>
                </w:p>
              </w:tc>
              <w:tc>
                <w:tcPr>
                  <w:tcW w:w="90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事业收入</w:t>
                  </w:r>
                </w:p>
              </w:tc>
              <w:tc>
                <w:tcPr>
                  <w:tcW w:w="67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经营收入</w:t>
                  </w:r>
                </w:p>
              </w:tc>
              <w:tc>
                <w:tcPr>
                  <w:tcW w:w="67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附属单位上缴收入</w:t>
                  </w:r>
                </w:p>
              </w:tc>
              <w:tc>
                <w:tcPr>
                  <w:tcW w:w="8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217" w:type="dxa"/>
                  <w:gridSpan w:val="2"/>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功能分类科目编码</w:t>
                  </w:r>
                </w:p>
              </w:tc>
              <w:tc>
                <w:tcPr>
                  <w:tcW w:w="34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科目名称</w:t>
                  </w:r>
                </w:p>
              </w:tc>
              <w:tc>
                <w:tcPr>
                  <w:tcW w:w="9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2" w:hRule="atLeast"/>
                <w:jc w:val="center"/>
              </w:trPr>
              <w:tc>
                <w:tcPr>
                  <w:tcW w:w="1217" w:type="dxa"/>
                  <w:gridSpan w:val="2"/>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0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4637"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栏次</w:t>
                  </w:r>
                </w:p>
              </w:tc>
              <w:tc>
                <w:tcPr>
                  <w:tcW w:w="9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w:t>
                  </w:r>
                </w:p>
              </w:tc>
              <w:tc>
                <w:tcPr>
                  <w:tcW w:w="11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w:t>
                  </w:r>
                </w:p>
              </w:tc>
              <w:tc>
                <w:tcPr>
                  <w:tcW w:w="6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w:t>
                  </w:r>
                </w:p>
              </w:tc>
              <w:tc>
                <w:tcPr>
                  <w:tcW w:w="6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0" w:hRule="atLeast"/>
                <w:jc w:val="center"/>
              </w:trPr>
              <w:tc>
                <w:tcPr>
                  <w:tcW w:w="4637"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合计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12,491.15</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11,834.10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657.06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一般公共服务支出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364.77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364.77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20106</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财政事务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2010602</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一般行政管理事务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0"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20131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党委办公厅（室）及相关机构事务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344.77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344.77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2013101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行政运行</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344.77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344.77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208</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社会保障和就业支出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152.69</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152.69</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20805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行政事业单位离退休</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143.77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143.77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2080505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机关事业单位基本养老保险缴费支出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143.77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143.77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20809</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退役安置</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8.92</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8.92</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2080901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退役士兵安置</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8.92</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8.92</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210</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卫生健康支出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21011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行政事业单位医疗</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2101101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行政单位医疗</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城乡社区支出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1,040.00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1,040.00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21203</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城乡社区公共设施</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2120399</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其他城乡社区公共设施支出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3"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21208</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国有土地使用权出让收入及对应专项债务收入安排的支出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2120804</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农村基础设施建设支出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0"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农林水支出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10,737.81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10,080.75</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657.06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农业</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9,375.24</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8,718.19</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657.06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行政运行</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1,334.55</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1,334.55</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2130102</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一般行政管理事务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0.48</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0.48</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2130104</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事业运行</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4.32</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4.32</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2130106</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科技转化与推广服务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1,357.38</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1,357.38</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2130108</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病虫害控制</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314.48</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173.26</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2130109</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农产品质量安全</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16.19</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16.19</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2130110</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执法监管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2130111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统计监测与信息服务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2130121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农业结构调整补贴</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246.00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246.00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2130122</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农业生产支持补贴</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740.01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598.00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142.01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2130124</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农业组织化与产业化经营</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515.45</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515.45</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2130125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农产品加工与促销</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2130126</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农村公益事业</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2,438.89</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2,433.89</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2130135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农业资源保护修复与利用</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2130199</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其他农业支出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2,192.19</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1,823.36</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368.83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扶贫</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212.86</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212.86</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2130504</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农村基础设施建设</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2.86</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2.86</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2130599</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其他扶贫支出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21307</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农村综合改革</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1,149.70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1,149.70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0"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2130705</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对村民委员会和村党支部的补助</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1,040.00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1,040.00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2130706</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对村集体经济组织的补助</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109.70</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109.70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221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住房保障支出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22102</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住房改革支出</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217"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2210201</w:t>
                  </w:r>
                </w:p>
              </w:tc>
              <w:tc>
                <w:tcPr>
                  <w:tcW w:w="342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住房公积金</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8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10622"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注：本表反映单位本年度取得的各项收入情况。</w:t>
                  </w:r>
                </w:p>
              </w:tc>
            </w:tr>
          </w:tbl>
          <w:p>
            <w:pPr>
              <w:widowControl/>
              <w:jc w:val="center"/>
              <w:textAlignment w:val="bottom"/>
              <w:rPr>
                <w:rFonts w:ascii="黑体" w:hAnsi="宋体" w:eastAsia="黑体" w:cs="黑体"/>
                <w:color w:val="000000"/>
                <w:kern w:val="0"/>
                <w:sz w:val="32"/>
                <w:szCs w:val="32"/>
              </w:rPr>
            </w:pPr>
          </w:p>
          <w:p>
            <w:pPr>
              <w:widowControl/>
              <w:jc w:val="both"/>
              <w:textAlignment w:val="bottom"/>
              <w:rPr>
                <w:rFonts w:ascii="黑体" w:hAnsi="宋体" w:eastAsia="黑体" w:cs="黑体"/>
                <w:color w:val="000000"/>
                <w:sz w:val="32"/>
                <w:szCs w:val="32"/>
              </w:rPr>
            </w:pPr>
          </w:p>
        </w:tc>
      </w:tr>
    </w:tbl>
    <w:p>
      <w:pPr>
        <w:jc w:val="left"/>
      </w:pPr>
    </w:p>
    <w:p>
      <w:r>
        <w:br w:type="page"/>
      </w:r>
    </w:p>
    <w:tbl>
      <w:tblPr>
        <w:tblStyle w:val="7"/>
        <w:tblW w:w="1090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9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10907" w:type="dxa"/>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bl>
            <w:tblPr>
              <w:tblStyle w:val="7"/>
              <w:tblW w:w="106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402"/>
              <w:gridCol w:w="3003"/>
              <w:gridCol w:w="1231"/>
              <w:gridCol w:w="1199"/>
              <w:gridCol w:w="1186"/>
              <w:gridCol w:w="704"/>
              <w:gridCol w:w="988"/>
              <w:gridCol w:w="9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4" w:hRule="atLeast"/>
                <w:jc w:val="center"/>
              </w:trPr>
              <w:tc>
                <w:tcPr>
                  <w:tcW w:w="10640" w:type="dxa"/>
                  <w:gridSpan w:val="8"/>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4" w:hRule="atLeast"/>
                <w:jc w:val="center"/>
              </w:trPr>
              <w:tc>
                <w:tcPr>
                  <w:tcW w:w="8021" w:type="dxa"/>
                  <w:gridSpan w:val="5"/>
                  <w:tcBorders>
                    <w:top w:val="nil"/>
                    <w:left w:val="nil"/>
                    <w:bottom w:val="nil"/>
                    <w:right w:val="nil"/>
                  </w:tcBorders>
                  <w:tcMar>
                    <w:top w:w="15" w:type="dxa"/>
                    <w:left w:w="15" w:type="dxa"/>
                    <w:right w:w="15" w:type="dxa"/>
                  </w:tcMar>
                  <w:vAlign w:val="bottom"/>
                </w:tcPr>
                <w:p>
                  <w:pPr>
                    <w:widowControl/>
                    <w:jc w:val="lef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单位：石家庄市鹿泉区农业农村局（本级）</w:t>
                  </w:r>
                </w:p>
              </w:tc>
              <w:tc>
                <w:tcPr>
                  <w:tcW w:w="261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4405" w:type="dxa"/>
                  <w:gridSpan w:val="2"/>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123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本年支出合计</w:t>
                  </w:r>
                </w:p>
              </w:tc>
              <w:tc>
                <w:tcPr>
                  <w:tcW w:w="119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118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c>
                <w:tcPr>
                  <w:tcW w:w="70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上缴上级支出</w:t>
                  </w:r>
                </w:p>
              </w:tc>
              <w:tc>
                <w:tcPr>
                  <w:tcW w:w="98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经营支出</w:t>
                  </w:r>
                </w:p>
              </w:tc>
              <w:tc>
                <w:tcPr>
                  <w:tcW w:w="92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402"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300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2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402"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0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402"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0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440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23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19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118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70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98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92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440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16,474.42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2,036.24</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14,438.18</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一般公共服务支出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272.42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财政事务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2010602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党委办公厅（室）及相关机构事务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社会保障和就业支出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152.69</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行政事业单位离退休</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退役安置</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退役士兵安置</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卫生健康支出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行政事业单位医疗</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行政单位医疗</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节能环保支出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污染防治</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水体</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城乡社区公共设施</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2120399</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其他城乡社区公共设施支出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农林水支出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14,560.71</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1,444.17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13,116.54</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农业</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13,198.14</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1,444.17</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11,753.98</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1,439.85</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1,439.85</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2130104</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事业运行</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2130106</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科技转化与推广服务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926.54</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926.54</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2130108</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病虫害控制</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317.29</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317.29</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2130109</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农产品质量安全</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11.89</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11.89</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统计监测与信息服务</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农业结构调整补贴</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农业生产支持补贴</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262.01</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262.01</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2130124</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农业组织化与产业化经营</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184.75</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184.75</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农产品加工与促销</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2130126</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农村公益事业</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6,532.77</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6,532.77</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2130135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农业资源保护修复与利用</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2130199</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其他农业支出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1,961.94</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1,961.94</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扶贫</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2130504</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2130599</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其他扶贫支出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农村综合改革</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2130705</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对村民委员会和村党支部的补助</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2130706</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对村集体经济组织的补助</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住房保障支出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住房改革支出</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40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2210201</w:t>
                  </w:r>
                </w:p>
              </w:tc>
              <w:tc>
                <w:tcPr>
                  <w:tcW w:w="3003"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231"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99"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186"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0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8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2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10640"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注：本表反映单位本年度各项支出情况。</w:t>
                  </w:r>
                </w:p>
              </w:tc>
            </w:tr>
          </w:tbl>
          <w:p>
            <w:pPr>
              <w:widowControl/>
              <w:jc w:val="center"/>
              <w:textAlignment w:val="center"/>
              <w:rPr>
                <w:rFonts w:ascii="黑体" w:hAnsi="宋体" w:eastAsia="黑体" w:cs="黑体"/>
                <w:color w:val="000000"/>
                <w:sz w:val="32"/>
                <w:szCs w:val="32"/>
              </w:rPr>
            </w:pPr>
          </w:p>
        </w:tc>
      </w:tr>
    </w:tbl>
    <w:p>
      <w:r>
        <w:br w:type="page"/>
      </w:r>
    </w:p>
    <w:tbl>
      <w:tblPr>
        <w:tblStyle w:val="7"/>
        <w:tblW w:w="9957" w:type="dxa"/>
        <w:tblInd w:w="-67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415"/>
        <w:gridCol w:w="645"/>
        <w:gridCol w:w="945"/>
        <w:gridCol w:w="2325"/>
        <w:gridCol w:w="600"/>
        <w:gridCol w:w="960"/>
        <w:gridCol w:w="990"/>
        <w:gridCol w:w="1077"/>
      </w:tblGrid>
      <w:tr>
        <w:tblPrEx>
          <w:tblCellMar>
            <w:top w:w="0" w:type="dxa"/>
            <w:left w:w="0" w:type="dxa"/>
            <w:bottom w:w="0" w:type="dxa"/>
            <w:right w:w="0" w:type="dxa"/>
          </w:tblCellMar>
        </w:tblPrEx>
        <w:trPr>
          <w:trHeight w:val="116" w:hRule="atLeast"/>
        </w:trPr>
        <w:tc>
          <w:tcPr>
            <w:tcW w:w="9957" w:type="dxa"/>
            <w:gridSpan w:val="8"/>
            <w:tcBorders>
              <w:top w:val="nil"/>
              <w:left w:val="nil"/>
              <w:bottom w:val="nil"/>
              <w:right w:val="nil"/>
            </w:tcBorders>
            <w:tcMar>
              <w:top w:w="15" w:type="dxa"/>
              <w:left w:w="15" w:type="dxa"/>
              <w:right w:w="15" w:type="dxa"/>
            </w:tcMar>
            <w:vAlign w:val="bottom"/>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32"/>
                <w:szCs w:val="32"/>
                <w:u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6" w:hRule="atLeast"/>
        </w:trPr>
        <w:tc>
          <w:tcPr>
            <w:tcW w:w="241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64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94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232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3627"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6" w:hRule="atLeast"/>
        </w:trPr>
        <w:tc>
          <w:tcPr>
            <w:tcW w:w="4005" w:type="dxa"/>
            <w:gridSpan w:val="3"/>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rPr>
              <w:t>单位：石家庄市鹿泉区农业农村局（本级）</w:t>
            </w:r>
          </w:p>
        </w:tc>
        <w:tc>
          <w:tcPr>
            <w:tcW w:w="232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60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96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2067"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4005"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收     入</w:t>
            </w:r>
          </w:p>
        </w:tc>
        <w:tc>
          <w:tcPr>
            <w:tcW w:w="5952" w:type="dxa"/>
            <w:gridSpan w:val="5"/>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41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项目</w:t>
            </w:r>
          </w:p>
        </w:tc>
        <w:tc>
          <w:tcPr>
            <w:tcW w:w="6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行次</w:t>
            </w:r>
          </w:p>
        </w:tc>
        <w:tc>
          <w:tcPr>
            <w:tcW w:w="9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w:t>
            </w:r>
          </w:p>
        </w:tc>
        <w:tc>
          <w:tcPr>
            <w:tcW w:w="23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项目</w:t>
            </w:r>
          </w:p>
        </w:tc>
        <w:tc>
          <w:tcPr>
            <w:tcW w:w="6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行次</w:t>
            </w:r>
          </w:p>
        </w:tc>
        <w:tc>
          <w:tcPr>
            <w:tcW w:w="9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合计</w:t>
            </w:r>
          </w:p>
        </w:tc>
        <w:tc>
          <w:tcPr>
            <w:tcW w:w="99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一般公共预算财政拨款</w:t>
            </w:r>
          </w:p>
        </w:tc>
        <w:tc>
          <w:tcPr>
            <w:tcW w:w="107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241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3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9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7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栏次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栏次</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w:t>
            </w:r>
          </w:p>
        </w:tc>
        <w:tc>
          <w:tcPr>
            <w:tcW w:w="9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w:t>
            </w:r>
          </w:p>
        </w:tc>
        <w:tc>
          <w:tcPr>
            <w:tcW w:w="107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一、一般公共预算财政拨款</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11,794.10</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一、一般公共服务支出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272.42</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272.42</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4"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二、政府性基金预算财政拨款</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二、外交支出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三、国防支出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四、公共安全支出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五、教育支出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6</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六、科学技术支出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7</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七、文化旅游体育与传媒支出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八、社会保障和就业支出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152.69</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152.69</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9</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九、卫生健康支出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108.47</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108.47</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十、节能环保支出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292.73</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292.73</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11</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十一、城乡社区支出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1,000.00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1,000.00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十二、农林水支出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13,903.65</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13,903.65</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13</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十三、交通运输支出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14</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十四、资源勘探信息等支出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十五、商业服务业等支出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16</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十六、金融支出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17</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十七、援助其他地区支出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十八、自然资源海洋气象等支出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19</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十九、住房保障支出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87.41</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87.41</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20</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二十、粮油物资储备支出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49</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4"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21</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二十一、灾害防治及应急管理支出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50</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22</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二十二、其他支出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51</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23</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二十四、债务付息支出</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52</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本年收入合计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24</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11,834.10</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本年支出合计</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53</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15,817.37</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15,817.37</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年初财政拨款结转和结余</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25</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12,129.19</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年末财政拨款结转和结余</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54</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8,145.92</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8,105.92</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一、一般公共预算财政拨款</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26</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12,129.19</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55</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4"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二、政府性基金预算财政拨款</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56</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28</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57</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24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总计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29</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23,963.29</w:t>
            </w:r>
          </w:p>
        </w:tc>
        <w:tc>
          <w:tcPr>
            <w:tcW w:w="23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总计</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58</w:t>
            </w:r>
          </w:p>
        </w:tc>
        <w:tc>
          <w:tcPr>
            <w:tcW w:w="9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23,963.29</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23,923.29</w:t>
            </w:r>
          </w:p>
        </w:tc>
        <w:tc>
          <w:tcPr>
            <w:tcW w:w="107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 w:hRule="atLeast"/>
        </w:trPr>
        <w:tc>
          <w:tcPr>
            <w:tcW w:w="9957"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注：本表反映单位本年度一般公共预算财政拨款和政府性基金预算财政拨款的总收支和年末结转结余情况。</w:t>
            </w:r>
          </w:p>
        </w:tc>
      </w:tr>
    </w:tbl>
    <w:p/>
    <w:tbl>
      <w:tblPr>
        <w:tblStyle w:val="7"/>
        <w:tblW w:w="99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9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9990" w:type="dxa"/>
            <w:tcBorders>
              <w:top w:val="nil"/>
              <w:left w:val="nil"/>
              <w:bottom w:val="nil"/>
              <w:right w:val="nil"/>
            </w:tcBorders>
            <w:tcMar>
              <w:top w:w="15" w:type="dxa"/>
              <w:left w:w="15" w:type="dxa"/>
              <w:right w:w="15" w:type="dxa"/>
            </w:tcMar>
            <w:vAlign w:val="center"/>
          </w:tcPr>
          <w:tbl>
            <w:tblPr>
              <w:tblStyle w:val="7"/>
              <w:tblW w:w="96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62"/>
              <w:gridCol w:w="265"/>
              <w:gridCol w:w="240"/>
              <w:gridCol w:w="3866"/>
              <w:gridCol w:w="1192"/>
              <w:gridCol w:w="1655"/>
              <w:gridCol w:w="16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7" w:hRule="atLeast"/>
                <w:jc w:val="center"/>
              </w:trPr>
              <w:tc>
                <w:tcPr>
                  <w:tcW w:w="9660" w:type="dxa"/>
                  <w:gridSpan w:val="7"/>
                  <w:tcBorders>
                    <w:top w:val="nil"/>
                    <w:left w:val="nil"/>
                    <w:bottom w:val="nil"/>
                    <w:right w:val="nil"/>
                  </w:tcBorders>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黑体" w:hAnsi="宋体" w:eastAsia="黑体" w:cs="黑体"/>
                      <w:color w:val="000000"/>
                      <w:kern w:val="0"/>
                      <w:sz w:val="32"/>
                      <w:szCs w:val="32"/>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jc w:val="center"/>
              </w:trPr>
              <w:tc>
                <w:tcPr>
                  <w:tcW w:w="762"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6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3866"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4527"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5" w:hRule="atLeast"/>
                <w:jc w:val="center"/>
              </w:trPr>
              <w:tc>
                <w:tcPr>
                  <w:tcW w:w="5133" w:type="dxa"/>
                  <w:gridSpan w:val="4"/>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rPr>
                    <w:t>单位：石家庄市鹿泉区农业农村局（本级）</w:t>
                  </w:r>
                </w:p>
              </w:tc>
              <w:tc>
                <w:tcPr>
                  <w:tcW w:w="4527"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5133"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4527"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267"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38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19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165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26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26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9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513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1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6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16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513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15,817.37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2,036.24</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13,781.13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一般公共服务支出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272.42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财政事务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2010602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党委办公厅（室）及相关机构事务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社会保障和就业支出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152.69</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行政事业单位离退休</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143.77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退役安置</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退役士兵安置</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卫生健康支出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行政事业单位医疗</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行政单位医疗</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108.47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节能环保支出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污染防治</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水体</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城乡社区公共设施</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2120399</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其他城乡社区公共设施支出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农林水支出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13,903.65</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1,444.17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12,459.48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农业</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12,541.09</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1,444.17</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11,096.92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1,439.85</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1,439.85</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2130104</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事业运行</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2130106</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科技转化与推广服务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926.54</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926.54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2130108</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病虫害控制</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176.07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2130109</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农产品质量安全</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11.89</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统计监测与信息服务</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农业结构调整补贴</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农业生产支持补贴</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2130124</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农业组织化与产业化经营</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184.75</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农产品加工与促销</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2130126</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农村公益事业</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6,527.77</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6,527.77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2130135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农业资源保护修复与利用</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2130199</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其他农业支出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1,593.11</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1,593.11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扶贫</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2130504</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r>
            <w:tr>
              <w:tblPrEx>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2130599</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其他扶贫支出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农村综合改革</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2130705</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对村民委员会和村党支部的补助</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2130706</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对村集体经济组织的补助</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住房保障支出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住房改革支出</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4" w:hRule="atLeast"/>
                <w:jc w:val="center"/>
              </w:trPr>
              <w:tc>
                <w:tcPr>
                  <w:tcW w:w="1267"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2210201</w:t>
                  </w:r>
                </w:p>
              </w:tc>
              <w:tc>
                <w:tcPr>
                  <w:tcW w:w="386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5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87.41</w:t>
                  </w:r>
                </w:p>
              </w:tc>
              <w:tc>
                <w:tcPr>
                  <w:tcW w:w="16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bl>
          <w:p>
            <w:pPr>
              <w:widowControl/>
              <w:jc w:val="center"/>
              <w:textAlignment w:val="center"/>
              <w:rPr>
                <w:rFonts w:ascii="黑体" w:hAnsi="宋体" w:eastAsia="黑体" w:cs="黑体"/>
                <w:color w:val="000000"/>
                <w:sz w:val="32"/>
                <w:szCs w:val="32"/>
              </w:rPr>
            </w:pPr>
          </w:p>
        </w:tc>
      </w:tr>
    </w:tbl>
    <w:p/>
    <w:p/>
    <w:p/>
    <w:p/>
    <w:p/>
    <w:p/>
    <w:p/>
    <w:p/>
    <w:p/>
    <w:p/>
    <w:p/>
    <w:p/>
    <w:p/>
    <w:p/>
    <w:tbl>
      <w:tblPr>
        <w:tblStyle w:val="7"/>
        <w:tblW w:w="109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9"/>
        <w:gridCol w:w="1310"/>
        <w:gridCol w:w="1070"/>
        <w:gridCol w:w="982"/>
        <w:gridCol w:w="1247"/>
        <w:gridCol w:w="1159"/>
        <w:gridCol w:w="1051"/>
        <w:gridCol w:w="2022"/>
        <w:gridCol w:w="903"/>
        <w:gridCol w:w="2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3" w:hRule="atLeast"/>
          <w:jc w:val="center"/>
        </w:trPr>
        <w:tc>
          <w:tcPr>
            <w:tcW w:w="10900" w:type="dxa"/>
            <w:gridSpan w:val="10"/>
            <w:tcBorders>
              <w:top w:val="nil"/>
              <w:left w:val="nil"/>
              <w:bottom w:val="nil"/>
              <w:right w:val="nil"/>
            </w:tcBorders>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黑体" w:hAnsi="宋体" w:eastAsia="黑体" w:cs="黑体"/>
                <w:color w:val="000000"/>
                <w:kern w:val="0"/>
                <w:sz w:val="32"/>
                <w:szCs w:val="32"/>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7" w:hRule="atLeast"/>
          <w:jc w:val="center"/>
        </w:trPr>
        <w:tc>
          <w:tcPr>
            <w:tcW w:w="899"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31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07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982"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247"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159"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051"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318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7" w:hRule="atLeast"/>
          <w:jc w:val="center"/>
        </w:trPr>
        <w:tc>
          <w:tcPr>
            <w:tcW w:w="4261" w:type="dxa"/>
            <w:gridSpan w:val="4"/>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rPr>
              <w:t>单位：石家庄市鹿泉区农业农村局（本级）</w:t>
            </w:r>
          </w:p>
        </w:tc>
        <w:tc>
          <w:tcPr>
            <w:tcW w:w="1247"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159"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1051"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18"/>
                <w:szCs w:val="18"/>
                <w:u w:val="none"/>
              </w:rPr>
            </w:pPr>
          </w:p>
        </w:tc>
        <w:tc>
          <w:tcPr>
            <w:tcW w:w="318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3279"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人员经费</w:t>
            </w:r>
          </w:p>
        </w:tc>
        <w:tc>
          <w:tcPr>
            <w:tcW w:w="7621" w:type="dxa"/>
            <w:gridSpan w:val="7"/>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9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科目编码</w:t>
            </w:r>
          </w:p>
        </w:tc>
        <w:tc>
          <w:tcPr>
            <w:tcW w:w="13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科目名称</w:t>
            </w:r>
          </w:p>
        </w:tc>
        <w:tc>
          <w:tcPr>
            <w:tcW w:w="10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决算数</w:t>
            </w:r>
          </w:p>
        </w:tc>
        <w:tc>
          <w:tcPr>
            <w:tcW w:w="98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科目编码</w:t>
            </w:r>
          </w:p>
        </w:tc>
        <w:tc>
          <w:tcPr>
            <w:tcW w:w="124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科目名称</w:t>
            </w:r>
          </w:p>
        </w:tc>
        <w:tc>
          <w:tcPr>
            <w:tcW w:w="115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决算数</w:t>
            </w:r>
          </w:p>
        </w:tc>
        <w:tc>
          <w:tcPr>
            <w:tcW w:w="105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科目编码</w:t>
            </w:r>
          </w:p>
        </w:tc>
        <w:tc>
          <w:tcPr>
            <w:tcW w:w="202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科目名称</w:t>
            </w:r>
          </w:p>
        </w:tc>
        <w:tc>
          <w:tcPr>
            <w:tcW w:w="1160"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9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8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2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0"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工资福利支出</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1,689.50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商品和服务支出</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301.77</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307</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债务利息及费用支出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30101</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基本工资</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452.74</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30201</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办公费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13.04</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30701</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国内债务付息</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30102</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津贴补贴</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170.03</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30202</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印刷费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6.30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30702</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国外债务付息</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30103</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奖金</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468.96</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30203</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咨询费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资本性支出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30106</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伙食补助费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30204</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手续费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31001</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房屋建筑物购建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30107</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绩效工资</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240.27</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30205</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水费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2.38</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31002</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办公设备购置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6"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30108</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机关事业单位基本养老保险缴费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161.61</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30206</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电费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9.98</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31003</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专用设备购置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30109</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职业年金缴费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30207</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邮电费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56.81</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31005</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基础设施建设</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30110</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职工基本医疗保险缴费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108.47</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30208</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取暖费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10.63</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31006</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大型修缮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30111</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公务员医疗补助缴费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30209</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物业管理费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31007</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信息网络及软件购置更新</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30112</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其他社会保障缴费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30211</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差旅费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4.07</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31008</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物资储备</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30113</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住房公积金</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87.41</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30212</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因公出国（境）费用</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31009</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土地补偿</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30114</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医疗费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30213</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维修（护）费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3.52</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31010</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安置补助</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30199</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其他工资福利支出</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30214</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租赁费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31011</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地上附着物和青苗补偿</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对个人和家庭的补助</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41.41</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30215</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会议费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31012</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拆迁补偿</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30301</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离休费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36.63</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30216</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培训费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31013</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公务用车购置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30302</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退休费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公务接待费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31019</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其他交通工具购置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30303</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退职（役）费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30218</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专用材料费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31021</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文物和陈列品购置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30304</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抚恤金</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1.32</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30224</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被装购置费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31022</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无形资产购置</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30305</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生活补助</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3.16</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30225</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专用燃料费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31099</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其他资本性支出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30306</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救济费</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30226</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劳务费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145.97</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399</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其他支出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30307</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医疗费补助</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30227</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委托业务费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39906</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赠与</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30308</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助学金</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30228</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工会经费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0.76</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39907</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国家赔偿费用支出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6"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30309</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奖励金</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0.30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30229</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福利费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7.49</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39908</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对民间非营利组织和群众性自治组织补贴</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30310</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个人农业生产补贴</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30231</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公务用车运行维护费</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12.87</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39999</w:t>
            </w: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其他支出</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30399</w:t>
            </w: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其他对个人和家庭的补助</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30239</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其他交通费用</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20.33</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30240</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税金及附加费用</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0" w:hRule="atLeast"/>
          <w:jc w:val="center"/>
        </w:trPr>
        <w:tc>
          <w:tcPr>
            <w:tcW w:w="8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c>
          <w:tcPr>
            <w:tcW w:w="98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30299</w:t>
            </w:r>
          </w:p>
        </w:tc>
        <w:tc>
          <w:tcPr>
            <w:tcW w:w="12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 xml:space="preserve">  其他商品和服务支出</w:t>
            </w:r>
          </w:p>
        </w:tc>
        <w:tc>
          <w:tcPr>
            <w:tcW w:w="11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6.14</w:t>
            </w:r>
          </w:p>
        </w:tc>
        <w:tc>
          <w:tcPr>
            <w:tcW w:w="1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20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4" w:hRule="atLeast"/>
          <w:jc w:val="center"/>
        </w:trPr>
        <w:tc>
          <w:tcPr>
            <w:tcW w:w="2209"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人员经费合计</w:t>
            </w:r>
          </w:p>
        </w:tc>
        <w:tc>
          <w:tcPr>
            <w:tcW w:w="10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1,730.91</w:t>
            </w:r>
          </w:p>
        </w:tc>
        <w:tc>
          <w:tcPr>
            <w:tcW w:w="6461"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公用经费合计</w:t>
            </w:r>
          </w:p>
        </w:tc>
        <w:tc>
          <w:tcPr>
            <w:tcW w:w="11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305.33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257" w:type="dxa"/>
          <w:trHeight w:val="470" w:hRule="atLeast"/>
          <w:jc w:val="center"/>
        </w:trPr>
        <w:tc>
          <w:tcPr>
            <w:tcW w:w="10643"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p>
        </w:tc>
      </w:tr>
    </w:tbl>
    <w:p/>
    <w:p/>
    <w:p/>
    <w:p/>
    <w:p/>
    <w:p/>
    <w:p/>
    <w:p/>
    <w:p/>
    <w:p/>
    <w:p/>
    <w:p/>
    <w:p/>
    <w:tbl>
      <w:tblPr>
        <w:tblStyle w:val="7"/>
        <w:tblW w:w="100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700"/>
        <w:gridCol w:w="1365"/>
        <w:gridCol w:w="645"/>
        <w:gridCol w:w="660"/>
        <w:gridCol w:w="780"/>
        <w:gridCol w:w="525"/>
        <w:gridCol w:w="675"/>
        <w:gridCol w:w="570"/>
        <w:gridCol w:w="720"/>
        <w:gridCol w:w="600"/>
        <w:gridCol w:w="1080"/>
        <w:gridCol w:w="7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8" w:hRule="atLeast"/>
          <w:jc w:val="center"/>
        </w:trPr>
        <w:tc>
          <w:tcPr>
            <w:tcW w:w="10060" w:type="dxa"/>
            <w:gridSpan w:val="12"/>
            <w:tcBorders>
              <w:top w:val="nil"/>
              <w:left w:val="nil"/>
              <w:bottom w:val="nil"/>
              <w:right w:val="nil"/>
            </w:tcBorders>
            <w:tcMar>
              <w:top w:w="15" w:type="dxa"/>
              <w:left w:w="15" w:type="dxa"/>
              <w:right w:w="15" w:type="dxa"/>
            </w:tcMar>
            <w:vAlign w:val="center"/>
          </w:tcPr>
          <w:p>
            <w:pPr>
              <w:widowControl/>
              <w:jc w:val="center"/>
              <w:textAlignment w:val="bottom"/>
              <w:rPr>
                <w:rFonts w:hint="eastAsia" w:ascii="宋体" w:hAnsi="宋体" w:eastAsia="宋体" w:cs="宋体"/>
                <w:i w:val="0"/>
                <w:color w:val="000000"/>
                <w:sz w:val="44"/>
                <w:szCs w:val="44"/>
                <w:u w:val="none"/>
              </w:rPr>
            </w:pPr>
            <w:r>
              <w:rPr>
                <w:rFonts w:hint="eastAsia" w:ascii="黑体" w:hAnsi="黑体" w:eastAsia="黑体" w:cs="黑体"/>
                <w:i w:val="0"/>
                <w:color w:val="000000"/>
                <w:kern w:val="0"/>
                <w:sz w:val="44"/>
                <w:szCs w:val="44"/>
                <w:u w:val="none"/>
                <w:lang w:val="en-US" w:eastAsia="zh-CN"/>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jc w:val="center"/>
        </w:trPr>
        <w:tc>
          <w:tcPr>
            <w:tcW w:w="1700" w:type="dxa"/>
            <w:tcBorders>
              <w:top w:val="nil"/>
              <w:left w:val="nil"/>
              <w:bottom w:val="nil"/>
              <w:right w:val="nil"/>
            </w:tcBorders>
            <w:tcMar>
              <w:top w:w="15" w:type="dxa"/>
              <w:left w:w="15" w:type="dxa"/>
              <w:right w:w="15" w:type="dxa"/>
            </w:tcMar>
            <w:vAlign w:val="bottom"/>
          </w:tcPr>
          <w:p>
            <w:pPr>
              <w:rPr>
                <w:rFonts w:hint="eastAsia" w:ascii="Arial" w:hAnsi="Arial" w:cs="Arial"/>
                <w:i w:val="0"/>
                <w:color w:val="000000"/>
                <w:sz w:val="20"/>
                <w:szCs w:val="20"/>
                <w:u w:val="none"/>
              </w:rPr>
            </w:pPr>
          </w:p>
        </w:tc>
        <w:tc>
          <w:tcPr>
            <w:tcW w:w="136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4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6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52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57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0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8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2" w:hRule="atLeast"/>
          <w:jc w:val="center"/>
        </w:trPr>
        <w:tc>
          <w:tcPr>
            <w:tcW w:w="3710" w:type="dxa"/>
            <w:gridSpan w:val="3"/>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rPr>
              <w:t>单位：石家庄市鹿泉区农业农村局（本级）</w:t>
            </w:r>
          </w:p>
        </w:tc>
        <w:tc>
          <w:tcPr>
            <w:tcW w:w="66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52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57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60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8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2" w:hRule="atLeast"/>
          <w:jc w:val="center"/>
        </w:trPr>
        <w:tc>
          <w:tcPr>
            <w:tcW w:w="567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预算数</w:t>
            </w:r>
          </w:p>
        </w:tc>
        <w:tc>
          <w:tcPr>
            <w:tcW w:w="4385"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9" w:hRule="atLeast"/>
          <w:jc w:val="center"/>
        </w:trPr>
        <w:tc>
          <w:tcPr>
            <w:tcW w:w="170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3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因公出国（境）费</w:t>
            </w:r>
          </w:p>
        </w:tc>
        <w:tc>
          <w:tcPr>
            <w:tcW w:w="208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公务用车购置及运行费</w:t>
            </w:r>
          </w:p>
        </w:tc>
        <w:tc>
          <w:tcPr>
            <w:tcW w:w="5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公务接待费</w:t>
            </w:r>
          </w:p>
        </w:tc>
        <w:tc>
          <w:tcPr>
            <w:tcW w:w="6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因公出国（境）费</w:t>
            </w:r>
          </w:p>
        </w:tc>
        <w:tc>
          <w:tcPr>
            <w:tcW w:w="240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公务用车购置及运行费</w:t>
            </w:r>
          </w:p>
        </w:tc>
        <w:tc>
          <w:tcPr>
            <w:tcW w:w="7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75" w:hRule="atLeast"/>
          <w:jc w:val="center"/>
        </w:trPr>
        <w:tc>
          <w:tcPr>
            <w:tcW w:w="170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6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公务用车购置费</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公务用车运行费</w:t>
            </w:r>
          </w:p>
        </w:tc>
        <w:tc>
          <w:tcPr>
            <w:tcW w:w="5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公务用车购置费</w:t>
            </w:r>
          </w:p>
        </w:tc>
        <w:tc>
          <w:tcPr>
            <w:tcW w:w="10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公务用车运行费</w:t>
            </w:r>
          </w:p>
        </w:tc>
        <w:tc>
          <w:tcPr>
            <w:tcW w:w="7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2" w:hRule="atLeast"/>
          <w:jc w:val="center"/>
        </w:trPr>
        <w:tc>
          <w:tcPr>
            <w:tcW w:w="170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3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6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5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c>
          <w:tcPr>
            <w:tcW w:w="6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w:t>
            </w: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w:t>
            </w:r>
          </w:p>
        </w:tc>
        <w:tc>
          <w:tcPr>
            <w:tcW w:w="10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w:t>
            </w:r>
          </w:p>
        </w:tc>
        <w:tc>
          <w:tcPr>
            <w:tcW w:w="7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9" w:hRule="atLeast"/>
          <w:jc w:val="center"/>
        </w:trPr>
        <w:tc>
          <w:tcPr>
            <w:tcW w:w="1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20.40</w:t>
            </w:r>
          </w:p>
        </w:tc>
        <w:tc>
          <w:tcPr>
            <w:tcW w:w="136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4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24.30</w:t>
            </w: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 xml:space="preserve"> 18.90</w:t>
            </w:r>
          </w:p>
        </w:tc>
        <w:tc>
          <w:tcPr>
            <w:tcW w:w="52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12.87</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12.87</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08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12.87</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bl>
    <w:p>
      <w:r>
        <w:rPr>
          <w:rFonts w:hint="eastAsia" w:ascii="宋体" w:hAnsi="宋体" w:eastAsia="宋体" w:cs="宋体"/>
        </w:rPr>
        <w:t>注：本表反映</w:t>
      </w:r>
      <w:r>
        <w:rPr>
          <w:rFonts w:hint="eastAsia" w:ascii="宋体" w:hAnsi="宋体" w:eastAsia="宋体" w:cs="宋体"/>
          <w:lang w:eastAsia="zh-CN"/>
        </w:rPr>
        <w:t>单位</w:t>
      </w:r>
      <w:r>
        <w:rPr>
          <w:rFonts w:hint="eastAsia" w:ascii="宋体" w:hAnsi="宋体" w:eastAsia="宋体" w:cs="宋体"/>
        </w:rPr>
        <w:t>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8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33"/>
        <w:gridCol w:w="378"/>
        <w:gridCol w:w="4279"/>
        <w:gridCol w:w="1485"/>
        <w:gridCol w:w="810"/>
        <w:gridCol w:w="720"/>
        <w:gridCol w:w="600"/>
        <w:gridCol w:w="558"/>
        <w:gridCol w:w="6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9" w:hRule="atLeast"/>
          <w:jc w:val="center"/>
        </w:trPr>
        <w:tc>
          <w:tcPr>
            <w:tcW w:w="9880" w:type="dxa"/>
            <w:gridSpan w:val="9"/>
            <w:tcBorders>
              <w:top w:val="nil"/>
              <w:left w:val="nil"/>
              <w:bottom w:val="nil"/>
              <w:right w:val="nil"/>
            </w:tcBorders>
            <w:tcMar>
              <w:top w:w="15" w:type="dxa"/>
              <w:left w:w="15" w:type="dxa"/>
              <w:right w:w="15" w:type="dxa"/>
            </w:tcMar>
            <w:vAlign w:val="bottom"/>
          </w:tcPr>
          <w:p>
            <w:pPr>
              <w:widowControl/>
              <w:jc w:val="center"/>
              <w:textAlignment w:val="bottom"/>
              <w:rPr>
                <w:rFonts w:hint="eastAsia" w:ascii="宋体" w:hAnsi="宋体" w:eastAsia="宋体" w:cs="宋体"/>
                <w:i w:val="0"/>
                <w:color w:val="000000"/>
                <w:sz w:val="30"/>
                <w:szCs w:val="30"/>
                <w:u w:val="none"/>
              </w:rPr>
            </w:pPr>
            <w:r>
              <w:rPr>
                <w:rFonts w:hint="eastAsia" w:ascii="黑体" w:hAnsi="黑体" w:eastAsia="黑体" w:cs="黑体"/>
                <w:i w:val="0"/>
                <w:color w:val="000000"/>
                <w:kern w:val="0"/>
                <w:sz w:val="32"/>
                <w:szCs w:val="32"/>
                <w:u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jc w:val="center"/>
        </w:trPr>
        <w:tc>
          <w:tcPr>
            <w:tcW w:w="433" w:type="dxa"/>
            <w:tcBorders>
              <w:top w:val="nil"/>
              <w:left w:val="nil"/>
              <w:bottom w:val="nil"/>
              <w:right w:val="nil"/>
            </w:tcBorders>
            <w:tcMar>
              <w:top w:w="15" w:type="dxa"/>
              <w:left w:w="15" w:type="dxa"/>
              <w:right w:w="15" w:type="dxa"/>
            </w:tcMar>
            <w:vAlign w:val="bottom"/>
          </w:tcPr>
          <w:p>
            <w:pPr>
              <w:rPr>
                <w:rFonts w:hint="eastAsia" w:ascii="Arial" w:hAnsi="Arial" w:cs="Arial"/>
                <w:i w:val="0"/>
                <w:color w:val="000000"/>
                <w:sz w:val="20"/>
                <w:szCs w:val="20"/>
                <w:u w:val="none"/>
              </w:rPr>
            </w:pPr>
          </w:p>
        </w:tc>
        <w:tc>
          <w:tcPr>
            <w:tcW w:w="378"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4279"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48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81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1775"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jc w:val="center"/>
        </w:trPr>
        <w:tc>
          <w:tcPr>
            <w:tcW w:w="5090" w:type="dxa"/>
            <w:gridSpan w:val="3"/>
            <w:tcBorders>
              <w:top w:val="nil"/>
              <w:left w:val="nil"/>
              <w:bottom w:val="nil"/>
              <w:right w:val="nil"/>
            </w:tcBorders>
            <w:tcMar>
              <w:top w:w="15" w:type="dxa"/>
              <w:left w:w="15" w:type="dxa"/>
              <w:right w:w="15" w:type="dxa"/>
            </w:tcMar>
            <w:vAlign w:val="center"/>
          </w:tcPr>
          <w:p>
            <w:pPr>
              <w:jc w:val="left"/>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rPr>
              <w:t>单位：石家庄市鹿泉区农业农村局（本级）</w:t>
            </w:r>
          </w:p>
        </w:tc>
        <w:tc>
          <w:tcPr>
            <w:tcW w:w="1485"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810" w:type="dxa"/>
            <w:tcBorders>
              <w:top w:val="nil"/>
              <w:left w:val="nil"/>
              <w:bottom w:val="nil"/>
              <w:right w:val="nil"/>
            </w:tcBorders>
            <w:tcMar>
              <w:top w:w="15" w:type="dxa"/>
              <w:left w:w="15" w:type="dxa"/>
              <w:right w:w="15" w:type="dxa"/>
            </w:tcMar>
            <w:vAlign w:val="bottom"/>
          </w:tcPr>
          <w:p>
            <w:pPr>
              <w:rPr>
                <w:rFonts w:hint="default" w:ascii="Arial" w:hAnsi="Arial" w:cs="Arial"/>
                <w:i w:val="0"/>
                <w:color w:val="000000"/>
                <w:sz w:val="20"/>
                <w:szCs w:val="20"/>
                <w:u w:val="none"/>
              </w:rPr>
            </w:pPr>
          </w:p>
        </w:tc>
        <w:tc>
          <w:tcPr>
            <w:tcW w:w="2495" w:type="dxa"/>
            <w:gridSpan w:val="4"/>
            <w:tcBorders>
              <w:top w:val="nil"/>
              <w:left w:val="nil"/>
              <w:bottom w:val="nil"/>
              <w:right w:val="nil"/>
            </w:tcBorders>
            <w:tcMar>
              <w:top w:w="15" w:type="dxa"/>
              <w:left w:w="15" w:type="dxa"/>
              <w:right w:w="15" w:type="dxa"/>
            </w:tcMar>
            <w:vAlign w:val="bottom"/>
          </w:tcPr>
          <w:p>
            <w:pPr>
              <w:widowControl/>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1" w:hRule="atLeast"/>
          <w:jc w:val="center"/>
        </w:trPr>
        <w:tc>
          <w:tcPr>
            <w:tcW w:w="5090"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14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年初结转和结余</w:t>
            </w:r>
          </w:p>
        </w:tc>
        <w:tc>
          <w:tcPr>
            <w:tcW w:w="81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本年收入</w:t>
            </w:r>
          </w:p>
        </w:tc>
        <w:tc>
          <w:tcPr>
            <w:tcW w:w="1878"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w:t>
            </w:r>
          </w:p>
        </w:tc>
        <w:tc>
          <w:tcPr>
            <w:tcW w:w="61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11" w:type="dxa"/>
            <w:gridSpan w:val="2"/>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427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4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6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55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c>
          <w:tcPr>
            <w:tcW w:w="61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11" w:type="dxa"/>
            <w:gridSpan w:val="2"/>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27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1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4" w:hRule="atLeast"/>
          <w:jc w:val="center"/>
        </w:trPr>
        <w:tc>
          <w:tcPr>
            <w:tcW w:w="811" w:type="dxa"/>
            <w:gridSpan w:val="2"/>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27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1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1" w:hRule="atLeast"/>
          <w:jc w:val="center"/>
        </w:trPr>
        <w:tc>
          <w:tcPr>
            <w:tcW w:w="5090"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4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8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5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61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5090"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4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40.00</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5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6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81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427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4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81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w:t>
            </w:r>
          </w:p>
        </w:tc>
        <w:tc>
          <w:tcPr>
            <w:tcW w:w="427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国有土地使用权出让收入及对应专项债务收入安排的支出</w:t>
            </w:r>
          </w:p>
        </w:tc>
        <w:tc>
          <w:tcPr>
            <w:tcW w:w="14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8" w:hRule="atLeast"/>
          <w:jc w:val="center"/>
        </w:trPr>
        <w:tc>
          <w:tcPr>
            <w:tcW w:w="81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2120804</w:t>
            </w:r>
          </w:p>
        </w:tc>
        <w:tc>
          <w:tcPr>
            <w:tcW w:w="4279"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农村基础设施建设支出</w:t>
            </w:r>
          </w:p>
        </w:tc>
        <w:tc>
          <w:tcPr>
            <w:tcW w:w="1485"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58"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17"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bl>
    <w:p>
      <w:pPr>
        <w:rPr>
          <w:rFonts w:hint="eastAsia" w:eastAsia="等线"/>
          <w:lang w:val="en-US" w:eastAsia="zh-CN"/>
        </w:rPr>
      </w:pPr>
      <w:r>
        <w:br w:type="page"/>
      </w:r>
      <w:r>
        <w:rPr>
          <w:rFonts w:hint="eastAsia"/>
          <w:lang w:val="en-US" w:eastAsia="zh-CN"/>
        </w:rPr>
        <w:t>0</w:t>
      </w:r>
    </w:p>
    <w:tbl>
      <w:tblPr>
        <w:tblStyle w:val="7"/>
        <w:tblW w:w="99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88"/>
        <w:gridCol w:w="74"/>
        <w:gridCol w:w="74"/>
        <w:gridCol w:w="3798"/>
        <w:gridCol w:w="961"/>
        <w:gridCol w:w="1860"/>
        <w:gridCol w:w="1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eastAsia="zh-CN"/>
              </w:rPr>
              <w:t>单位</w:t>
            </w:r>
            <w:r>
              <w:rPr>
                <w:rFonts w:hint="eastAsia" w:ascii="宋体" w:hAnsi="宋体" w:eastAsia="宋体" w:cs="宋体"/>
                <w:color w:val="000000"/>
                <w:kern w:val="0"/>
                <w:sz w:val="20"/>
                <w:szCs w:val="20"/>
              </w:rPr>
              <w:t>：</w:t>
            </w: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hint="eastAsia" w:ascii="宋体" w:hAnsi="宋体" w:eastAsia="宋体" w:cs="宋体"/>
                <w:color w:val="000000"/>
                <w:sz w:val="22"/>
                <w:lang w:eastAsia="zh-CN"/>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本单位本年度无相关支出情况，按要求空表列示。</w:t>
      </w:r>
      <w:r>
        <w:br w:type="page"/>
      </w:r>
    </w:p>
    <w:p>
      <w:r>
        <w:rPr>
          <w:rFonts w:ascii="等线" w:hAnsi="等线" w:eastAsia="等线" w:cs="黑体"/>
          <w:kern w:val="2"/>
          <w:sz w:val="21"/>
          <w:szCs w:val="22"/>
          <w:lang w:val="en-US" w:eastAsia="zh-CN" w:bidi="ar-SA"/>
        </w:rPr>
        <w:pict>
          <v:rect id="矩形 40" o:spid="_x0000_s1101" o:spt="1" style="position:absolute;left:0pt;margin-left:-70.5pt;margin-top:-85.25pt;height:841.15pt;width:595.1pt;z-index:251670528;mso-width-relative:page;mso-height-relative:page;" fillcolor="#FFC000" filled="t" o:preferrelative="t" stroked="f" coordsize="21600,21600">
            <v:path/>
            <v:fill on="t" focussize="0,0"/>
            <v:stroke on="f"/>
            <v:imagedata gain="65536f" blacklevel="0f" gamma="0" o:title=""/>
            <o:lock v:ext="edit" position="f" selection="f" grouping="f" rotation="f" cropping="f" text="f" aspectratio="f"/>
          </v:rect>
        </w:pict>
      </w:r>
    </w:p>
    <w:sectPr>
      <w:headerReference r:id="rId24" w:type="first"/>
      <w:headerReference r:id="rId23" w:type="default"/>
      <w:footerReference r:id="rId25"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Yu Gothic UI Semibold">
    <w:panose1 w:val="020B0700000000000000"/>
    <w:charset w:val="80"/>
    <w:family w:val="auto"/>
    <w:pitch w:val="default"/>
    <w:sig w:usb0="E00002FF" w:usb1="2AC7FDFF" w:usb2="00000016" w:usb3="00000000" w:csb0="2002009F" w:csb1="00000000"/>
  </w:font>
  <w:font w:name="思源黑体 HW Bold">
    <w:altName w:val="黑体"/>
    <w:panose1 w:val="00000000000000000000"/>
    <w:charset w:val="86"/>
    <w:family w:val="auto"/>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2" o:spid="_x0000_s2064" o:spt="1" style="position:absolute;left:0pt;margin-left:209.65pt;margin-top:-12.95pt;height:14.3pt;width:30.6pt;mso-position-horizontal-relative:margin;z-index:25166848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3" o:spid="_x0000_s2056" o:spt="1" style="position:absolute;left:0pt;margin-left:206.55pt;margin-top:-22.45pt;height:35.15pt;width:34pt;mso-position-horizontal-relative:margin;z-index:25166950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5" o:spid="_x0000_s2087" o:spt="1" style="position:absolute;left:0pt;margin-left:209.15pt;margin-top:-6pt;height:18.7pt;width:144pt;mso-position-horizontal-relative:margin;mso-wrap-style:none;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rect>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14" o:spid="_x0000_s2079" o:spt="1" style="position:absolute;left:0pt;margin-left:205.45pt;margin-top:-18.75pt;height:31.45pt;width:30.15pt;mso-position-horizontal-relative:margin;z-index:25167155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rect>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45" o:spid="_x0000_s2102" o:spt="1" style="position:absolute;left:0pt;margin-left:209.15pt;margin-top:-6pt;height:18.7pt;width:144pt;mso-position-horizontal-relative:margin;mso-wrap-style:none;z-index:25167462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76" o:spid="_x0000_s2049" o:spt="203" style="position:absolute;left:0pt;margin-top:29.75pt;height:32pt;width:157.5pt;mso-position-horizontal:left;mso-position-horizontal-relative:page;mso-position-vertical-relative:page;z-index:251659264;mso-width-relative:page;mso-height-relative:page;" coordorigin="1337,880" coordsize="3151,641">
          <o:lock v:ext="edit" position="f" selection="f" grouping="f" rotation="f" cropping="f" text="f" aspectratio="f"/>
          <v:rect id="文本框 6" o:spid="_x0000_s2050"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7" o:spid="_x0000_s2051"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79" o:spid="_x0000_s2052" o:spt="203" style="position:absolute;left:0pt;margin-top:-58.95pt;height:58.95pt;width:595.3pt;mso-position-horizontal:center;mso-position-horizontal-relative:page;mso-position-vertical-relative:page;z-index:251658240;mso-width-relative:page;mso-height-relative:page;" coordorigin="881,505" coordsize="11931,1179">
          <o:lock v:ext="edit" position="f" selection="f" grouping="f" rotation="f" cropping="f" text="f" aspectratio="f"/>
          <v:rect id="矩形 2" o:spid="_x0000_s2053"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54"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55"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89" o:spid="_x0000_s2072" o:spt="203" style="position:absolute;left:0pt;margin-top:29.75pt;height:32pt;width:157.5pt;mso-position-horizontal:left;mso-position-horizontal-relative:page;mso-position-vertical-relative:page;z-index:251665408;mso-width-relative:page;mso-height-relative:page;" coordorigin="1337,880" coordsize="3151,641">
          <o:lock v:ext="edit" position="f" selection="f" grouping="f" rotation="f" cropping="f" text="f" aspectratio="f"/>
          <v:rect id="文本框 6" o:spid="_x0000_s2073"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7" o:spid="_x0000_s2074"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92" o:spid="_x0000_s2075" o:spt="203" style="position:absolute;left:0pt;margin-top:43.1pt;height:58.95pt;width:595.3pt;mso-position-horizontal:center;mso-position-horizontal-relative:page;mso-position-vertical-relative:page;z-index:251664384;mso-width-relative:page;mso-height-relative:page;" coordorigin="881,505" coordsize="11931,1179">
          <o:lock v:ext="edit" position="f" selection="f" grouping="f" rotation="f" cropping="f" text="f" aspectratio="f"/>
          <v:rect id="矩形 2" o:spid="_x0000_s2076"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77"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78"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49" o:spid="_x0000_s2095" o:spt="203" style="position:absolute;left:0pt;margin-left:2.5pt;margin-top:28.75pt;height:35.25pt;width:594.8pt;mso-position-horizontal-relative:page;mso-position-vertical-relative:page;z-index:251675648;mso-width-relative:page;mso-height-relative:page;" coordorigin="878,302" coordsize="11897,705">
          <o:lock v:ext="edit" position="f" selection="f" grouping="f" rotation="f" cropping="f" text="f" aspectratio="f"/>
          <v:rect id="矩形 2" o:spid="_x0000_s2096" o:spt="1" style="position:absolute;left:878;top:920;height:87;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97" style="position:absolute;left:10148;top:410;height:516;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98" style="position:absolute;left:10437;top:302;height:663;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46" o:spid="_x0000_s2099" o:spt="203" style="position:absolute;left:0pt;margin-left:0pt;margin-top:29.75pt;height:32pt;width:280pt;mso-position-horizontal-relative:page;mso-position-vertical-relative:page;z-index:251676672;mso-width-relative:page;mso-height-relative:page;" coordorigin="2377,880" coordsize="5602,641">
          <o:lock v:ext="edit" position="f" selection="f" grouping="f" rotation="f" cropping="f" text="f" aspectratio="f"/>
          <v:rect id="文本框 6" o:spid="_x0000_s2100" o:spt="1" style="position:absolute;left:2491;top:880;height:641;width:5488;"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决算报表</w:t>
                  </w:r>
                </w:p>
                <w:p/>
              </w:txbxContent>
            </v:textbox>
          </v:rect>
          <v:rect id="矩形 7" o:spid="_x0000_s2101" o:spt="1" style="position:absolute;left:2377;top:1044;height:330;width:21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9" o:spid="_x0000_s2088" o:spt="203" style="position:absolute;left:0pt;margin-left:0.75pt;margin-top:24.2pt;height:38.05pt;width:595.3pt;mso-position-horizontal-relative:page;mso-position-vertical-relative:page;z-index:251672576;mso-width-relative:page;mso-height-relative:page;" coordorigin="881,326" coordsize="11931,761">
          <o:lock v:ext="edit" position="f" selection="f" grouping="f" rotation="f" cropping="f" text="f" aspectratio="f"/>
          <v:rect id="矩形 2" o:spid="_x0000_s2089" o:spt="1" style="position:absolute;left:881;top:993;height:94;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90" style="position:absolute;left:10177;top:443;height:556;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91" style="position:absolute;left:10467;top:326;height:715;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6" o:spid="_x0000_s2092" o:spt="203" style="position:absolute;left:0pt;margin-top:29.75pt;height:32pt;width:254.25pt;mso-position-horizontal:left;mso-position-horizontal-relative:page;mso-position-vertical-relative:page;z-index:251673600;mso-width-relative:page;mso-height-relative:page;" coordorigin="2158,880" coordsize="5087,641">
          <o:lock v:ext="edit" position="f" selection="f" grouping="f" rotation="f" cropping="f" text="f" aspectratio="f"/>
          <v:rect id="文本框 6" o:spid="_x0000_s2093" o:spt="1" style="position:absolute;left:2262;top:880;height:641;width:4983;"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w:t>
                  </w:r>
                  <w:r>
                    <w:rPr>
                      <w:rFonts w:hint="eastAsia" w:ascii="微软雅黑" w:hAnsi="微软雅黑" w:eastAsia="微软雅黑" w:cs="微软雅黑"/>
                      <w:b/>
                      <w:bCs/>
                      <w:sz w:val="28"/>
                      <w:szCs w:val="36"/>
                      <w:lang w:eastAsia="zh-CN"/>
                    </w:rPr>
                    <w:t>单位</w:t>
                  </w:r>
                  <w:r>
                    <w:rPr>
                      <w:rFonts w:hint="eastAsia" w:ascii="微软雅黑" w:hAnsi="微软雅黑" w:eastAsia="微软雅黑" w:cs="微软雅黑"/>
                      <w:b/>
                      <w:bCs/>
                      <w:sz w:val="28"/>
                      <w:szCs w:val="36"/>
                    </w:rPr>
                    <w:t>决算报表</w:t>
                  </w:r>
                </w:p>
              </w:txbxContent>
            </v:textbox>
          </v:rect>
          <v:rect id="矩形 7" o:spid="_x0000_s2094" o:spt="1" style="position:absolute;left:2158;top:1044;height:330;width:19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240" o:spid="_x0000_s2057" o:spt="203" style="position:absolute;left:0pt;margin-left:0pt;margin-top:53.75pt;height:31.5pt;width:594.8pt;mso-position-horizontal-relative:page;mso-position-vertical-relative:page;z-index:251666432;mso-width-relative:page;mso-height-relative:page;" coordorigin="878,270" coordsize="11897,630">
          <o:lock v:ext="edit" position="f" selection="f" grouping="f" rotation="f" cropping="f" text="f" aspectratio="f"/>
          <v:rect id="矩形 2" o:spid="_x0000_s2058" o:spt="1" style="position:absolute;left:878;top:822;height:78;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59" style="position:absolute;left:10148;top:367;height:460;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60" style="position:absolute;left:10437;top:270;height:59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237" o:spid="_x0000_s2061" o:spt="203" style="position:absolute;left:0pt;margin-left:-2.15pt;margin-top:47.15pt;height:32pt;width:235.7pt;mso-position-horizontal-relative:page;mso-position-vertical-relative:page;z-index:251667456;mso-width-relative:page;mso-height-relative:page;" coordorigin="2001,880" coordsize="4715,641">
          <o:lock v:ext="edit" position="f" selection="f" grouping="f" rotation="f" cropping="f" text="f" aspectratio="f"/>
          <v:rect id="文本框 6" o:spid="_x0000_s2062"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第一部分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概况</w:t>
                  </w:r>
                </w:p>
              </w:txbxContent>
            </v:textbox>
          </v:rect>
          <v:rect id="矩形 7" o:spid="_x0000_s2063"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35" o:spid="_x0000_s2065" o:spt="203" style="position:absolute;left:0pt;margin-left:2.25pt;margin-top:45.75pt;height:32.05pt;width:239.85pt;mso-position-horizontal-relative:page;mso-position-vertical-relative:page;z-index:251661312;mso-width-relative:page;mso-height-relative:page;" coordorigin="2001,855" coordsize="4797,641">
          <o:lock v:ext="edit" position="f" selection="f" grouping="f" rotation="f" cropping="f" text="f" aspectratio="f"/>
          <v:rect id="文本框 6" o:spid="_x0000_s2066" o:spt="1" style="position:absolute;left:2179;top:855;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 xml:space="preserve">第二部分  </w:t>
                  </w:r>
                  <w:r>
                    <w:rPr>
                      <w:rFonts w:hint="eastAsia" w:ascii="微软雅黑" w:hAnsi="微软雅黑" w:eastAsia="微软雅黑" w:cs="微软雅黑"/>
                      <w:b/>
                      <w:bCs/>
                      <w:sz w:val="32"/>
                      <w:szCs w:val="40"/>
                      <w:lang w:eastAsia="zh-CN"/>
                    </w:rPr>
                    <w:t>单位</w:t>
                  </w:r>
                  <w:r>
                    <w:rPr>
                      <w:rFonts w:hint="eastAsia" w:ascii="微软雅黑" w:hAnsi="微软雅黑" w:eastAsia="微软雅黑" w:cs="微软雅黑"/>
                      <w:b/>
                      <w:bCs/>
                      <w:sz w:val="32"/>
                      <w:szCs w:val="40"/>
                    </w:rPr>
                    <w:t>决算情况说明</w:t>
                  </w:r>
                </w:p>
              </w:txbxContent>
            </v:textbox>
          </v:rect>
          <v:rect id="矩形 7" o:spid="_x0000_s2067"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38" o:spid="_x0000_s2068" o:spt="203" style="position:absolute;left:0pt;margin-left:2.75pt;margin-top:46.95pt;height:32.8pt;width:596.85pt;mso-position-horizontal-relative:page;mso-position-vertical-relative:page;z-index:251660288;mso-width-relative:page;mso-height-relative:page;" coordorigin="878,281" coordsize="11937,656">
          <o:lock v:ext="edit" position="f" selection="f" grouping="f" rotation="f" cropping="f" text="f" aspectratio="f"/>
          <v:rect id="矩形 2" o:spid="_x0000_s2069" o:spt="1" style="position:absolute;left:878;top:856;height:81;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70" style="position:absolute;left:10148;top:382;height:479;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71" style="position:absolute;left:10437;top:281;height:616;width:2378;"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83" o:spid="_x0000_s2080" o:spt="203" style="position:absolute;left:0pt;margin-left:0pt;margin-top:43.35pt;height:37.85pt;width:594.8pt;mso-position-horizontal-relative:page;mso-position-vertical-relative:page;z-index:251662336;mso-width-relative:page;mso-height-relative:page;" coordorigin="878,324" coordsize="11897,757">
          <o:lock v:ext="edit" position="f" selection="f" grouping="f" rotation="f" cropping="f" text="f" aspectratio="f"/>
          <v:rect id="矩形 2" o:spid="_x0000_s2081" o:spt="1" style="position:absolute;left:878;top:988;height:93;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82" style="position:absolute;left:10148;top:440;height:554;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83" style="position:absolute;left:10437;top:324;height:71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80" o:spid="_x0000_s2084" o:spt="203" style="position:absolute;left:0pt;margin-left:-2.15pt;margin-top:47.15pt;height:32pt;width:235.7pt;mso-position-horizontal-relative:page;mso-position-vertical-relative:page;z-index:251663360;mso-width-relative:page;mso-height-relative:page;" coordorigin="2001,880" coordsize="4715,641">
          <o:lock v:ext="edit" position="f" selection="f" grouping="f" rotation="f" cropping="f" text="f" aspectratio="f"/>
          <v:rect id="文本框 6" o:spid="_x0000_s2085"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7" o:spid="_x0000_s2086"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C1413D"/>
    <w:multiLevelType w:val="singleLevel"/>
    <w:tmpl w:val="78C1413D"/>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2E21DB"/>
    <w:rsid w:val="003A4EE8"/>
    <w:rsid w:val="00442CC2"/>
    <w:rsid w:val="00446244"/>
    <w:rsid w:val="00473C20"/>
    <w:rsid w:val="004D61CB"/>
    <w:rsid w:val="005011D6"/>
    <w:rsid w:val="00503F2E"/>
    <w:rsid w:val="00552226"/>
    <w:rsid w:val="00566120"/>
    <w:rsid w:val="00582E6D"/>
    <w:rsid w:val="005954D5"/>
    <w:rsid w:val="005A53FA"/>
    <w:rsid w:val="005D1293"/>
    <w:rsid w:val="005F1C1D"/>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42C03"/>
    <w:rsid w:val="00E82A1E"/>
    <w:rsid w:val="00EA05EC"/>
    <w:rsid w:val="00EC06F4"/>
    <w:rsid w:val="00EE4E36"/>
    <w:rsid w:val="00F665F4"/>
    <w:rsid w:val="00FD225F"/>
    <w:rsid w:val="01A916C8"/>
    <w:rsid w:val="04AD51B8"/>
    <w:rsid w:val="057603F9"/>
    <w:rsid w:val="05B00A30"/>
    <w:rsid w:val="05B6346C"/>
    <w:rsid w:val="060F5FE9"/>
    <w:rsid w:val="07C56A4F"/>
    <w:rsid w:val="07CD3E5B"/>
    <w:rsid w:val="07DB536F"/>
    <w:rsid w:val="08770A71"/>
    <w:rsid w:val="09157676"/>
    <w:rsid w:val="0AB86A22"/>
    <w:rsid w:val="0AC12598"/>
    <w:rsid w:val="0B011416"/>
    <w:rsid w:val="0B5A78B0"/>
    <w:rsid w:val="0BE0558A"/>
    <w:rsid w:val="0C5C70D2"/>
    <w:rsid w:val="0CA352C8"/>
    <w:rsid w:val="0CC572C9"/>
    <w:rsid w:val="0D9F4266"/>
    <w:rsid w:val="0E4C1E01"/>
    <w:rsid w:val="0EB25028"/>
    <w:rsid w:val="0F162B4E"/>
    <w:rsid w:val="0F8F1193"/>
    <w:rsid w:val="0FC84F65"/>
    <w:rsid w:val="0FF17F33"/>
    <w:rsid w:val="10111AED"/>
    <w:rsid w:val="10560F5C"/>
    <w:rsid w:val="10A87C81"/>
    <w:rsid w:val="114B4CEC"/>
    <w:rsid w:val="11771FE7"/>
    <w:rsid w:val="119B5D70"/>
    <w:rsid w:val="128E407F"/>
    <w:rsid w:val="13AA5AD0"/>
    <w:rsid w:val="14322531"/>
    <w:rsid w:val="16263C66"/>
    <w:rsid w:val="167A36F0"/>
    <w:rsid w:val="16DC468E"/>
    <w:rsid w:val="17026ACC"/>
    <w:rsid w:val="171347E8"/>
    <w:rsid w:val="174E114A"/>
    <w:rsid w:val="17A7505C"/>
    <w:rsid w:val="17AA5FE0"/>
    <w:rsid w:val="191A4F3D"/>
    <w:rsid w:val="1A3D3D9B"/>
    <w:rsid w:val="1A97792D"/>
    <w:rsid w:val="1A9853AE"/>
    <w:rsid w:val="1AD31D10"/>
    <w:rsid w:val="1ADC4B9E"/>
    <w:rsid w:val="1B1736FE"/>
    <w:rsid w:val="1DE01993"/>
    <w:rsid w:val="1E7E2B16"/>
    <w:rsid w:val="1EB64E6E"/>
    <w:rsid w:val="1F15650D"/>
    <w:rsid w:val="1F8232BD"/>
    <w:rsid w:val="1FD06C40"/>
    <w:rsid w:val="21AF5E51"/>
    <w:rsid w:val="222937BF"/>
    <w:rsid w:val="228700B2"/>
    <w:rsid w:val="22DD097C"/>
    <w:rsid w:val="239E0EFF"/>
    <w:rsid w:val="23FB5A15"/>
    <w:rsid w:val="24032E22"/>
    <w:rsid w:val="250D45D9"/>
    <w:rsid w:val="259F60C6"/>
    <w:rsid w:val="25DE6EB0"/>
    <w:rsid w:val="25E408A1"/>
    <w:rsid w:val="2622669F"/>
    <w:rsid w:val="269243D5"/>
    <w:rsid w:val="27BA76BA"/>
    <w:rsid w:val="27D36066"/>
    <w:rsid w:val="28657B53"/>
    <w:rsid w:val="286768D9"/>
    <w:rsid w:val="28B975DD"/>
    <w:rsid w:val="2A21112E"/>
    <w:rsid w:val="2A315B45"/>
    <w:rsid w:val="2AC8733D"/>
    <w:rsid w:val="2B226752"/>
    <w:rsid w:val="2BD36576"/>
    <w:rsid w:val="2C26057E"/>
    <w:rsid w:val="2CEA39E8"/>
    <w:rsid w:val="2D626C81"/>
    <w:rsid w:val="2DC669A6"/>
    <w:rsid w:val="2E637B29"/>
    <w:rsid w:val="310600FC"/>
    <w:rsid w:val="318F47DD"/>
    <w:rsid w:val="31C2036A"/>
    <w:rsid w:val="320360C1"/>
    <w:rsid w:val="320D02A5"/>
    <w:rsid w:val="330C4FCE"/>
    <w:rsid w:val="33B679E6"/>
    <w:rsid w:val="34467743"/>
    <w:rsid w:val="348E566F"/>
    <w:rsid w:val="349A34DB"/>
    <w:rsid w:val="354A1FFA"/>
    <w:rsid w:val="367904EE"/>
    <w:rsid w:val="36867804"/>
    <w:rsid w:val="370138CA"/>
    <w:rsid w:val="376C67FD"/>
    <w:rsid w:val="37BB657C"/>
    <w:rsid w:val="389152DA"/>
    <w:rsid w:val="398E1CFA"/>
    <w:rsid w:val="39EE3018"/>
    <w:rsid w:val="3A226944"/>
    <w:rsid w:val="3AEE6A48"/>
    <w:rsid w:val="3B541666"/>
    <w:rsid w:val="3B6405FB"/>
    <w:rsid w:val="3BE26F8F"/>
    <w:rsid w:val="3C13079F"/>
    <w:rsid w:val="3C1620AA"/>
    <w:rsid w:val="3D545010"/>
    <w:rsid w:val="3D577B32"/>
    <w:rsid w:val="3D8F080F"/>
    <w:rsid w:val="3D946ACC"/>
    <w:rsid w:val="3DF52EB3"/>
    <w:rsid w:val="3DFD1A76"/>
    <w:rsid w:val="3E906EF2"/>
    <w:rsid w:val="3E924225"/>
    <w:rsid w:val="3F4B1266"/>
    <w:rsid w:val="4007741B"/>
    <w:rsid w:val="40A37299"/>
    <w:rsid w:val="41464524"/>
    <w:rsid w:val="42814C8D"/>
    <w:rsid w:val="429B15D2"/>
    <w:rsid w:val="4302227B"/>
    <w:rsid w:val="431D412A"/>
    <w:rsid w:val="432A1241"/>
    <w:rsid w:val="43461A6B"/>
    <w:rsid w:val="43C03933"/>
    <w:rsid w:val="446908C9"/>
    <w:rsid w:val="44CE1FA4"/>
    <w:rsid w:val="45880D21"/>
    <w:rsid w:val="46E97663"/>
    <w:rsid w:val="47051512"/>
    <w:rsid w:val="48270370"/>
    <w:rsid w:val="483C7010"/>
    <w:rsid w:val="484E27AE"/>
    <w:rsid w:val="487F73ED"/>
    <w:rsid w:val="488A6D8F"/>
    <w:rsid w:val="493C2436"/>
    <w:rsid w:val="49BF718C"/>
    <w:rsid w:val="4A0F2023"/>
    <w:rsid w:val="4A347EAE"/>
    <w:rsid w:val="4AF45199"/>
    <w:rsid w:val="4B974814"/>
    <w:rsid w:val="4C8A729F"/>
    <w:rsid w:val="4DB60F8B"/>
    <w:rsid w:val="4DCB34AF"/>
    <w:rsid w:val="4DEC1465"/>
    <w:rsid w:val="4E494DA6"/>
    <w:rsid w:val="4FD10381"/>
    <w:rsid w:val="501A61F6"/>
    <w:rsid w:val="510B6E04"/>
    <w:rsid w:val="51656219"/>
    <w:rsid w:val="51881C50"/>
    <w:rsid w:val="51B30516"/>
    <w:rsid w:val="520B222A"/>
    <w:rsid w:val="52435C07"/>
    <w:rsid w:val="52600405"/>
    <w:rsid w:val="528C01F9"/>
    <w:rsid w:val="529B4319"/>
    <w:rsid w:val="52EC7319"/>
    <w:rsid w:val="54A775EF"/>
    <w:rsid w:val="553102EC"/>
    <w:rsid w:val="554064E9"/>
    <w:rsid w:val="558B6968"/>
    <w:rsid w:val="56F271B4"/>
    <w:rsid w:val="57773DD6"/>
    <w:rsid w:val="578B79AB"/>
    <w:rsid w:val="59B15A33"/>
    <w:rsid w:val="5ADD771F"/>
    <w:rsid w:val="5C695FAC"/>
    <w:rsid w:val="5C7F0150"/>
    <w:rsid w:val="5C7F48CC"/>
    <w:rsid w:val="5CCD3FD5"/>
    <w:rsid w:val="5D1560C5"/>
    <w:rsid w:val="5D724260"/>
    <w:rsid w:val="5E0E085B"/>
    <w:rsid w:val="5E58772A"/>
    <w:rsid w:val="5F1875E8"/>
    <w:rsid w:val="5F943351"/>
    <w:rsid w:val="5FA77F69"/>
    <w:rsid w:val="61F959B4"/>
    <w:rsid w:val="61FA5F9D"/>
    <w:rsid w:val="62D452B1"/>
    <w:rsid w:val="633F2762"/>
    <w:rsid w:val="63AA1E11"/>
    <w:rsid w:val="647414DA"/>
    <w:rsid w:val="64CD6910"/>
    <w:rsid w:val="65BB2AF6"/>
    <w:rsid w:val="66F65FAF"/>
    <w:rsid w:val="67421678"/>
    <w:rsid w:val="67826BDE"/>
    <w:rsid w:val="6789158D"/>
    <w:rsid w:val="679171F9"/>
    <w:rsid w:val="67D81BA4"/>
    <w:rsid w:val="67F260EB"/>
    <w:rsid w:val="69D306AC"/>
    <w:rsid w:val="6A6F052B"/>
    <w:rsid w:val="6AAF1C96"/>
    <w:rsid w:val="6AFB7215"/>
    <w:rsid w:val="6AFF2398"/>
    <w:rsid w:val="6B223851"/>
    <w:rsid w:val="6B8129AB"/>
    <w:rsid w:val="6BE93F8C"/>
    <w:rsid w:val="6BFB1336"/>
    <w:rsid w:val="6CD92F23"/>
    <w:rsid w:val="6D3113B3"/>
    <w:rsid w:val="6DA74875"/>
    <w:rsid w:val="6E2E7FD1"/>
    <w:rsid w:val="6E921804"/>
    <w:rsid w:val="6EED710A"/>
    <w:rsid w:val="70EC4652"/>
    <w:rsid w:val="71976CE9"/>
    <w:rsid w:val="72162E3A"/>
    <w:rsid w:val="72435AF1"/>
    <w:rsid w:val="724C2204"/>
    <w:rsid w:val="728F7281"/>
    <w:rsid w:val="74645F02"/>
    <w:rsid w:val="74B7598C"/>
    <w:rsid w:val="75681757"/>
    <w:rsid w:val="75A346A8"/>
    <w:rsid w:val="75FE5CA3"/>
    <w:rsid w:val="76E3721B"/>
    <w:rsid w:val="778744A6"/>
    <w:rsid w:val="785C5783"/>
    <w:rsid w:val="79276150"/>
    <w:rsid w:val="79395171"/>
    <w:rsid w:val="79B9382C"/>
    <w:rsid w:val="7B043B76"/>
    <w:rsid w:val="7BB72F86"/>
    <w:rsid w:val="7BE83755"/>
    <w:rsid w:val="7C041A6A"/>
    <w:rsid w:val="7CA80310"/>
    <w:rsid w:val="7E2F31DD"/>
    <w:rsid w:val="7E327570"/>
    <w:rsid w:val="7E8678A1"/>
    <w:rsid w:val="7E982815"/>
    <w:rsid w:val="7F99066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rFonts w:ascii="Calibri" w:hAnsi="Calibri" w:eastAsia="宋体" w:cs="黑体"/>
      <w:b/>
      <w:bCs/>
      <w:sz w:val="32"/>
      <w:szCs w:val="32"/>
    </w:rPr>
  </w:style>
  <w:style w:type="character" w:default="1" w:styleId="9">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1">
    <w:name w:val="页眉 Char"/>
    <w:basedOn w:val="9"/>
    <w:link w:val="6"/>
    <w:qFormat/>
    <w:uiPriority w:val="99"/>
    <w:rPr>
      <w:rFonts w:ascii="等线" w:hAnsi="等线" w:eastAsia="等线"/>
      <w:sz w:val="18"/>
      <w:szCs w:val="18"/>
    </w:rPr>
  </w:style>
  <w:style w:type="character" w:customStyle="1" w:styleId="12">
    <w:name w:val="页脚 Char"/>
    <w:basedOn w:val="9"/>
    <w:link w:val="5"/>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png"/><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50" textRotate="1"/>
    <customShpInfo spid="_x0000_s2051" textRotate="1"/>
    <customShpInfo spid="_x0000_s2049"/>
    <customShpInfo spid="_x0000_s2053" textRotate="1"/>
    <customShpInfo spid="_x0000_s2054" textRotate="1"/>
    <customShpInfo spid="_x0000_s2055" textRotate="1"/>
    <customShpInfo spid="_x0000_s2052"/>
    <customShpInfo spid="_x0000_s2058" textRotate="1"/>
    <customShpInfo spid="_x0000_s2059" textRotate="1"/>
    <customShpInfo spid="_x0000_s2060" textRotate="1"/>
    <customShpInfo spid="_x0000_s2057"/>
    <customShpInfo spid="_x0000_s2062" textRotate="1"/>
    <customShpInfo spid="_x0000_s2063" textRotate="1"/>
    <customShpInfo spid="_x0000_s2061"/>
    <customShpInfo spid="_x0000_s2064" textRotate="1"/>
    <customShpInfo spid="_x0000_s2056" textRotate="1"/>
    <customShpInfo spid="_x0000_s2066" textRotate="1"/>
    <customShpInfo spid="_x0000_s2067" textRotate="1"/>
    <customShpInfo spid="_x0000_s2065"/>
    <customShpInfo spid="_x0000_s2069" textRotate="1"/>
    <customShpInfo spid="_x0000_s2070" textRotate="1"/>
    <customShpInfo spid="_x0000_s2071" textRotate="1"/>
    <customShpInfo spid="_x0000_s2068"/>
    <customShpInfo spid="_x0000_s2081" textRotate="1"/>
    <customShpInfo spid="_x0000_s2082" textRotate="1"/>
    <customShpInfo spid="_x0000_s2083" textRotate="1"/>
    <customShpInfo spid="_x0000_s2080"/>
    <customShpInfo spid="_x0000_s2085" textRotate="1"/>
    <customShpInfo spid="_x0000_s2086" textRotate="1"/>
    <customShpInfo spid="_x0000_s2084"/>
    <customShpInfo spid="_x0000_s2073" textRotate="1"/>
    <customShpInfo spid="_x0000_s2074" textRotate="1"/>
    <customShpInfo spid="_x0000_s2072"/>
    <customShpInfo spid="_x0000_s2076" textRotate="1"/>
    <customShpInfo spid="_x0000_s2077" textRotate="1"/>
    <customShpInfo spid="_x0000_s2078" textRotate="1"/>
    <customShpInfo spid="_x0000_s2075"/>
    <customShpInfo spid="_x0000_s2087" textRotate="1"/>
    <customShpInfo spid="_x0000_s2079" textRotate="1"/>
    <customShpInfo spid="_x0000_s2096" textRotate="1"/>
    <customShpInfo spid="_x0000_s2097" textRotate="1"/>
    <customShpInfo spid="_x0000_s2098" textRotate="1"/>
    <customShpInfo spid="_x0000_s2095"/>
    <customShpInfo spid="_x0000_s2100" textRotate="1"/>
    <customShpInfo spid="_x0000_s2101" textRotate="1"/>
    <customShpInfo spid="_x0000_s2099"/>
    <customShpInfo spid="_x0000_s2089" textRotate="1"/>
    <customShpInfo spid="_x0000_s2090" textRotate="1"/>
    <customShpInfo spid="_x0000_s2091" textRotate="1"/>
    <customShpInfo spid="_x0000_s2088"/>
    <customShpInfo spid="_x0000_s2093" textRotate="1"/>
    <customShpInfo spid="_x0000_s2094" textRotate="1"/>
    <customShpInfo spid="_x0000_s2092"/>
    <customShpInfo spid="_x0000_s2102" textRotate="1"/>
    <customShpInfo spid="_x0000_s1080" textRotate="1"/>
    <customShpInfo spid="_x0000_s1081" textRotate="1"/>
    <customShpInfo spid="_x0000_s1082" textRotate="1"/>
    <customShpInfo spid="_x0000_s1083" textRotate="1"/>
    <customShpInfo spid="_x0000_s1085" textRotate="1"/>
    <customShpInfo spid="_x0000_s1086" textRotate="1"/>
    <customShpInfo spid="_x0000_s1084"/>
    <customShpInfo spid="_x0000_s1088" textRotate="1"/>
    <customShpInfo spid="_x0000_s1089" textRotate="1"/>
    <customShpInfo spid="_x0000_s1087"/>
    <customShpInfo spid="_x0000_s1090" textRotate="1"/>
    <customShpInfo spid="_x0000_s1091" textRotate="1"/>
    <customShpInfo spid="_x0000_s1092" textRotate="1"/>
    <customShpInfo spid="_x0000_s1093" textRotate="1"/>
    <customShpInfo spid="_x0000_s1094"/>
    <customShpInfo spid="_x0000_s1095"/>
    <customShpInfo spid="_x0000_s1096"/>
    <customShpInfo spid="_x0000_s1097"/>
    <customShpInfo spid="_x0000_s1098"/>
    <customShpInfo spid="_x0000_s1099" textRotate="1"/>
    <customShpInfo spid="_x0000_s1100" textRotate="1"/>
    <customShpInfo spid="_x0000_s1101"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2023-06-26T03:23:14Z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