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720" w:num="1"/>
          <w:titlePg/>
          <w:docGrid w:type="lines" w:linePitch="312" w:charSpace="0"/>
        </w:sectPr>
      </w:pPr>
      <w:r>
        <w:rPr>
          <w:rFonts w:ascii="等线" w:hAnsi="等线" w:eastAsia="等线" w:cs="黑体"/>
          <w:kern w:val="2"/>
          <w:sz w:val="21"/>
          <w:szCs w:val="22"/>
          <w:lang w:val="en-US" w:eastAsia="zh-CN" w:bidi="ar-SA"/>
        </w:rPr>
        <w:pict>
          <v:group id="组合 4" o:spid="_x0000_s1086" o:spt="203" style="position:absolute;left:0pt;margin-left:-3.25pt;margin-top:-20.25pt;height:308.5pt;width:600.25pt;z-index:-251658240;mso-width-relative:page;mso-height-relative:page;" coordorigin="13622,283" coordsize="12005,6170">
            <o:lock v:ext="edit" position="f" selection="f" grouping="f" rotation="f" cropping="f" text="f" aspectratio="f"/>
            <v:rect id="矩形 5" o:spid="_x0000_s1087" o:spt="1" style="position:absolute;left:13622;top:283;height:6170;width:12005;" fillcolor="#FDBC11" filled="t" o:preferrelative="t" stroked="f" coordsize="21600,21600">
              <v:path/>
              <v:fill on="t" focussize="0,0"/>
              <v:stroke on="f"/>
              <v:imagedata gain="65536f" blacklevel="0f" gamma="0" o:title=""/>
              <o:lock v:ext="edit" position="f" selection="f" grouping="f" rotation="f" cropping="f" text="f" aspectratio="f"/>
            </v:rect>
            <v:rect id="文本框 10" o:spid="_x0000_s1088" o:spt="1" style="position:absolute;left:17229;top:5021;height:1392;width:8083;"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w:r>
      <w:r>
        <w:rPr>
          <w:rFonts w:ascii="等线" w:hAnsi="等线" w:eastAsia="等线" w:cs="黑体"/>
          <w:kern w:val="2"/>
          <w:sz w:val="21"/>
          <w:szCs w:val="22"/>
          <w:lang w:val="en-US" w:eastAsia="zh-CN" w:bidi="ar-SA"/>
        </w:rPr>
        <w:pict>
          <v:rect id="文本框 10" o:spid="_x0000_s1089" o:spt="1" style="position:absolute;left:0pt;margin-left:106.25pt;margin-top:693.55pt;height:79.95pt;width:404.15pt;z-index:25166336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w:r>
      <w:r>
        <w:rPr>
          <w:rFonts w:ascii="等线" w:hAnsi="等线" w:eastAsia="等线" w:cs="黑体"/>
          <w:kern w:val="2"/>
          <w:sz w:val="21"/>
          <w:szCs w:val="22"/>
          <w:lang w:val="en-US" w:eastAsia="zh-CN" w:bidi="ar-SA"/>
        </w:rPr>
        <w:pict>
          <v:shape id="椭圆 8" o:spid="_x0000_s1090" o:spt="3" type="#_x0000_t3" style="position:absolute;left:0pt;margin-left:53.5pt;margin-top:232.45pt;height:121.95pt;width:121.95pt;z-index:251660288;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rect id="矩形 14" o:spid="_x0000_s1091" o:spt="1" style="position:absolute;left:0pt;margin-left:33.6pt;margin-top:256.75pt;height:69.6pt;width:160.65pt;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w:r>
      <w:r>
        <w:rPr>
          <w:rFonts w:ascii="等线" w:hAnsi="等线" w:eastAsia="等线" w:cs="黑体"/>
          <w:kern w:val="2"/>
          <w:sz w:val="21"/>
          <w:szCs w:val="22"/>
          <w:lang w:val="en-US" w:eastAsia="zh-CN" w:bidi="ar-SA"/>
        </w:rPr>
        <w:pict>
          <v:shape id="椭圆 9" o:spid="_x0000_s1092" o:spt="3" type="#_x0000_t3" style="position:absolute;left:0pt;margin-left:62.2pt;margin-top:242.75pt;height:103.45pt;width:103.45pt;z-index:251664384;mso-width-relative:page;mso-height-relative:page;" fillcolor="#1F2959" filled="t" o:preferrelative="t" stroked="f" coordsize="21600,21600">
            <v:path/>
            <v:fill on="t" focussize="0,0"/>
            <v:stroke on="f"/>
            <v:imagedata gain="65536f" blacklevel="0f" gamma="0" o:title=""/>
            <o:lock v:ext="edit" position="f" selection="f" grouping="f" rotation="f" cropping="f" text="f" aspectratio="f"/>
            <v:textbox>
              <w:txbxContent>
                <w:p>
                  <w:pPr>
                    <w:jc w:val="center"/>
                  </w:pPr>
                </w:p>
              </w:txbxContent>
            </v:textbox>
          </v:shape>
        </w:pict>
      </w:r>
      <w:r>
        <w:rPr>
          <w:rFonts w:ascii="等线" w:hAnsi="等线" w:eastAsia="等线" w:cs="黑体"/>
          <w:kern w:val="2"/>
          <w:sz w:val="21"/>
          <w:szCs w:val="22"/>
          <w:lang w:val="en-US" w:eastAsia="zh-CN" w:bidi="ar-SA"/>
        </w:rPr>
        <w:pict>
          <v:group id="组合 13" o:spid="_x0000_s1093" o:spt="203" style="position:absolute;left:0pt;margin-left:1.25pt;margin-top:821.7pt;height:21.45pt;width:595.25pt;z-index:251661312;mso-width-relative:page;mso-height-relative:page;" coordorigin="1483,16692" coordsize="11905,429">
            <o:lock v:ext="edit" position="f" selection="f" grouping="f" rotation="f" cropping="f" text="f" aspectratio="f"/>
            <v:rect id="矩形 6" o:spid="_x0000_s1094" o:spt="1" style="position:absolute;left:1483;top:16692;height:428;width:1125;" fillcolor="#FDBC11" filled="t" o:preferrelative="t" stroked="f" coordsize="21600,21600">
              <v:path/>
              <v:fill on="t" focussize="0,0"/>
              <v:stroke on="f"/>
              <v:imagedata gain="65536f" blacklevel="0f" gamma="0" o:title=""/>
              <o:lock v:ext="edit" position="f" selection="f" grouping="f" rotation="f" cropping="f" text="f" aspectratio="f"/>
            </v:rect>
            <v:rect id="矩形 7" o:spid="_x0000_s1095" o:spt="1" style="position:absolute;left:2608;top:16693;height:428;width:10780;" fillcolor="#1F2959"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21"/>
          <w:szCs w:val="22"/>
          <w:lang w:val="en-US" w:eastAsia="zh-CN" w:bidi="ar-SA"/>
        </w:rPr>
        <w:pict>
          <v:rect id="矩形 11" o:spid="_x0000_s1096" o:spt="1" style="position:absolute;left:0pt;margin-left:184.75pt;margin-top:286.6pt;height:31.25pt;width:339.65pt;mso-wrap-style:none;z-index:25166233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kern w:val="0"/>
          <w:sz w:val="44"/>
          <w:szCs w:val="44"/>
          <w:highlight w:val="none"/>
          <w:lang w:eastAsia="zh-CN"/>
        </w:rPr>
      </w:pPr>
      <w:r>
        <w:rPr>
          <w:rFonts w:hint="eastAsia" w:ascii="楷体_GB2312" w:hAnsi="楷体_GB2312" w:eastAsia="楷体_GB2312" w:cs="楷体_GB2312"/>
          <w:color w:val="000000"/>
          <w:kern w:val="0"/>
          <w:sz w:val="44"/>
          <w:szCs w:val="44"/>
          <w:highlight w:val="none"/>
          <w:lang w:eastAsia="zh-CN"/>
        </w:rPr>
        <w:t>石家庄市鹿泉区农业农村局</w:t>
      </w:r>
    </w:p>
    <w:p>
      <w:pPr>
        <w:snapToGrid w:val="0"/>
        <w:jc w:val="center"/>
        <w:rPr>
          <w:rFonts w:ascii="楷体_GB2312" w:hAnsi="楷体_GB2312" w:eastAsia="楷体_GB2312" w:cs="楷体_GB2312"/>
          <w:color w:val="000000"/>
          <w:kern w:val="0"/>
          <w:sz w:val="44"/>
          <w:szCs w:val="44"/>
        </w:rPr>
        <w:sectPr>
          <w:headerReference r:id="rId7" w:type="first"/>
          <w:footerReference r:id="rId8" w:type="first"/>
          <w:headerReference r:id="rId6" w:type="default"/>
          <w:type w:val="continuous"/>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rPr>
        <w:t>二〇二〇年八月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72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rFonts w:ascii="等线" w:hAnsi="等线" w:eastAsia="等线" w:cs="黑体"/>
          <w:kern w:val="2"/>
          <w:sz w:val="72"/>
          <w:szCs w:val="22"/>
          <w:lang w:val="en-US" w:eastAsia="zh-CN" w:bidi="ar-SA"/>
        </w:rPr>
        <w:pict>
          <v:rect id="文本框 143" o:spid="_x0000_s1097" o:spt="1" style="position:absolute;left:0pt;margin-left:-85.7pt;margin-top:80.7pt;height:263.1pt;width:613.65pt;z-index:251666432;mso-width-relative:page;mso-height-relative:page;" fillcolor="#FFD966" filled="t" o:preferrelative="t" stroked="t" coordsize="21600,21600">
            <v:path/>
            <v:fill type="pattern" on="t" color2="#FFFFFF" o:opacity2="65536f" focussize="0,0" r:id="rId28"/>
            <v:stroke weight="1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val="0"/>
        <w:spacing w:before="0" w:beforeAutospacing="0" w:after="0" w:afterAutospacing="0" w:line="578" w:lineRule="exact"/>
        <w:ind w:left="0" w:right="0" w:firstLine="640" w:firstLineChars="200"/>
        <w:jc w:val="both"/>
        <w:rPr>
          <w:rFonts w:hint="eastAsia" w:ascii="仿宋_GB2312" w:hAnsi="仿宋_GB2312" w:eastAsia="仿宋_GB2312" w:cs="仿宋_GB2312"/>
          <w:sz w:val="32"/>
          <w:szCs w:val="32"/>
          <w:lang w:val="en-US"/>
        </w:rPr>
      </w:pPr>
      <w:r>
        <w:rPr>
          <w:rFonts w:hint="eastAsia" w:ascii="仿宋_GB2312" w:hAnsi="仿宋_GB2312" w:eastAsia="仿宋_GB2312" w:cs="仿宋_GB2312"/>
          <w:kern w:val="2"/>
          <w:sz w:val="32"/>
          <w:szCs w:val="32"/>
          <w:lang w:val="en-US" w:eastAsia="zh-CN" w:bidi="ar-SA"/>
        </w:rPr>
        <w:t>统筹研究和组织实施全区“三农”工作的发展战略,负责全区农业综合执法,协调推动发展全区农村社会事业、农村公共服务、农村文化、农村基础设施和乡村治理,负责全区种植业、畜牧业、渔业、农垦、农业机械化等农业各产业的监督管理,负责全区农产品质量安全监督管理。</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12</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4470"/>
        <w:gridCol w:w="2145"/>
        <w:gridCol w:w="2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538"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4470"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1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427"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石家庄市鹿泉区农业畜牧局</w:t>
            </w:r>
            <w:r>
              <w:rPr>
                <w:rFonts w:hint="eastAsia" w:ascii="仿宋" w:hAnsi="仿宋" w:eastAsia="仿宋" w:cs="仿宋"/>
                <w:kern w:val="0"/>
                <w:sz w:val="21"/>
                <w:szCs w:val="21"/>
              </w:rPr>
              <w:t>(本级)</w:t>
            </w:r>
          </w:p>
        </w:tc>
        <w:tc>
          <w:tcPr>
            <w:tcW w:w="2145" w:type="dxa"/>
            <w:vAlign w:val="top"/>
          </w:tcPr>
          <w:p>
            <w:pPr>
              <w:spacing w:after="0" w:line="560" w:lineRule="exact"/>
              <w:jc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行政单位</w:t>
            </w:r>
          </w:p>
        </w:tc>
        <w:tc>
          <w:tcPr>
            <w:tcW w:w="2427" w:type="dxa"/>
            <w:vAlign w:val="top"/>
          </w:tcPr>
          <w:p>
            <w:pPr>
              <w:spacing w:after="0" w:line="560" w:lineRule="exact"/>
              <w:jc w:val="center"/>
              <w:rPr>
                <w:rFonts w:hint="eastAsia" w:ascii="仿宋" w:hAnsi="仿宋" w:eastAsia="仿宋" w:cs="仿宋"/>
                <w:kern w:val="0"/>
                <w:sz w:val="21"/>
                <w:szCs w:val="21"/>
              </w:rPr>
            </w:pPr>
            <w:r>
              <w:rPr>
                <w:rFonts w:hint="eastAsia" w:ascii="仿宋" w:hAnsi="仿宋" w:eastAsia="仿宋" w:cs="仿宋"/>
                <w:kern w:val="0"/>
                <w:sz w:val="21"/>
                <w:szCs w:val="21"/>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石家庄市鹿泉区农业机械化技术推广站</w:t>
            </w:r>
          </w:p>
        </w:tc>
        <w:tc>
          <w:tcPr>
            <w:tcW w:w="2145" w:type="dxa"/>
            <w:vAlign w:val="top"/>
          </w:tcPr>
          <w:p>
            <w:pPr>
              <w:spacing w:after="0" w:line="560" w:lineRule="exact"/>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石家庄市鹿泉区农产品综合质检站</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4</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石家庄市鹿泉区农业技术推广中心</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5</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石家庄市鹿泉区农机安全监理站</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6</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石家庄市鹿泉区大河农业技术推广区域站</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7</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石家庄市鹿泉区新能源办公室</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8</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河北省农业广播电视学校石家庄市鹿泉区</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9</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石家庄市鹿泉区植物保护检疫站</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10</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石家庄市鹿泉区水产管理处</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11</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石家庄市鹿泉区畜禽屠宰定点管理执法队</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38" w:type="dxa"/>
            <w:vAlign w:val="top"/>
          </w:tcPr>
          <w:p>
            <w:pPr>
              <w:spacing w:after="0" w:line="560" w:lineRule="exact"/>
              <w:jc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12</w:t>
            </w:r>
          </w:p>
        </w:tc>
        <w:tc>
          <w:tcPr>
            <w:tcW w:w="4470"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rPr>
              <w:t>石家庄市鹿泉区防御中心</w:t>
            </w:r>
          </w:p>
        </w:tc>
        <w:tc>
          <w:tcPr>
            <w:tcW w:w="2145" w:type="dxa"/>
            <w:vAlign w:val="top"/>
          </w:tcPr>
          <w:p>
            <w:pPr>
              <w:spacing w:after="0" w:line="560" w:lineRule="exact"/>
              <w:rPr>
                <w:rFonts w:hint="eastAsia" w:ascii="仿宋" w:hAnsi="仿宋" w:eastAsia="仿宋" w:cs="仿宋"/>
                <w:kern w:val="0"/>
                <w:sz w:val="21"/>
                <w:szCs w:val="21"/>
              </w:rPr>
            </w:pPr>
            <w:r>
              <w:rPr>
                <w:rFonts w:hint="eastAsia" w:ascii="仿宋" w:hAnsi="仿宋" w:eastAsia="仿宋" w:cs="仿宋"/>
                <w:kern w:val="0"/>
                <w:sz w:val="21"/>
                <w:szCs w:val="21"/>
                <w:lang w:eastAsia="zh-CN"/>
              </w:rPr>
              <w:t>财政补助事业单位</w:t>
            </w:r>
          </w:p>
        </w:tc>
        <w:tc>
          <w:tcPr>
            <w:tcW w:w="2427" w:type="dxa"/>
            <w:vAlign w:val="top"/>
          </w:tcPr>
          <w:p>
            <w:pPr>
              <w:spacing w:after="0" w:line="560" w:lineRule="exact"/>
              <w:rPr>
                <w:rFonts w:hint="eastAsia" w:ascii="仿宋" w:hAnsi="仿宋" w:eastAsia="仿宋" w:cs="仿宋"/>
                <w:kern w:val="0"/>
                <w:sz w:val="21"/>
                <w:szCs w:val="21"/>
                <w:lang w:eastAsia="zh-CN"/>
              </w:rPr>
            </w:pPr>
            <w:r>
              <w:rPr>
                <w:rFonts w:hint="eastAsia" w:ascii="仿宋" w:hAnsi="仿宋" w:eastAsia="仿宋" w:cs="仿宋"/>
                <w:kern w:val="0"/>
                <w:sz w:val="21"/>
                <w:szCs w:val="21"/>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vAlign w:val="top"/>
          </w:tcPr>
          <w:p>
            <w:pPr>
              <w:spacing w:after="0" w:line="560" w:lineRule="exact"/>
              <w:ind w:firstLine="560" w:firstLineChars="200"/>
              <w:jc w:val="left"/>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vAlign w:val="top"/>
          </w:tcPr>
          <w:p>
            <w:pPr>
              <w:spacing w:line="560" w:lineRule="exact"/>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72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72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720" w:num="1"/>
          <w:titlePg/>
          <w:docGrid w:type="lines" w:linePitch="312" w:charSpace="0"/>
        </w:sectPr>
      </w:pPr>
      <w:r>
        <w:rPr>
          <w:rFonts w:ascii="等线" w:hAnsi="等线" w:eastAsia="等线" w:cs="黑体"/>
          <w:kern w:val="2"/>
          <w:sz w:val="72"/>
          <w:szCs w:val="22"/>
          <w:lang w:val="en-US" w:eastAsia="zh-CN" w:bidi="ar-SA"/>
        </w:rPr>
        <w:pict>
          <v:rect id="文本框 151" o:spid="_x0000_s1098" o:spt="1" style="position:absolute;left:0pt;margin-left:-85.7pt;margin-top:238.15pt;height:173.25pt;width:613.65pt;z-index:251667456;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rFonts w:ascii="等线" w:hAnsi="等线" w:eastAsia="等线" w:cs="黑体"/>
          <w:kern w:val="2"/>
          <w:sz w:val="72"/>
          <w:szCs w:val="22"/>
          <w:lang w:val="en-US" w:eastAsia="zh-CN" w:bidi="ar-SA"/>
        </w:rPr>
        <w:pict>
          <v:rect id="文本框 187" o:spid="_x0000_s1099" o:spt="1" style="position:absolute;left:0pt;margin-left:-90.8pt;margin-top:4.35pt;height:263.1pt;width:613.65pt;z-index:251668480;mso-width-relative:page;mso-height-relative:page;" fillcolor="#FFD966" filled="t" o:preferrelative="t" stroked="t" coordsize="21600,21600">
            <v:path/>
            <v:fill type="pattern" on="t" color2="#FFFFFF" o:opacity2="65536f" focussize="0,0" r:id="rId28"/>
            <v:stroke weight="0.5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2019年部门决算情况说明</w:t>
                  </w:r>
                </w:p>
                <w:p/>
              </w:txbxContent>
            </v:textbox>
          </v:rect>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本部门2019年度收支总计（含结转和结余）27499.76万元。其中收入15078.19万元，支出18941.02万元，年初结转和结余12421.57万元，年末结转和结余8558.74万元，与201</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年度决算相比，收入</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1466.75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8.9</w:t>
      </w:r>
      <w:r>
        <w:rPr>
          <w:rFonts w:hint="eastAsia" w:ascii="仿宋_GB2312" w:hAnsi="Times New Roman" w:eastAsia="仿宋_GB2312" w:cs="DengXian-Regular"/>
          <w:sz w:val="32"/>
          <w:szCs w:val="32"/>
        </w:rPr>
        <w:t>%，主要原因是上级下达专项资金的</w:t>
      </w:r>
      <w:r>
        <w:rPr>
          <w:rFonts w:hint="eastAsia" w:ascii="仿宋_GB2312" w:hAnsi="Times New Roman" w:eastAsia="仿宋_GB2312" w:cs="DengXian-Regular"/>
          <w:sz w:val="32"/>
          <w:szCs w:val="32"/>
          <w:lang w:eastAsia="zh-CN"/>
        </w:rPr>
        <w:t>收入减少</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9043.35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91.4</w:t>
      </w:r>
      <w:r>
        <w:rPr>
          <w:rFonts w:hint="eastAsia" w:ascii="仿宋_GB2312" w:hAnsi="Times New Roman" w:eastAsia="仿宋_GB2312" w:cs="DengXian-Regular"/>
          <w:sz w:val="32"/>
          <w:szCs w:val="32"/>
        </w:rPr>
        <w:t>%，主要原因是专项资金</w:t>
      </w:r>
      <w:r>
        <w:rPr>
          <w:rFonts w:hint="eastAsia" w:ascii="仿宋_GB2312" w:hAnsi="Times New Roman" w:eastAsia="仿宋_GB2312" w:cs="DengXian-Regular"/>
          <w:sz w:val="32"/>
          <w:szCs w:val="32"/>
          <w:lang w:eastAsia="zh-CN"/>
        </w:rPr>
        <w:t>的</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本部门2019年度本年收入合计15078.19万元，其中：财政拨款收入14418.36万元，占</w:t>
      </w:r>
      <w:r>
        <w:rPr>
          <w:rFonts w:hint="eastAsia" w:ascii="仿宋_GB2312" w:hAnsi="Times New Roman" w:eastAsia="仿宋_GB2312" w:cs="DengXian-Regular"/>
          <w:sz w:val="32"/>
          <w:szCs w:val="32"/>
          <w:lang w:val="en-US" w:eastAsia="zh-CN"/>
        </w:rPr>
        <w:t>95.6</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%；其他收入659.83万元，占</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kern w:val="2"/>
          <w:sz w:val="32"/>
          <w:szCs w:val="32"/>
          <w:lang w:val="en-US" w:eastAsia="zh-CN" w:bidi="ar-SA"/>
        </w:rPr>
        <w:pict>
          <v:shape id="图表 1" o:spid="_x0000_s1100" o:spt="75" type="#_x0000_t75" style="position:absolute;left:0pt;margin-left:37.05pt;margin-top:26.4pt;height:229.55pt;width:366.05pt;mso-wrap-distance-bottom:0pt;mso-wrap-distance-top:0pt;z-index:251673600;mso-width-relative:page;mso-height-relative:page;" fillcolor="#FFFFFF" filled="f" o:preferrelative="t" stroked="f" coordsize="21600,21600">
            <v:path/>
            <v:fill on="f" color2="#FFFFFF" focussize="0,0"/>
            <v:stroke on="f"/>
            <v:imagedata r:id="rId29" gain="65536f" blacklevel="0f" gamma="0" o:title=""/>
            <o:lock v:ext="edit" position="f" selection="f" grouping="f" rotation="f" cropping="f" text="f" aspectratio="t"/>
            <w10:wrap type="topAndBottom"/>
          </v:shape>
        </w:pic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本部门2019年度本年支出合计18941.02万元，其中：基本支出3730.52万元，占</w:t>
      </w:r>
      <w:r>
        <w:rPr>
          <w:rFonts w:hint="eastAsia" w:ascii="仿宋_GB2312" w:hAnsi="Times New Roman" w:eastAsia="仿宋_GB2312" w:cs="DengXian-Regular"/>
          <w:sz w:val="32"/>
          <w:szCs w:val="32"/>
          <w:lang w:val="en-US" w:eastAsia="zh-CN"/>
        </w:rPr>
        <w:t>19.7</w:t>
      </w:r>
      <w:r>
        <w:rPr>
          <w:rFonts w:hint="eastAsia" w:ascii="仿宋_GB2312" w:hAnsi="Times New Roman" w:eastAsia="仿宋_GB2312" w:cs="DengXian-Regular"/>
          <w:sz w:val="32"/>
          <w:szCs w:val="32"/>
        </w:rPr>
        <w:t>%；项目支出15210.5万元，占</w:t>
      </w:r>
      <w:r>
        <w:rPr>
          <w:rFonts w:hint="eastAsia" w:ascii="仿宋_GB2312" w:hAnsi="Times New Roman" w:eastAsia="仿宋_GB2312" w:cs="DengXian-Regular"/>
          <w:sz w:val="32"/>
          <w:szCs w:val="32"/>
          <w:lang w:val="en-US" w:eastAsia="zh-CN"/>
        </w:rPr>
        <w:t>80.3</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黑体" w:hAnsi="Calibri" w:eastAsia="黑体" w:cs="Times New Roman"/>
          <w:b/>
          <w:bCs/>
          <w:sz w:val="32"/>
          <w:szCs w:val="32"/>
        </w:rPr>
      </w:pPr>
      <w:r>
        <w:rPr>
          <w:rFonts w:hint="eastAsia" w:ascii="仿宋_GB2312" w:hAnsi="Times New Roman" w:eastAsia="仿宋_GB2312" w:cs="DengXian-Regular"/>
          <w:kern w:val="2"/>
          <w:sz w:val="32"/>
          <w:szCs w:val="32"/>
          <w:lang w:val="en-US" w:eastAsia="zh-CN" w:bidi="ar-SA"/>
        </w:rPr>
        <w:pict>
          <v:shape id="图表 2" o:spid="_x0000_s1101" o:spt="75" type="#_x0000_t75" style="position:absolute;left:0pt;margin-left:26.6pt;margin-top:15.55pt;height:217.5pt;width:385.8pt;mso-wrap-distance-bottom:0pt;mso-wrap-distance-top:0pt;z-index:251672576;mso-width-relative:page;mso-height-relative:page;" fillcolor="#FFFFFF" filled="f" o:preferrelative="t" stroked="f" coordsize="21600,21600">
            <v:path/>
            <v:fill on="f" color2="#FFFFFF" focussize="0,0"/>
            <v:stroke on="f"/>
            <v:imagedata r:id="rId30" gain="65536f" blacklevel="0f" gamma="0" o:title=""/>
            <o:lock v:ext="edit" position="f" selection="f" grouping="f" rotation="f" cropping="f" text="f" aspectratio="t"/>
            <w10:wrap type="topAndBottom"/>
          </v:shape>
        </w:pic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14418.36</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2019.69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12.3</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是专项资金收入减少</w:t>
      </w:r>
      <w:r>
        <w:rPr>
          <w:rFonts w:hint="eastAsia" w:ascii="仿宋_GB2312" w:hAnsi="Times New Roman" w:eastAsia="仿宋_GB2312" w:cs="DengXian-Regular"/>
          <w:sz w:val="32"/>
          <w:szCs w:val="32"/>
        </w:rPr>
        <w:t>；本年支出18281.19万元，增加</w:t>
      </w:r>
      <w:r>
        <w:rPr>
          <w:rFonts w:hint="eastAsia" w:ascii="仿宋_GB2312" w:hAnsi="Times New Roman" w:eastAsia="仿宋_GB2312" w:cs="DengXian-Regular"/>
          <w:sz w:val="32"/>
          <w:szCs w:val="32"/>
          <w:lang w:val="en-US" w:eastAsia="zh-CN"/>
        </w:rPr>
        <w:t>8490.41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专项资金支出增加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一般公共预算财政拨款本年收入14378.36万元，比上年减少</w:t>
      </w:r>
      <w:r>
        <w:rPr>
          <w:rFonts w:hint="eastAsia" w:ascii="仿宋_GB2312" w:hAnsi="Times New Roman" w:eastAsia="仿宋_GB2312" w:cs="DengXian-Regular"/>
          <w:sz w:val="32"/>
          <w:szCs w:val="32"/>
          <w:lang w:val="en-US" w:eastAsia="zh-CN"/>
        </w:rPr>
        <w:t>2059.69</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12.5%，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专项资金收入减少</w:t>
      </w:r>
      <w:r>
        <w:rPr>
          <w:rFonts w:hint="eastAsia" w:ascii="仿宋_GB2312" w:hAnsi="Times New Roman" w:eastAsia="仿宋_GB2312" w:cs="DengXian-Regular"/>
          <w:sz w:val="32"/>
          <w:szCs w:val="32"/>
        </w:rPr>
        <w:t>；本年支出18281.19万元，比上年增加</w:t>
      </w:r>
      <w:r>
        <w:rPr>
          <w:rFonts w:hint="eastAsia" w:ascii="仿宋_GB2312" w:hAnsi="Times New Roman" w:eastAsia="仿宋_GB2312" w:cs="DengXian-Regular"/>
          <w:sz w:val="32"/>
          <w:szCs w:val="32"/>
          <w:lang w:val="en-US" w:eastAsia="zh-CN"/>
        </w:rPr>
        <w:t>8490.41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86.7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专项资金支出增加</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安排政府性基金项目资金一个</w:t>
      </w:r>
      <w:r>
        <w:rPr>
          <w:rFonts w:hint="eastAsia" w:ascii="仿宋_GB2312" w:hAnsi="Times New Roman" w:eastAsia="仿宋_GB2312" w:cs="DengXian-Regular"/>
          <w:sz w:val="32"/>
          <w:szCs w:val="32"/>
          <w:lang w:val="en-US" w:eastAsia="zh-CN"/>
        </w:rPr>
        <w:t>元</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kern w:val="2"/>
          <w:sz w:val="32"/>
          <w:szCs w:val="32"/>
          <w:lang w:val="en-US" w:eastAsia="zh-CN" w:bidi="ar-SA"/>
        </w:rPr>
        <w:pict>
          <v:shape id="图表 4" o:spid="_x0000_s1102" o:spt="75" type="#_x0000_t75" style="position:absolute;left:0pt;margin-left:27.4pt;margin-top:16.75pt;height:300pt;width:400pt;mso-wrap-distance-bottom:0pt;mso-wrap-distance-top:0pt;z-index:251674624;mso-width-relative:page;mso-height-relative:page;" fillcolor="#FFFFFF" filled="f" o:preferrelative="t" stroked="f" coordsize="21600,21600">
            <v:path/>
            <v:fill on="f" color2="#FFFFFF" focussize="0,0"/>
            <v:stroke on="f"/>
            <v:imagedata r:id="rId31" gain="65536f" blacklevel="0f" gamma="0" o:title=""/>
            <o:lock v:ext="edit" position="f" selection="f" grouping="f" rotation="f" cropping="f" text="f" aspectratio="t"/>
            <w10:wrap type="topAndBottom"/>
          </v:shape>
        </w:pict>
      </w: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本部门2019年度财政拨款本年收入14418.36万元，完成年初预算的</w:t>
      </w:r>
      <w:r>
        <w:rPr>
          <w:rFonts w:hint="eastAsia" w:ascii="仿宋_GB2312" w:hAnsi="Times New Roman" w:eastAsia="仿宋_GB2312" w:cs="DengXian-Regular"/>
          <w:sz w:val="32"/>
          <w:szCs w:val="32"/>
          <w:lang w:val="en-US" w:eastAsia="zh-CN"/>
        </w:rPr>
        <w:t>148.5</w:t>
      </w:r>
      <w:r>
        <w:rPr>
          <w:rFonts w:hint="eastAsia" w:ascii="仿宋_GB2312" w:hAnsi="Times New Roman" w:eastAsia="仿宋_GB2312" w:cs="DengXian-Regular"/>
          <w:sz w:val="32"/>
          <w:szCs w:val="32"/>
        </w:rPr>
        <w:t>%,比年初预算</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4708.39</w:t>
      </w:r>
      <w:r>
        <w:rPr>
          <w:rFonts w:hint="eastAsia" w:ascii="仿宋_GB2312" w:hAnsi="Times New Roman" w:eastAsia="仿宋_GB2312" w:cs="DengXian-Regular"/>
          <w:sz w:val="32"/>
          <w:szCs w:val="32"/>
        </w:rPr>
        <w:t>万元，决算数</w:t>
      </w:r>
      <w:r>
        <w:rPr>
          <w:rFonts w:hint="eastAsia" w:ascii="仿宋_GB2312" w:hAnsi="Times New Roman" w:eastAsia="仿宋_GB2312" w:cs="DengXian-Regular"/>
          <w:sz w:val="32"/>
          <w:szCs w:val="32"/>
          <w:lang w:eastAsia="zh-CN"/>
        </w:rPr>
        <w:t>大于</w:t>
      </w:r>
      <w:r>
        <w:rPr>
          <w:rFonts w:hint="eastAsia" w:ascii="仿宋_GB2312" w:hAnsi="Times New Roman" w:eastAsia="仿宋_GB2312" w:cs="DengXian-Regular"/>
          <w:sz w:val="32"/>
          <w:szCs w:val="32"/>
        </w:rPr>
        <w:t>预算数主要原因是</w:t>
      </w:r>
      <w:r>
        <w:rPr>
          <w:rFonts w:hint="eastAsia" w:ascii="仿宋_GB2312" w:hAnsi="Times New Roman" w:eastAsia="仿宋_GB2312" w:cs="DengXian-Regular"/>
          <w:sz w:val="32"/>
          <w:szCs w:val="32"/>
          <w:highlight w:val="none"/>
          <w:lang w:eastAsia="zh-CN"/>
        </w:rPr>
        <w:t>收到上级下达专项资金</w:t>
      </w:r>
      <w:r>
        <w:rPr>
          <w:rFonts w:hint="eastAsia" w:ascii="仿宋_GB2312" w:hAnsi="Times New Roman" w:eastAsia="仿宋_GB2312" w:cs="DengXian-Regular"/>
          <w:sz w:val="32"/>
          <w:szCs w:val="32"/>
        </w:rPr>
        <w:t>；本年支出18281.19万元，完成年初预算的</w:t>
      </w:r>
      <w:r>
        <w:rPr>
          <w:rFonts w:hint="eastAsia" w:ascii="仿宋_GB2312" w:hAnsi="Times New Roman" w:eastAsia="仿宋_GB2312" w:cs="DengXian-Regular"/>
          <w:sz w:val="32"/>
          <w:szCs w:val="32"/>
          <w:lang w:val="en-US" w:eastAsia="zh-CN"/>
        </w:rPr>
        <w:t>188.3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8571.22</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收到上级下达专项资金并支出</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182.0</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6478.89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年中收到上级下达专项资金</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231.4</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10381.72</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支出上年结转资金较多，且</w:t>
      </w:r>
      <w:r>
        <w:rPr>
          <w:rFonts w:hint="eastAsia" w:ascii="仿宋" w:hAnsi="仿宋" w:eastAsia="仿宋" w:cs="仿宋"/>
          <w:sz w:val="32"/>
          <w:szCs w:val="32"/>
          <w:lang w:eastAsia="zh-CN"/>
        </w:rPr>
        <w:t>年中收到上级下达专项资金部分形成支出</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1770.5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项目由政府性基金调整为一般公共预算</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1810.5</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项目由政府性基金调整为一般公共预算</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kern w:val="2"/>
          <w:sz w:val="32"/>
          <w:szCs w:val="32"/>
          <w:lang w:val="en-US" w:eastAsia="zh-CN" w:bidi="ar-SA"/>
        </w:rPr>
        <w:pict>
          <v:shape id="图表 5" o:spid="_x0000_s1103" o:spt="75" type="#_x0000_t75" style="position:absolute;left:0pt;margin-left:29.4pt;margin-top:61.7pt;height:250.5pt;width:400pt;mso-wrap-distance-bottom:0pt;mso-wrap-distance-top:0pt;z-index:251675648;mso-width-relative:page;mso-height-relative:page;" fillcolor="#FFFFFF" filled="f" o:preferrelative="t" stroked="f" coordsize="21600,21600">
            <v:path/>
            <v:fill on="f" color2="#FFFFFF" focussize="0,0"/>
            <v:stroke on="f"/>
            <v:imagedata r:id="rId32" gain="65536f" blacklevel="0f" gamma="0" o:title=""/>
            <o:lock v:ext="edit" position="f" selection="f" grouping="f" rotation="f" cropping="f" text="f" aspectratio="t"/>
            <w10:wrap type="topAndBottom"/>
          </v:shape>
        </w:pic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年度财政拨款支出18281.19万元，主要用于以下方面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272.42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%；教育（类）支出</w:t>
      </w:r>
      <w:r>
        <w:rPr>
          <w:rFonts w:hint="eastAsia" w:ascii="仿宋_GB2312" w:hAnsi="Times New Roman" w:eastAsia="仿宋_GB2312" w:cs="DengXian-Regular"/>
          <w:sz w:val="32"/>
          <w:szCs w:val="32"/>
          <w:lang w:val="en-US" w:eastAsia="zh-CN"/>
        </w:rPr>
        <w:t>189.9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316.5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卫生健康（类）支出</w:t>
      </w:r>
      <w:r>
        <w:rPr>
          <w:rFonts w:hint="eastAsia" w:ascii="仿宋_GB2312" w:hAnsi="Times New Roman" w:eastAsia="仿宋_GB2312" w:cs="DengXian-Regular"/>
          <w:sz w:val="32"/>
          <w:szCs w:val="32"/>
          <w:lang w:val="en-US" w:eastAsia="zh-CN"/>
        </w:rPr>
        <w:t>204.33万元，占1.1%；节能环保（类）支出627.78万元，占3.5%；城乡社区（类）支出1000万元，占5.5%；农林水（类）支出15496.89万元，占84.8%；</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173.23</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0.9</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kern w:val="2"/>
          <w:sz w:val="32"/>
          <w:szCs w:val="32"/>
          <w:lang w:val="en-US" w:eastAsia="zh-CN" w:bidi="ar-SA"/>
        </w:rPr>
        <w:pict>
          <v:shape id="图表 3" o:spid="_x0000_s1104" o:spt="75" type="#_x0000_t75" style="position:absolute;left:0pt;margin-left:21.35pt;margin-top:22.1pt;height:249.65pt;width:432.25pt;mso-wrap-distance-left:9pt;mso-wrap-distance-right:9pt;z-index:-251657216;mso-width-relative:page;mso-height-relative:page;" fillcolor="#FFFFFF" filled="f" o:preferrelative="t" stroked="f" coordsize="21600,21600" wrapcoords="-17 -30 -17 21513 21570 21513 21570 -30 -17 -30">
            <v:path/>
            <v:fill on="f" color2="#FFFFFF" focussize="0,0"/>
            <v:stroke on="f"/>
            <v:imagedata r:id="rId33" gain="65536f" blacklevel="0f" gamma="0" o:title=""/>
            <o:lock v:ext="edit" position="f" selection="f" grouping="f" rotation="f" cropping="f" text="f" aspectratio="t"/>
            <w10:wrap type="tight"/>
          </v:shape>
        </w:pic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3730.52</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3277.98</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452.54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25.63</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57.1</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19.27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42.9</w:t>
      </w:r>
      <w:r>
        <w:rPr>
          <w:rFonts w:hint="eastAsia" w:ascii="仿宋_GB2312" w:hAnsi="Times New Roman" w:eastAsia="仿宋_GB2312" w:cs="DengXian-Regular"/>
          <w:sz w:val="32"/>
          <w:szCs w:val="32"/>
        </w:rPr>
        <w:t>%，主要是认真</w:t>
      </w:r>
      <w:bookmarkStart w:id="0" w:name="_GoBack"/>
      <w:bookmarkEnd w:id="0"/>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%，主要是认真</w:t>
      </w:r>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25.63</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17.57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40.7</w:t>
      </w:r>
      <w:r>
        <w:rPr>
          <w:rFonts w:hint="eastAsia" w:ascii="仿宋_GB2312" w:hAnsi="Times New Roman" w:eastAsia="仿宋_GB2312" w:cs="DengXian-Regular"/>
          <w:sz w:val="32"/>
          <w:szCs w:val="32"/>
        </w:rPr>
        <w:t>%,主要是认真</w:t>
      </w:r>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%,主要是认真</w:t>
      </w:r>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17.57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40.7</w:t>
      </w:r>
      <w:r>
        <w:rPr>
          <w:rFonts w:hint="eastAsia" w:ascii="仿宋_GB2312" w:hAnsi="Times New Roman" w:eastAsia="仿宋_GB2312" w:cs="DengXian-Regular"/>
          <w:sz w:val="32"/>
          <w:szCs w:val="32"/>
        </w:rPr>
        <w:t>%,主要是认真</w:t>
      </w:r>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9.1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26.2</w:t>
      </w:r>
      <w:r>
        <w:rPr>
          <w:rFonts w:hint="eastAsia" w:ascii="仿宋_GB2312" w:hAnsi="Times New Roman" w:eastAsia="仿宋_GB2312" w:cs="DengXian-Regular"/>
          <w:sz w:val="32"/>
          <w:szCs w:val="32"/>
        </w:rPr>
        <w:t>%，主要是认真</w:t>
      </w:r>
      <w:r>
        <w:rPr>
          <w:rFonts w:hint="eastAsia" w:ascii="仿宋_GB2312" w:hAnsi="Times New Roman" w:eastAsia="仿宋_GB2312" w:cs="DengXian-Regular"/>
          <w:sz w:val="32"/>
          <w:szCs w:val="32"/>
          <w:lang w:eastAsia="zh-CN"/>
        </w:rPr>
        <w:t>贯彻落实中央八项规定</w:t>
      </w:r>
      <w:r>
        <w:rPr>
          <w:rFonts w:hint="eastAsia" w:ascii="仿宋_GB2312" w:hAnsi="Times New Roman"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lang w:eastAsia="zh-CN"/>
        </w:rPr>
        <w:t>且公车改革车辆上交</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1.7</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2019年度无公务接待</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w:t>
      </w:r>
      <w:r>
        <w:rPr>
          <w:rFonts w:hint="eastAsia" w:ascii="仿宋_GB2312" w:hAnsi="Times New Roman" w:eastAsia="仿宋_GB2312" w:cs="DengXian-Regular"/>
          <w:sz w:val="32"/>
          <w:szCs w:val="32"/>
        </w:rPr>
        <w:t>年</w:t>
      </w:r>
      <w:r>
        <w:rPr>
          <w:rFonts w:hint="eastAsia" w:ascii="仿宋_GB2312" w:hAnsi="Times New Roman" w:eastAsia="仿宋_GB2312" w:cs="DengXian-Regular"/>
          <w:sz w:val="32"/>
          <w:szCs w:val="32"/>
          <w:lang w:eastAsia="zh-CN"/>
        </w:rPr>
        <w:t>度决算支出持平</w:t>
      </w:r>
      <w:r>
        <w:rPr>
          <w:rFonts w:hint="eastAsia" w:ascii="仿宋_GB2312" w:hAnsi="Times New Roman" w:eastAsia="仿宋_GB2312" w:cs="DengXian-Regular"/>
          <w:sz w:val="32"/>
          <w:szCs w:val="32"/>
        </w:rPr>
        <w:t>。</w:t>
      </w:r>
    </w:p>
    <w:p>
      <w:pPr>
        <w:numPr>
          <w:ilvl w:val="0"/>
          <w:numId w:val="4"/>
        </w:numPr>
        <w:adjustRightInd w:val="0"/>
        <w:snapToGrid w:val="0"/>
        <w:spacing w:line="580" w:lineRule="exact"/>
        <w:ind w:firstLine="640" w:firstLineChars="200"/>
        <w:rPr>
          <w:rFonts w:hint="eastAsia" w:ascii="黑体" w:hAnsi="Times New Roman" w:eastAsia="黑体" w:cs="Times New Roman"/>
          <w:sz w:val="32"/>
          <w:szCs w:val="40"/>
        </w:rPr>
      </w:pPr>
      <w:r>
        <w:rPr>
          <w:rFonts w:hint="eastAsia" w:ascii="黑体" w:hAnsi="Times New Roman" w:eastAsia="黑体" w:cs="Times New Roman"/>
          <w:sz w:val="32"/>
          <w:szCs w:val="40"/>
        </w:rPr>
        <w:t>预算绩效情况说明</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（一）绩效管理工作开展情况。根据《关于开展 2018 年度</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财政专项资金部门绩效自评价工作的通知》 （石财绩[2019]1号），本单位认真开展了预算绩效管理改革开展情况自查，对部门全面规范绩效预算编制、严格预算执行管理、推进绩效评价工作、推进预决算信息公开等方面进行了自评，考核结果为优秀</w:t>
      </w:r>
      <w:r>
        <w:rPr>
          <w:rFonts w:hint="eastAsia" w:ascii="仿宋" w:hAnsi="仿宋" w:eastAsia="仿宋" w:cs="仿宋"/>
          <w:b w:val="0"/>
          <w:bCs w:val="0"/>
          <w:lang w:eastAsia="zh-CN"/>
        </w:rPr>
        <w:t>。</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（二）预算项目绩效评价开展情况。根据预算绩效管理要求，</w:t>
      </w:r>
    </w:p>
    <w:p>
      <w:pPr>
        <w:pStyle w:val="3"/>
        <w:spacing w:before="0" w:after="0" w:line="580" w:lineRule="exact"/>
        <w:rPr>
          <w:rFonts w:hint="eastAsia" w:ascii="仿宋" w:hAnsi="仿宋" w:eastAsia="仿宋" w:cs="仿宋"/>
          <w:b w:val="0"/>
          <w:bCs w:val="0"/>
        </w:rPr>
      </w:pPr>
      <w:r>
        <w:rPr>
          <w:rFonts w:hint="eastAsia" w:ascii="仿宋" w:hAnsi="仿宋" w:eastAsia="仿宋" w:cs="仿宋"/>
          <w:b w:val="0"/>
          <w:bCs w:val="0"/>
        </w:rPr>
        <w:t>本单位组织对 2018 年度一般公共预算项目支出全面开展绩效自评，涉及</w:t>
      </w:r>
      <w:r>
        <w:rPr>
          <w:rFonts w:hint="eastAsia" w:ascii="仿宋" w:hAnsi="仿宋" w:eastAsia="仿宋" w:cs="仿宋"/>
          <w:b w:val="0"/>
          <w:bCs w:val="0"/>
          <w:lang w:eastAsia="zh-CN"/>
        </w:rPr>
        <w:t>项目</w:t>
      </w:r>
      <w:r>
        <w:rPr>
          <w:rFonts w:hint="eastAsia" w:ascii="仿宋" w:hAnsi="仿宋" w:eastAsia="仿宋" w:cs="仿宋"/>
          <w:b w:val="0"/>
          <w:bCs w:val="0"/>
          <w:lang w:val="en-US" w:eastAsia="zh-CN"/>
        </w:rPr>
        <w:t>20个</w:t>
      </w:r>
      <w:r>
        <w:rPr>
          <w:rFonts w:hint="eastAsia" w:ascii="仿宋" w:hAnsi="仿宋" w:eastAsia="仿宋" w:cs="仿宋"/>
          <w:b w:val="0"/>
          <w:bCs w:val="0"/>
        </w:rPr>
        <w:t xml:space="preserve">。从评价情况看，评价结果为优秀的项目有 </w:t>
      </w:r>
      <w:r>
        <w:rPr>
          <w:rFonts w:hint="eastAsia" w:ascii="仿宋" w:hAnsi="仿宋" w:eastAsia="仿宋" w:cs="仿宋"/>
          <w:b w:val="0"/>
          <w:bCs w:val="0"/>
          <w:lang w:val="en-US" w:eastAsia="zh-CN"/>
        </w:rPr>
        <w:t>20</w:t>
      </w:r>
      <w:r>
        <w:rPr>
          <w:rFonts w:hint="eastAsia" w:ascii="仿宋" w:hAnsi="仿宋" w:eastAsia="仿宋" w:cs="仿宋"/>
          <w:b w:val="0"/>
          <w:bCs w:val="0"/>
        </w:rPr>
        <w:t>个。</w:t>
      </w:r>
    </w:p>
    <w:p>
      <w:pPr>
        <w:pStyle w:val="3"/>
        <w:spacing w:before="0" w:after="0" w:line="580" w:lineRule="exact"/>
        <w:ind w:firstLine="640" w:firstLineChars="200"/>
        <w:rPr>
          <w:rFonts w:hint="eastAsia" w:ascii="仿宋" w:hAnsi="仿宋" w:eastAsia="仿宋" w:cs="仿宋"/>
          <w:b w:val="0"/>
          <w:bCs w:val="0"/>
        </w:rPr>
      </w:pPr>
      <w:r>
        <w:rPr>
          <w:rFonts w:hint="eastAsia" w:ascii="仿宋" w:hAnsi="仿宋" w:eastAsia="仿宋" w:cs="仿宋"/>
          <w:b w:val="0"/>
          <w:bCs w:val="0"/>
        </w:rPr>
        <w:t>（三）预算项目绩效自评选例</w:t>
      </w:r>
    </w:p>
    <w:p>
      <w:pPr>
        <w:numPr>
          <w:ilvl w:val="0"/>
          <w:numId w:val="0"/>
        </w:numPr>
        <w:adjustRightInd w:val="0"/>
        <w:snapToGrid w:val="0"/>
        <w:spacing w:line="580" w:lineRule="exact"/>
        <w:rPr>
          <w:rFonts w:hint="eastAsia" w:ascii="仿宋_GB2312" w:hAnsi="仿宋_GB2312" w:eastAsia="仿宋_GB2312" w:cs="仿宋_GB2312"/>
          <w:b w:val="0"/>
          <w:bCs w:val="0"/>
          <w:sz w:val="32"/>
          <w:szCs w:val="32"/>
          <w:lang w:val="en-US" w:eastAsia="zh-CN"/>
        </w:rPr>
      </w:pPr>
      <w:r>
        <w:rPr>
          <w:rFonts w:hint="eastAsia" w:ascii="仿宋" w:hAnsi="仿宋" w:eastAsia="仿宋" w:cs="仿宋"/>
          <w:b w:val="0"/>
          <w:bCs w:val="0"/>
          <w:kern w:val="2"/>
          <w:sz w:val="32"/>
          <w:szCs w:val="32"/>
          <w:lang w:val="en-US" w:eastAsia="zh-CN" w:bidi="ar-SA"/>
        </w:rPr>
        <w:t xml:space="preserve">     本单位无民生项目和重点支出项目。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305.33</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100.05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48.7</w:t>
      </w:r>
      <w:r>
        <w:rPr>
          <w:rFonts w:hint="eastAsia" w:ascii="仿宋_GB2312" w:hAnsi="Times New Roman" w:eastAsia="仿宋_GB2312" w:cs="DengXian-Regular"/>
          <w:sz w:val="32"/>
          <w:szCs w:val="32"/>
        </w:rPr>
        <w:t>%。主要原因是增加交通补贴</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通讯补贴</w:t>
      </w:r>
      <w:r>
        <w:rPr>
          <w:rFonts w:hint="eastAsia" w:ascii="仿宋_GB2312" w:hAnsi="Times New Roman" w:eastAsia="仿宋_GB2312" w:cs="DengXian-Regular"/>
          <w:sz w:val="32"/>
          <w:szCs w:val="32"/>
          <w:lang w:eastAsia="zh-CN"/>
        </w:rPr>
        <w:t>、劳务派遣人员工资</w:t>
      </w:r>
      <w:r>
        <w:rPr>
          <w:rFonts w:hint="eastAsia" w:ascii="仿宋_GB2312" w:hAnsi="Times New Roman" w:eastAsia="仿宋_GB2312" w:cs="DengXian-Regular"/>
          <w:sz w:val="32"/>
          <w:szCs w:val="32"/>
        </w:rPr>
        <w:t>以及物价上涨等因素导致运行经费增加。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151.45</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151.45</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19</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公车改革，车辆上交</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辆，其他用车主要是</w:t>
      </w:r>
      <w:r>
        <w:rPr>
          <w:rFonts w:hint="eastAsia" w:ascii="仿宋_GB2312" w:eastAsia="仿宋_GB2312" w:cs="DengXian-Regular"/>
          <w:sz w:val="32"/>
          <w:szCs w:val="32"/>
          <w:lang w:eastAsia="zh-CN"/>
        </w:rPr>
        <w:t>下乡用车。</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2018年度持平</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eastAsia="zh-CN"/>
        </w:rPr>
        <w:t>国有资本经营</w:t>
      </w:r>
      <w:r>
        <w:rPr>
          <w:rFonts w:hint="eastAsia" w:ascii="仿宋_GB2312" w:hAnsi="Times New Roman" w:eastAsia="仿宋_GB2312" w:cs="DengXian-Regular"/>
          <w:sz w:val="32"/>
          <w:szCs w:val="32"/>
        </w:rPr>
        <w:t>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72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72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72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rFonts w:ascii="等线" w:hAnsi="等线" w:eastAsia="等线" w:cs="黑体"/>
          <w:kern w:val="2"/>
          <w:sz w:val="72"/>
          <w:szCs w:val="22"/>
          <w:lang w:val="en-US" w:eastAsia="zh-CN" w:bidi="ar-SA"/>
        </w:rPr>
        <w:pict>
          <v:rect id="文本框 188" o:spid="_x0000_s1105" o:spt="1" style="position:absolute;left:0pt;margin-left:-80.45pt;margin-top:34.8pt;height:263.1pt;width:613.65pt;z-index:251669504;mso-width-relative:page;mso-height-relative:page;" fillcolor="#FFD966" filled="t" o:preferrelative="t" stroked="t" coordsize="21600,21600">
            <v:path/>
            <v:fill type="pattern" on="t" color2="#FFFFFF" o:opacity2="65536f" focussize="0,0" r:id="rId28"/>
            <v:stroke weight="0.5pt" color="#FFD966" color2="#FFFFFF" miterlimit="2"/>
            <v:imagedata gain="65536f" blacklevel="0f" gamma="0" o:title=""/>
            <o:lock v:ext="edit" position="f" selection="f" grouping="f" rotation="f" cropping="f" text="f" aspectratio="f"/>
            <v:textbox>
              <w:txbxContent>
                <w:p>
                  <w:pPr>
                    <w:widowControl/>
                    <w:jc w:val="center"/>
                  </w:pPr>
                  <w:r>
                    <w:rPr>
                      <w:rFonts w:hint="eastAsia" w:ascii="黑体" w:hAnsi="黑体" w:eastAsia="黑体" w:cs="黑体"/>
                      <w:color w:val="000000"/>
                      <w:sz w:val="90"/>
                      <w:szCs w:val="90"/>
                    </w:rPr>
                    <w:t>第三部分 相关名词解释</w:t>
                  </w:r>
                </w:p>
              </w:txbxContent>
            </v:textbox>
          </v:rect>
        </w:pic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72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720"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720" w:num="1"/>
          <w:docGrid w:type="lines" w:linePitch="312" w:charSpace="0"/>
        </w:sectPr>
      </w:pPr>
      <w:r>
        <w:rPr>
          <w:rFonts w:ascii="等线" w:hAnsi="等线" w:eastAsia="等线" w:cs="黑体"/>
          <w:kern w:val="2"/>
          <w:sz w:val="72"/>
          <w:szCs w:val="22"/>
          <w:lang w:val="en-US" w:eastAsia="zh-CN" w:bidi="ar-SA"/>
        </w:rPr>
        <w:pict>
          <v:rect id="文本框 229" o:spid="_x0000_s1106" o:spt="1" style="position:absolute;left:0pt;margin-left:-82.05pt;margin-top:111.85pt;height:263.1pt;width:613.65pt;z-index:251670528;mso-width-relative:page;mso-height-relative:page;" fillcolor="#FFD966" filled="t" o:preferrelative="t" stroked="t" coordsize="21600,21600">
            <v:path/>
            <v:fill type="pattern" on="t" color2="#FFFFFF" o:opacity2="65536f" focussize="0,0" r:id="rId28"/>
            <v:stroke weight="0.5pt" color="#FFD966" color2="#FFFFFF" miterlimit="2"/>
            <v:imagedata gain="65536f" blacklevel="0f" gamma="0" o:title=""/>
            <o:lock v:ext="edit" position="f" selection="f" grouping="f" rotation="f" cropping="f" text="f" aspectratio="f"/>
            <v:textbox>
              <w:txbxContent>
                <w:p>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pPr>
                    <w:widowControl/>
                    <w:jc w:val="center"/>
                  </w:pPr>
                  <w:r>
                    <w:rPr>
                      <w:rFonts w:hint="eastAsia" w:ascii="黑体" w:hAnsi="黑体" w:eastAsia="黑体" w:cs="黑体"/>
                      <w:color w:val="000000"/>
                      <w:sz w:val="90"/>
                      <w:szCs w:val="90"/>
                    </w:rPr>
                    <w:t>2019年度部门决算报表</w:t>
                  </w:r>
                </w:p>
              </w:txbxContent>
            </v:textbox>
          </v:rect>
        </w:pict>
      </w:r>
    </w:p>
    <w:p>
      <w:pPr>
        <w:tabs>
          <w:tab w:val="left" w:pos="886"/>
        </w:tabs>
        <w:jc w:val="left"/>
      </w:pPr>
    </w:p>
    <w:p>
      <w:pPr>
        <w:jc w:val="left"/>
      </w:pPr>
    </w:p>
    <w:tbl>
      <w:tblPr>
        <w:tblStyle w:val="7"/>
        <w:tblW w:w="95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5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jc w:val="center"/>
        </w:trPr>
        <w:tc>
          <w:tcPr>
            <w:tcW w:w="9580" w:type="dxa"/>
            <w:tcBorders>
              <w:top w:val="nil"/>
              <w:left w:val="nil"/>
              <w:bottom w:val="nil"/>
              <w:right w:val="nil"/>
            </w:tcBorders>
            <w:tcMar>
              <w:top w:w="15" w:type="dxa"/>
              <w:left w:w="15" w:type="dxa"/>
              <w:right w:w="15" w:type="dxa"/>
            </w:tcMar>
            <w:vAlign w:val="bottom"/>
          </w:tcPr>
          <w:tbl>
            <w:tblPr>
              <w:tblStyle w:val="7"/>
              <w:tblW w:w="95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295"/>
              <w:gridCol w:w="467"/>
              <w:gridCol w:w="1012"/>
              <w:gridCol w:w="3296"/>
              <w:gridCol w:w="467"/>
              <w:gridCol w:w="10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jc w:val="center"/>
              </w:trPr>
              <w:tc>
                <w:tcPr>
                  <w:tcW w:w="9550" w:type="dxa"/>
                  <w:gridSpan w:val="6"/>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center"/>
                    <w:textAlignment w:val="bottom"/>
                    <w:rPr>
                      <w:rFonts w:hint="eastAsia" w:ascii="宋体" w:hAnsi="宋体" w:eastAsia="宋体" w:cs="宋体"/>
                      <w:i w:val="0"/>
                      <w:color w:val="000000"/>
                      <w:sz w:val="30"/>
                      <w:szCs w:val="30"/>
                      <w:u w:val="none"/>
                    </w:rPr>
                  </w:pPr>
                  <w:r>
                    <w:rPr>
                      <w:rFonts w:hint="eastAsia" w:ascii="黑体" w:hAnsi="黑体" w:eastAsia="黑体" w:cs="黑体"/>
                      <w:i w:val="0"/>
                      <w:color w:val="000000"/>
                      <w:kern w:val="0"/>
                      <w:sz w:val="32"/>
                      <w:szCs w:val="32"/>
                      <w:u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329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eastAsia" w:ascii="Arial" w:hAnsi="Arial" w:eastAsia="Times New Roman" w:cs="Arial"/>
                      <w:i w:val="0"/>
                      <w:color w:val="000000"/>
                      <w:sz w:val="20"/>
                      <w:szCs w:val="20"/>
                      <w:u w:val="none"/>
                    </w:rPr>
                  </w:pPr>
                </w:p>
              </w:tc>
              <w:tc>
                <w:tcPr>
                  <w:tcW w:w="467"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1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4776"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74" w:type="dxa"/>
                  <w:gridSpan w:val="3"/>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部门：石家庄市鹿泉区农业农村局（汇总）</w:t>
                  </w:r>
                </w:p>
              </w:tc>
              <w:tc>
                <w:tcPr>
                  <w:tcW w:w="4776"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4774"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收入</w:t>
                  </w:r>
                </w:p>
              </w:tc>
              <w:tc>
                <w:tcPr>
                  <w:tcW w:w="4776"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行次</w:t>
                  </w: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项目</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行次</w:t>
                  </w:r>
                </w:p>
              </w:tc>
              <w:tc>
                <w:tcPr>
                  <w:tcW w:w="10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栏次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0"/>
                      <w:szCs w:val="20"/>
                      <w:u w:val="none"/>
                    </w:rPr>
                  </w:pPr>
                </w:p>
              </w:tc>
              <w:tc>
                <w:tcPr>
                  <w:tcW w:w="10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栏次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0"/>
                      <w:szCs w:val="20"/>
                      <w:u w:val="none"/>
                    </w:rPr>
                  </w:pPr>
                </w:p>
              </w:tc>
              <w:tc>
                <w:tcPr>
                  <w:tcW w:w="101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一、一般公共预算财政拨款收入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14,378.36</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一、一般公共服务支出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29</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272.42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二、政府性基金预算财政拨款收入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二、外交支出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30</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三、上级补助收入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三、国防支出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四、事业收入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四、公共安全支出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32</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五、经营收入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五、教育支出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33</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189.90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六、附属单位上缴收入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六、科学技术支出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34</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七、其他收入</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7</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659.83</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七、文化旅游体育与传媒支出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35</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八、社会保障和就业支出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36</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316.50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9</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九、卫生健康支出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37</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204.33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十、节能环保支出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38</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627.78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11</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十一、城乡社区支出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39</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十二、农林水支出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40</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16,156.71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十三、交通运输支出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41</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14</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十四、资源勘探信息等支出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42</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十五、商业服务业等支出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43</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16</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十六、金融支出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44</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十七、援助其他地区支出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45</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十八、自然资源海洋气象等支出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46</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19</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十九、住房保障支出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47</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173.23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20</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二十、粮油物资储备支出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48</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21</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二十一、灾害防治及应急管理支出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49</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22</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二十二、其他支出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50</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23</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二十四、债务付息支出</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51</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本年收入合计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24</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15,078.19</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本年支出合计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52</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18,941.02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用事业基金弥补收支差额</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25</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结余分配</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53</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年初结转和结余</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26</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12,421.57</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年末结转和结余</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54</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8,558.74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0"/>
                      <w:szCs w:val="20"/>
                      <w:u w:val="none"/>
                    </w:rPr>
                  </w:pP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55</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4" w:hRule="atLeast"/>
                <w:jc w:val="center"/>
              </w:trPr>
              <w:tc>
                <w:tcPr>
                  <w:tcW w:w="329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总计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28</w:t>
                  </w:r>
                </w:p>
              </w:tc>
              <w:tc>
                <w:tcPr>
                  <w:tcW w:w="10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27,499.76</w:t>
                  </w:r>
                </w:p>
              </w:tc>
              <w:tc>
                <w:tcPr>
                  <w:tcW w:w="329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20"/>
                      <w:szCs w:val="20"/>
                      <w:u w:val="none"/>
                    </w:rPr>
                  </w:pPr>
                  <w:r>
                    <w:rPr>
                      <w:rFonts w:hint="eastAsia" w:ascii="宋体" w:hAnsi="宋体" w:eastAsia="宋体" w:cs="宋体"/>
                      <w:b/>
                      <w:i w:val="0"/>
                      <w:color w:val="000000"/>
                      <w:kern w:val="0"/>
                      <w:sz w:val="20"/>
                      <w:szCs w:val="20"/>
                      <w:u w:val="none"/>
                      <w:lang w:val="en-US" w:eastAsia="zh-CN"/>
                    </w:rPr>
                    <w:t>总计</w:t>
                  </w:r>
                </w:p>
              </w:tc>
              <w:tc>
                <w:tcPr>
                  <w:tcW w:w="46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56</w:t>
                  </w:r>
                </w:p>
              </w:tc>
              <w:tc>
                <w:tcPr>
                  <w:tcW w:w="101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27,499.76</w:t>
                  </w:r>
                </w:p>
              </w:tc>
            </w:tr>
          </w:tbl>
          <w:p>
            <w:pPr>
              <w:spacing w:before="0" w:beforeAutospacing="0" w:after="0" w:afterAutospacing="0"/>
              <w:ind w:left="0" w:right="0"/>
              <w:rPr>
                <w:rFonts w:hint="default" w:ascii="Times New Roman" w:hAnsi="Times New Roman" w:eastAsia="Times New Roman" w:cs="Times New Roman"/>
                <w:sz w:val="20"/>
                <w:szCs w:val="20"/>
              </w:rPr>
            </w:pPr>
            <w:r>
              <w:rPr>
                <w:rFonts w:hint="eastAsia" w:ascii="宋体" w:hAnsi="宋体" w:eastAsia="宋体" w:cs="宋体"/>
                <w:color w:val="000000"/>
                <w:kern w:val="0"/>
                <w:sz w:val="20"/>
                <w:szCs w:val="20"/>
              </w:rPr>
              <w:t>注：本表反映部门本年度一般公共预算财政拨款和政府性基金预算财政拨款的总收支和年末结转结余情况。</w:t>
            </w:r>
          </w:p>
          <w:p>
            <w:pPr>
              <w:widowControl/>
              <w:spacing w:before="0" w:beforeAutospacing="0" w:after="0" w:afterAutospacing="0"/>
              <w:ind w:left="0" w:right="0"/>
              <w:jc w:val="center"/>
              <w:textAlignment w:val="bottom"/>
              <w:rPr>
                <w:rFonts w:hint="default" w:ascii="黑体" w:hAnsi="宋体" w:eastAsia="黑体" w:cs="黑体"/>
                <w:color w:val="000000"/>
                <w:kern w:val="0"/>
                <w:sz w:val="32"/>
                <w:szCs w:val="32"/>
              </w:rPr>
            </w:pPr>
          </w:p>
          <w:tbl>
            <w:tblPr>
              <w:tblStyle w:val="7"/>
              <w:tblW w:w="889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62"/>
              <w:gridCol w:w="91"/>
              <w:gridCol w:w="231"/>
              <w:gridCol w:w="2229"/>
              <w:gridCol w:w="1171"/>
              <w:gridCol w:w="1070"/>
              <w:gridCol w:w="630"/>
              <w:gridCol w:w="633"/>
              <w:gridCol w:w="549"/>
              <w:gridCol w:w="512"/>
              <w:gridCol w:w="7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2" w:hRule="atLeast"/>
                <w:jc w:val="center"/>
              </w:trPr>
              <w:tc>
                <w:tcPr>
                  <w:tcW w:w="106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eastAsia" w:ascii="Arial" w:hAnsi="Arial" w:eastAsia="Times New Roman" w:cs="Arial"/>
                      <w:i w:val="0"/>
                      <w:color w:val="000000"/>
                      <w:sz w:val="20"/>
                      <w:szCs w:val="20"/>
                      <w:u w:val="none"/>
                    </w:rPr>
                  </w:pPr>
                </w:p>
              </w:tc>
              <w:tc>
                <w:tcPr>
                  <w:tcW w:w="7837" w:type="dxa"/>
                  <w:gridSpan w:val="10"/>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3" w:hRule="atLeast"/>
                <w:jc w:val="center"/>
              </w:trPr>
              <w:tc>
                <w:tcPr>
                  <w:tcW w:w="106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3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22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17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7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3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33"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782"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3" w:hRule="atLeast"/>
                <w:jc w:val="center"/>
              </w:trPr>
              <w:tc>
                <w:tcPr>
                  <w:tcW w:w="3613" w:type="dxa"/>
                  <w:gridSpan w:val="4"/>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部门：石家庄市鹿泉区农业农村局（汇总）</w:t>
                  </w:r>
                </w:p>
              </w:tc>
              <w:tc>
                <w:tcPr>
                  <w:tcW w:w="117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7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3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415" w:type="dxa"/>
                  <w:gridSpan w:val="4"/>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3613"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117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本年收入合计</w:t>
                  </w:r>
                </w:p>
              </w:tc>
              <w:tc>
                <w:tcPr>
                  <w:tcW w:w="107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财政拨款收入</w:t>
                  </w:r>
                </w:p>
              </w:tc>
              <w:tc>
                <w:tcPr>
                  <w:tcW w:w="6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上级补助收入</w:t>
                  </w:r>
                </w:p>
              </w:tc>
              <w:tc>
                <w:tcPr>
                  <w:tcW w:w="633"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事业收入</w:t>
                  </w:r>
                </w:p>
              </w:tc>
              <w:tc>
                <w:tcPr>
                  <w:tcW w:w="54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经营收入</w:t>
                  </w:r>
                </w:p>
              </w:tc>
              <w:tc>
                <w:tcPr>
                  <w:tcW w:w="512"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附属单位上缴收入</w:t>
                  </w:r>
                </w:p>
              </w:tc>
              <w:tc>
                <w:tcPr>
                  <w:tcW w:w="72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84"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222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17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84"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22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7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84"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22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7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33"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4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12"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361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17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0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6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63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5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51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c>
                <w:tcPr>
                  <w:tcW w:w="72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3613"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15,078.19</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14,418.36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659.83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一般公共服务支出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364.77</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364.77</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财政事务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2010602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党委办公厅（室）及相关机构事务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344.77</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344.77</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344.77</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344.77</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教育支出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进修及培训</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2050802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干部教育</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186.98</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社会保障和就业支出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342.53</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342.53</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行政事业单位离退休</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333.61</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333.61</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328.14</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328.14</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2080506</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机关事业单位职业年金缴费支出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5.47</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5.47</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退役安置</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退役士兵安置</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卫生健康支出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218.11</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218.11</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行政事业单位医疗</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218.11</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218.11</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行政单位医疗</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130.81</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130.81</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事业单位医疗</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87.30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87.30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节能环保支出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污染防治</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大气</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城乡社区公共设施</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2120399</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其他城乡社区公共设施支出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国有土地使用权出让收入及对应专项债务收入安排的支出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2120804</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农林水支出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12,415.49</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11,755.66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农业</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11,052.93</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10,393.10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659.83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1,335.22</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1,335.22</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2130104</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事业运行</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1,128.18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1,128.18</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2130106</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科技转化与推广服务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1,498.86</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1,496.09</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2130108</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病虫害控制</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351.48</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210.26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2130109</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农产品质量安全</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111.86</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111.86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2130110</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执法监管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统计监测与信息服务</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农业结构调整补贴</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246.00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246.00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农业生产支持补贴</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740.01</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598.00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142.01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2130124</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农业组织化与产业化经营</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535.45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535.45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农产品加工与促销</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2130126</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农村公益事业</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2,438.89</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2,433.89</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2130135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农业资源保护修复与利用</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43.32</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43.32</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2130148</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成品油价格改革对渔业的补贴</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231.00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231.00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2130199</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其他农业支出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2,199.72</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1,830.89</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368.83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扶贫</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2130504</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2130599</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其他扶贫支出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农村综合改革</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2130705</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对村民委员会和村党支部的补助</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1"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2130706</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对村集体经济组织的补助</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住房保障支出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住房改革支出</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138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2210201</w:t>
                  </w:r>
                </w:p>
              </w:tc>
              <w:tc>
                <w:tcPr>
                  <w:tcW w:w="222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17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10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175.25</w:t>
                  </w:r>
                </w:p>
              </w:tc>
              <w:tc>
                <w:tcPr>
                  <w:tcW w:w="6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33"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4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1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8899" w:type="dxa"/>
                  <w:gridSpan w:val="11"/>
                  <w:tcBorders>
                    <w:top w:val="nil"/>
                    <w:left w:val="nil"/>
                    <w:bottom w:val="nil"/>
                    <w:right w:val="nil"/>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注：本表反映部门本年度取得的各项收入情况。</w:t>
                  </w:r>
                </w:p>
              </w:tc>
            </w:tr>
          </w:tbl>
          <w:p>
            <w:pPr>
              <w:widowControl/>
              <w:spacing w:before="0" w:beforeAutospacing="0" w:after="0" w:afterAutospacing="0"/>
              <w:ind w:left="0" w:right="0"/>
              <w:jc w:val="center"/>
              <w:textAlignment w:val="bottom"/>
              <w:rPr>
                <w:rFonts w:hint="default" w:ascii="黑体" w:hAnsi="宋体" w:eastAsia="黑体" w:cs="黑体"/>
                <w:color w:val="000000"/>
                <w:sz w:val="32"/>
                <w:szCs w:val="32"/>
              </w:rPr>
            </w:pPr>
          </w:p>
        </w:tc>
      </w:tr>
    </w:tbl>
    <w:p>
      <w:pPr>
        <w:jc w:val="left"/>
      </w:pPr>
    </w:p>
    <w:p>
      <w:r>
        <w:br w:type="page"/>
      </w:r>
    </w:p>
    <w:tbl>
      <w:tblPr>
        <w:tblStyle w:val="7"/>
        <w:tblW w:w="96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6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2" w:hRule="atLeast"/>
          <w:jc w:val="center"/>
        </w:trPr>
        <w:tc>
          <w:tcPr>
            <w:tcW w:w="9680" w:type="dxa"/>
            <w:tcBorders>
              <w:top w:val="nil"/>
              <w:left w:val="nil"/>
              <w:bottom w:val="nil"/>
              <w:right w:val="nil"/>
            </w:tcBorders>
            <w:tcMar>
              <w:top w:w="15" w:type="dxa"/>
              <w:left w:w="15" w:type="dxa"/>
              <w:right w:w="15" w:type="dxa"/>
            </w:tcMar>
            <w:vAlign w:val="center"/>
          </w:tcPr>
          <w:tbl>
            <w:tblPr>
              <w:tblStyle w:val="7"/>
              <w:tblW w:w="94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25"/>
              <w:gridCol w:w="2940"/>
              <w:gridCol w:w="1089"/>
              <w:gridCol w:w="1030"/>
              <w:gridCol w:w="1134"/>
              <w:gridCol w:w="821"/>
              <w:gridCol w:w="791"/>
              <w:gridCol w:w="6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9" w:hRule="atLeast"/>
                <w:jc w:val="center"/>
              </w:trPr>
              <w:tc>
                <w:tcPr>
                  <w:tcW w:w="9420" w:type="dxa"/>
                  <w:gridSpan w:val="8"/>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2"/>
                      <w:szCs w:val="32"/>
                      <w:u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92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eastAsia" w:ascii="Arial" w:hAnsi="Arial" w:eastAsia="Times New Roman" w:cs="Arial"/>
                      <w:i w:val="0"/>
                      <w:color w:val="000000"/>
                      <w:sz w:val="20"/>
                      <w:szCs w:val="20"/>
                      <w:u w:val="none"/>
                    </w:rPr>
                  </w:pPr>
                </w:p>
              </w:tc>
              <w:tc>
                <w:tcPr>
                  <w:tcW w:w="294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8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3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13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302"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2" w:hRule="atLeast"/>
                <w:jc w:val="center"/>
              </w:trPr>
              <w:tc>
                <w:tcPr>
                  <w:tcW w:w="3865" w:type="dxa"/>
                  <w:gridSpan w:val="2"/>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部门：石家庄市鹿泉区农业农村局（汇总）</w:t>
                  </w:r>
                </w:p>
              </w:tc>
              <w:tc>
                <w:tcPr>
                  <w:tcW w:w="108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3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3436" w:type="dxa"/>
                  <w:gridSpan w:val="4"/>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3865" w:type="dxa"/>
                  <w:gridSpan w:val="2"/>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108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本年支出合计</w:t>
                  </w:r>
                </w:p>
              </w:tc>
              <w:tc>
                <w:tcPr>
                  <w:tcW w:w="10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113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c>
                <w:tcPr>
                  <w:tcW w:w="82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上缴上级支出</w:t>
                  </w:r>
                </w:p>
              </w:tc>
              <w:tc>
                <w:tcPr>
                  <w:tcW w:w="791"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经营支出</w:t>
                  </w:r>
                </w:p>
              </w:tc>
              <w:tc>
                <w:tcPr>
                  <w:tcW w:w="69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25"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29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08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8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2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9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8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8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925"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9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8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3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82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386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08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0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113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82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7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69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386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18,941.02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3,730.52</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15,210.50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nil"/>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一般公共服务支出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272.42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财政事务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8"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党委办公厅（室）及相关机构事务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公共安全支出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公安</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2040201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教育支出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189.90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189.90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广播电视教育</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2050501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广播电视学校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进修及培训</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干部教育</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社会保障和就业支出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316.50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行政事业单位离退休</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8"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退役安置</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退役士兵安置</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卫生健康支出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行政事业单位医疗</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行政单位医疗</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131.59</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131.59</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事业单位医疗</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72.75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72.75</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节能环保支出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污染防治</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大气</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水体</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城乡社区公共设施</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2120399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其他城乡社区公共设施支出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农林水支出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16,156.71</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2,602.90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13,553.81</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农业</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14,794.15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2,602.90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12,191.25</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1,440.52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1,440.52</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2130104</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事业运行</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1,155.23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1,155.23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2130106</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科技转化与推广服务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1,024.47</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1,024.47</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2130108</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病虫害控制</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353.55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353.55</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农产品质量安全</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117.72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117.72</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2130110</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执法监管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7.15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7.15</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统计监测与信息服务</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防灾救灾</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0.69</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0.69</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农业结构调整补贴</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农业生产支持补贴</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262.01</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262.01</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2130124</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农业组织化与产业化经营</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224.75</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224.75</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农产品加工与促销</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2130126</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农村公益事业</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6,532.77</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6,532.77</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2130135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农业资源保护修复与利用</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42.18</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42.18</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8"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2130148</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成品油价格改革对渔业的补贴</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2130199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其他农业支出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1,995.32</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1,995.32</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扶贫</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2130504</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2130599</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其他扶贫支出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农村综合改革</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8"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2130705</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对村民委员会和村党支部的补助</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2130706</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对村集体经济组织的补助</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住房保障支出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住房改革支出</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25"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2210201</w:t>
                  </w:r>
                </w:p>
              </w:tc>
              <w:tc>
                <w:tcPr>
                  <w:tcW w:w="29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0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82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9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1" w:hRule="atLeast"/>
                <w:jc w:val="center"/>
              </w:trPr>
              <w:tc>
                <w:tcPr>
                  <w:tcW w:w="9420" w:type="dxa"/>
                  <w:gridSpan w:val="8"/>
                  <w:tcBorders>
                    <w:top w:val="nil"/>
                    <w:left w:val="nil"/>
                    <w:bottom w:val="nil"/>
                    <w:right w:val="nil"/>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注：本表反映部门本年度各项支出情况。</w:t>
                  </w:r>
                </w:p>
              </w:tc>
            </w:tr>
          </w:tbl>
          <w:p>
            <w:pPr>
              <w:widowControl/>
              <w:spacing w:before="0" w:beforeAutospacing="0" w:after="0" w:afterAutospacing="0"/>
              <w:ind w:left="0" w:right="0"/>
              <w:jc w:val="center"/>
              <w:textAlignment w:val="center"/>
              <w:rPr>
                <w:rFonts w:hint="default" w:ascii="黑体" w:hAnsi="宋体" w:eastAsia="黑体" w:cs="黑体"/>
                <w:color w:val="000000"/>
                <w:sz w:val="32"/>
                <w:szCs w:val="32"/>
              </w:rPr>
            </w:pPr>
          </w:p>
        </w:tc>
      </w:tr>
    </w:tbl>
    <w:p>
      <w:r>
        <w:br w:type="page"/>
      </w:r>
    </w:p>
    <w:tbl>
      <w:tblPr>
        <w:tblStyle w:val="7"/>
        <w:tblW w:w="101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686"/>
        <w:gridCol w:w="502"/>
        <w:gridCol w:w="1124"/>
        <w:gridCol w:w="2492"/>
        <w:gridCol w:w="537"/>
        <w:gridCol w:w="970"/>
        <w:gridCol w:w="1089"/>
        <w:gridCol w:w="7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jc w:val="center"/>
        </w:trPr>
        <w:tc>
          <w:tcPr>
            <w:tcW w:w="10180" w:type="dxa"/>
            <w:gridSpan w:val="8"/>
            <w:tcBorders>
              <w:top w:val="nil"/>
              <w:left w:val="nil"/>
              <w:bottom w:val="nil"/>
              <w:right w:val="nil"/>
            </w:tcBorders>
            <w:tcMar>
              <w:top w:w="15" w:type="dxa"/>
              <w:left w:w="15" w:type="dxa"/>
              <w:right w:w="15" w:type="dxa"/>
            </w:tcMar>
            <w:vAlign w:val="bottom"/>
          </w:tcPr>
          <w:p>
            <w:pPr>
              <w:spacing w:before="0" w:beforeAutospacing="0" w:after="0" w:afterAutospacing="0"/>
              <w:ind w:left="0" w:right="0"/>
              <w:jc w:val="center"/>
              <w:rPr>
                <w:rFonts w:hint="default" w:ascii="Arial" w:hAnsi="Arial" w:eastAsia="Times New Roman" w:cs="Arial"/>
                <w:i w:val="0"/>
                <w:color w:val="000000"/>
                <w:sz w:val="32"/>
                <w:szCs w:val="32"/>
                <w:u w:val="none"/>
              </w:rPr>
            </w:pPr>
            <w:r>
              <w:rPr>
                <w:rFonts w:hint="eastAsia" w:ascii="宋体" w:hAnsi="宋体" w:eastAsia="宋体" w:cs="宋体"/>
                <w:i w:val="0"/>
                <w:color w:val="000000"/>
                <w:kern w:val="0"/>
                <w:sz w:val="32"/>
                <w:szCs w:val="32"/>
                <w:u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2" w:hRule="atLeast"/>
          <w:jc w:val="center"/>
        </w:trPr>
        <w:tc>
          <w:tcPr>
            <w:tcW w:w="2686"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50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12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49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3376" w:type="dxa"/>
            <w:gridSpan w:val="4"/>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7" w:hRule="atLeast"/>
          <w:jc w:val="center"/>
        </w:trPr>
        <w:tc>
          <w:tcPr>
            <w:tcW w:w="6804" w:type="dxa"/>
            <w:gridSpan w:val="4"/>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18"/>
                <w:szCs w:val="18"/>
                <w:u w:val="none"/>
                <w:lang w:val="en-US" w:eastAsia="zh-CN"/>
              </w:rPr>
              <w:t>部门：石家庄市鹿泉区农业农村局（汇总）</w:t>
            </w:r>
          </w:p>
        </w:tc>
        <w:tc>
          <w:tcPr>
            <w:tcW w:w="537"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18"/>
                <w:szCs w:val="18"/>
                <w:u w:val="none"/>
              </w:rPr>
            </w:pPr>
          </w:p>
        </w:tc>
        <w:tc>
          <w:tcPr>
            <w:tcW w:w="2839"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4312"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收     入</w:t>
            </w:r>
          </w:p>
        </w:tc>
        <w:tc>
          <w:tcPr>
            <w:tcW w:w="5868" w:type="dxa"/>
            <w:gridSpan w:val="5"/>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686"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项目</w:t>
            </w:r>
          </w:p>
        </w:tc>
        <w:tc>
          <w:tcPr>
            <w:tcW w:w="50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行次</w:t>
            </w:r>
          </w:p>
        </w:tc>
        <w:tc>
          <w:tcPr>
            <w:tcW w:w="112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w:t>
            </w:r>
          </w:p>
        </w:tc>
        <w:tc>
          <w:tcPr>
            <w:tcW w:w="249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项目</w:t>
            </w:r>
          </w:p>
        </w:tc>
        <w:tc>
          <w:tcPr>
            <w:tcW w:w="537"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行次</w:t>
            </w:r>
          </w:p>
        </w:tc>
        <w:tc>
          <w:tcPr>
            <w:tcW w:w="9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合计</w:t>
            </w:r>
          </w:p>
        </w:tc>
        <w:tc>
          <w:tcPr>
            <w:tcW w:w="108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一般公共预算财政拨款</w:t>
            </w:r>
          </w:p>
        </w:tc>
        <w:tc>
          <w:tcPr>
            <w:tcW w:w="78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政府性基金预算财政拨款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2" w:hRule="atLeast"/>
          <w:jc w:val="center"/>
        </w:trPr>
        <w:tc>
          <w:tcPr>
            <w:tcW w:w="2686"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50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112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249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537"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9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108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78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栏次</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112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栏次</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18"/>
                <w:szCs w:val="18"/>
                <w:u w:val="none"/>
              </w:rPr>
            </w:pPr>
          </w:p>
        </w:tc>
        <w:tc>
          <w:tcPr>
            <w:tcW w:w="9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w:t>
            </w:r>
          </w:p>
        </w:tc>
        <w:tc>
          <w:tcPr>
            <w:tcW w:w="108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w:t>
            </w:r>
          </w:p>
        </w:tc>
        <w:tc>
          <w:tcPr>
            <w:tcW w:w="78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一、一般公共预算财政拨款</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14,378.36</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一、一般公共服务支出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272.42</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272.42</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二、政府性基金预算财政拨款</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二、外交支出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31</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三、国防支出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32</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四、公共安全支出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33</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0.15</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0.15</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五、教育支出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34</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189.90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189.90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6</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六、科学技术支出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35</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7</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七、文化旅游体育与传媒支出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36</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八、社会保障和就业支出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37</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316.50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316.50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9</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九、卫生健康支出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38</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204.33</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204.33</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十、节能环保支出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39</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627.78</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627.78</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11</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十一、城乡社区支出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1,000.00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1,000.00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十二、农林水支出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41</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15,496.89</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15,496.89</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13</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十三、交通运输支出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42</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14</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十四、资源勘探信息等支出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43</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15</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十五、商业服务业等支出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44</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16</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十六、金融支出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45</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17</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十七、援助其他地区支出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46</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十八、自然资源海洋气象等支出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47</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19</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十九、住房保障支出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48</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173.23</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173.23</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20</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二十、粮油物资储备支出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49</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21</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二十一、灾害防治及应急管理支出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50</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22</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二十二、其他支出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51</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23</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二十四、债务付息支出</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52</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本年收入合计</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24</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14,418.36</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本年支出合计</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53</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18,281.19</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18,281.19</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年初财政拨款结转和结余</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25</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12,421.57</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年末财政拨款结转和结余</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54</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8,558.74</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8,518.74</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一、一般公共预算财政拨款</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26</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12,421.57</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55</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二、政府性基金预算财政拨款</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27</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0.00</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56</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28</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18"/>
                <w:szCs w:val="18"/>
                <w:u w:val="none"/>
              </w:rPr>
            </w:pP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57</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jc w:val="center"/>
        </w:trPr>
        <w:tc>
          <w:tcPr>
            <w:tcW w:w="2686"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总计</w:t>
            </w:r>
          </w:p>
        </w:tc>
        <w:tc>
          <w:tcPr>
            <w:tcW w:w="50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29</w:t>
            </w:r>
          </w:p>
        </w:tc>
        <w:tc>
          <w:tcPr>
            <w:tcW w:w="11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26,839.93</w:t>
            </w:r>
          </w:p>
        </w:tc>
        <w:tc>
          <w:tcPr>
            <w:tcW w:w="249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rPr>
              <w:t>总计</w:t>
            </w:r>
          </w:p>
        </w:tc>
        <w:tc>
          <w:tcPr>
            <w:tcW w:w="53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58</w:t>
            </w:r>
          </w:p>
        </w:tc>
        <w:tc>
          <w:tcPr>
            <w:tcW w:w="9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26,839.93</w:t>
            </w:r>
          </w:p>
        </w:tc>
        <w:tc>
          <w:tcPr>
            <w:tcW w:w="10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26,799.93</w:t>
            </w:r>
          </w:p>
        </w:tc>
        <w:tc>
          <w:tcPr>
            <w:tcW w:w="78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7" w:hRule="atLeast"/>
          <w:jc w:val="center"/>
        </w:trPr>
        <w:tc>
          <w:tcPr>
            <w:tcW w:w="10180" w:type="dxa"/>
            <w:gridSpan w:val="8"/>
            <w:tcBorders>
              <w:top w:val="nil"/>
              <w:left w:val="nil"/>
              <w:bottom w:val="nil"/>
              <w:right w:val="nil"/>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注：本表反映部门本年度一般公共预算财政拨款和政府性基金预算财政拨款的总收支和年末结转结余情况。</w:t>
            </w:r>
          </w:p>
        </w:tc>
      </w:tr>
    </w:tbl>
    <w:p>
      <w:r>
        <w:br w:type="page"/>
      </w:r>
    </w:p>
    <w:tbl>
      <w:tblPr>
        <w:tblStyle w:val="7"/>
        <w:tblW w:w="83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58"/>
        <w:gridCol w:w="3855"/>
        <w:gridCol w:w="1140"/>
        <w:gridCol w:w="1151"/>
        <w:gridCol w:w="12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8336" w:type="dxa"/>
            <w:gridSpan w:val="5"/>
            <w:tcBorders>
              <w:top w:val="nil"/>
              <w:left w:val="nil"/>
              <w:bottom w:val="nil"/>
              <w:right w:val="nil"/>
            </w:tcBorders>
            <w:tcMar>
              <w:top w:w="15" w:type="dxa"/>
              <w:left w:w="15" w:type="dxa"/>
              <w:right w:w="15" w:type="dxa"/>
            </w:tcMar>
            <w:vAlign w:val="bottom"/>
          </w:tcPr>
          <w:p>
            <w:pPr>
              <w:spacing w:before="0" w:beforeAutospacing="0" w:after="0" w:afterAutospacing="0"/>
              <w:ind w:left="0" w:right="0"/>
              <w:jc w:val="center"/>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32"/>
                <w:szCs w:val="32"/>
                <w:u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95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385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14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383" w:type="dxa"/>
            <w:gridSpan w:val="2"/>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813" w:type="dxa"/>
            <w:gridSpan w:val="2"/>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部门：石家庄市鹿泉区农业农村局（汇总）</w:t>
            </w:r>
          </w:p>
        </w:tc>
        <w:tc>
          <w:tcPr>
            <w:tcW w:w="114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383" w:type="dxa"/>
            <w:gridSpan w:val="2"/>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13" w:type="dxa"/>
            <w:gridSpan w:val="2"/>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3523"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385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1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115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123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7" w:hRule="atLeast"/>
        </w:trPr>
        <w:tc>
          <w:tcPr>
            <w:tcW w:w="958"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38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5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38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15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13"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1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11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1232"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13"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18,281.19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3,730.52</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14,550.67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一般公共服务支出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272.42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财政事务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2010602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党委办公厅（室）及相关机构事务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2013101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252.42</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公共安全支出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公安</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2040201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0.15</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教育支出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189.90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189.90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广播电视教育</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2050501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广播电视学校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2.69</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进修及培训</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2050802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干部教育</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187.21</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社会保障和就业支出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316.50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行政事业单位离退休</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2080505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307.58</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退役安置</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2080901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退役士兵安置</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卫生健康支出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行政事业单位医疗</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204.33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行政单位医疗</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131.59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131.59</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2101102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事业单位医疗</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72.75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72.75</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节能环保支出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污染防治</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627.78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大气</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2110302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水体</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292.73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城乡社区公共设施</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2120399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其他城乡社区公共设施支出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农林水支出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15,496.89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2,602.90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12,893.98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农业</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14,134.32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2,602.90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11,531.42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行政运行</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1,440.52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1,440.52</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一般行政管理事务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2130104</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事业运行</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1,155.23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1,155.23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2130106</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科技转化与推广服务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1,021.69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1,021.69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2130108</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病虫害控制</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212.34</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212.34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2130109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农产品质量安全</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117.72</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2130110</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执法监管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7.15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7.15</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统计监测与信息服务</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2130119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防灾救灾</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0.69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农业结构调整补贴</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农业生产支持补贴</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2130124</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农业组织化与产业化经营</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224.75</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224.75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农产品加工与促销</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2130126</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农村公益事业</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6,527.77</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6,527.77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2130135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农业资源保护修复与利用</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42.18</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2130148</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成品油价格改革对渔业的补贴</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2130199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其他农业支出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1,626.49</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1,626.49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扶贫</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2130504</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2130599</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其他扶贫支出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农村综合改革</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1,149.70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2130705</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对村民委员会和村党支部的补助</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2130706</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对村集体经济组织的补助</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住房保障支出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住房改革支出</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2210201</w:t>
            </w:r>
          </w:p>
        </w:tc>
        <w:tc>
          <w:tcPr>
            <w:tcW w:w="38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15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173.23</w:t>
            </w:r>
          </w:p>
        </w:tc>
        <w:tc>
          <w:tcPr>
            <w:tcW w:w="12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bl>
    <w:p>
      <w:r>
        <w:br w:type="page"/>
      </w:r>
    </w:p>
    <w:tbl>
      <w:tblPr>
        <w:tblStyle w:val="7"/>
        <w:tblW w:w="108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42"/>
        <w:gridCol w:w="2051"/>
        <w:gridCol w:w="1016"/>
        <w:gridCol w:w="758"/>
        <w:gridCol w:w="1209"/>
        <w:gridCol w:w="872"/>
        <w:gridCol w:w="950"/>
        <w:gridCol w:w="2391"/>
        <w:gridCol w:w="8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jc w:val="center"/>
        </w:trPr>
        <w:tc>
          <w:tcPr>
            <w:tcW w:w="10800" w:type="dxa"/>
            <w:gridSpan w:val="9"/>
            <w:tcBorders>
              <w:top w:val="nil"/>
              <w:left w:val="nil"/>
              <w:bottom w:val="nil"/>
              <w:right w:val="nil"/>
            </w:tcBorders>
            <w:tcMar>
              <w:top w:w="15" w:type="dxa"/>
              <w:left w:w="15" w:type="dxa"/>
              <w:right w:w="15" w:type="dxa"/>
            </w:tcMar>
            <w:vAlign w:val="bottom"/>
          </w:tcPr>
          <w:p>
            <w:pPr>
              <w:spacing w:before="0" w:beforeAutospacing="0" w:after="0" w:afterAutospacing="0"/>
              <w:ind w:left="0" w:right="0"/>
              <w:jc w:val="center"/>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32"/>
                <w:szCs w:val="32"/>
                <w:u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1" w:hRule="atLeast"/>
          <w:jc w:val="center"/>
        </w:trPr>
        <w:tc>
          <w:tcPr>
            <w:tcW w:w="74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05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016"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5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20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87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4152"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1" w:hRule="atLeast"/>
          <w:jc w:val="center"/>
        </w:trPr>
        <w:tc>
          <w:tcPr>
            <w:tcW w:w="5776" w:type="dxa"/>
            <w:gridSpan w:val="5"/>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部门：石家庄市鹿泉区农业畜牧局（汇总）</w:t>
            </w:r>
          </w:p>
        </w:tc>
        <w:tc>
          <w:tcPr>
            <w:tcW w:w="872"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4152"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3809"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人员经费</w:t>
            </w:r>
          </w:p>
        </w:tc>
        <w:tc>
          <w:tcPr>
            <w:tcW w:w="6991"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742"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科目编码</w:t>
            </w:r>
          </w:p>
        </w:tc>
        <w:tc>
          <w:tcPr>
            <w:tcW w:w="205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01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决算数</w:t>
            </w:r>
          </w:p>
        </w:tc>
        <w:tc>
          <w:tcPr>
            <w:tcW w:w="758"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科目编码</w:t>
            </w:r>
          </w:p>
        </w:tc>
        <w:tc>
          <w:tcPr>
            <w:tcW w:w="120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872"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决算数</w:t>
            </w:r>
          </w:p>
        </w:tc>
        <w:tc>
          <w:tcPr>
            <w:tcW w:w="95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科目编码</w:t>
            </w:r>
          </w:p>
        </w:tc>
        <w:tc>
          <w:tcPr>
            <w:tcW w:w="239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811"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742"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05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01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58"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20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872"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5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239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811"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工资福利支出</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3,222.53</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商品和服务支出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443.42</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债务利息及费用支出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30101</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基本工资</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911.79</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30201</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办公费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45.32</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30701</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国内债务付息</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30102</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津贴补贴</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240.58</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30202</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印刷费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8.91</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30702</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国外债务付息</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30103</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奖金</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688.22</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30203</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咨询费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资本性支出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30106</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伙食补助费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30204</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手续费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0.03</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31001</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房屋建筑物购建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30107</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绩效工资</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554.85</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30205</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水费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3.52</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31002</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办公设备购置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30108</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机关事业单位基本养老保险缴费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335.89</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30206</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电费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17.51</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31003</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专用设备购置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30109</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职业年金缴费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30207</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邮电费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108.16</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31005</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基础设施建设</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30110</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职工基本医疗保险缴费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203.67</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30208</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取暖费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14.18</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31006</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大型修缮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30111</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公务员医疗补助缴费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1.65</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30209</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物业管理费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0.72</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31007</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信息网络及软件购置更新</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30112</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其他社会保障缴费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12.76</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30211</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差旅费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5.71</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31008</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物资储备</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30113</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住房公积金</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177.42</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30212</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因公出国（境）费用</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31009</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土地补偿</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30114</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医疗费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30213</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维修（护）费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14.95</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31010</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安置补助</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30199</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其他工资福利支出</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95.69</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30214</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租赁费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31011</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地上附着物和青苗补偿</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对个人和家庭的补助</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55.45</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30215</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会议费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31012</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拆迁补偿</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30301</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离休费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36.63</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30216</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培训费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31013</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公务用车购置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30302</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退休费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公务接待费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31019</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其他交通工具购置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30303</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退职（役）费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30218</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专用材料费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31021</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文物和陈列品购置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30304</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抚恤金</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30224</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被装购置费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31022</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无形资产购置</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30305</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生活补助</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16.28</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30225</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专用燃料费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31099</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其他资本性支出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30306</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救济费</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30226</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劳务费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151.68</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399</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其他支出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30307</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医疗费补助</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30227</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委托业务费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1.45</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39906</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赠与</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30308</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助学金</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30228</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工会经费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1.28</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39907</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国家赔偿费用支出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30309</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奖励金</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0.43</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30229</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福利费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7.78</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39908</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对民间非营利组织和群众性自治组织补贴</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30310</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个人农业生产补贴</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30231</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公务用车运行维护费</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25.63</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39999</w:t>
            </w: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其他支出</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30399</w:t>
            </w: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其他对个人和家庭的补助</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30239</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其他交通费用</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21.11</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2"/>
                <w:szCs w:val="22"/>
                <w:u w:val="none"/>
              </w:rPr>
            </w:pP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30240</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税金及附加费用</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7" w:hRule="atLeast"/>
          <w:jc w:val="center"/>
        </w:trPr>
        <w:tc>
          <w:tcPr>
            <w:tcW w:w="742"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205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2"/>
                <w:szCs w:val="22"/>
                <w:u w:val="none"/>
              </w:rPr>
            </w:pPr>
          </w:p>
        </w:tc>
        <w:tc>
          <w:tcPr>
            <w:tcW w:w="758"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30299</w:t>
            </w:r>
          </w:p>
        </w:tc>
        <w:tc>
          <w:tcPr>
            <w:tcW w:w="120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其他商品和服务支出</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10.96</w:t>
            </w:r>
          </w:p>
        </w:tc>
        <w:tc>
          <w:tcPr>
            <w:tcW w:w="9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239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left"/>
              <w:rPr>
                <w:rFonts w:hint="eastAsia" w:ascii="宋体" w:hAnsi="宋体" w:eastAsia="宋体" w:cs="宋体"/>
                <w:i w:val="0"/>
                <w:color w:val="000000"/>
                <w:sz w:val="22"/>
                <w:szCs w:val="22"/>
                <w:u w:val="none"/>
              </w:rPr>
            </w:pP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5" w:hRule="atLeast"/>
          <w:jc w:val="center"/>
        </w:trPr>
        <w:tc>
          <w:tcPr>
            <w:tcW w:w="2793"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人员经费合计</w:t>
            </w:r>
          </w:p>
        </w:tc>
        <w:tc>
          <w:tcPr>
            <w:tcW w:w="101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3,277.98</w:t>
            </w:r>
          </w:p>
        </w:tc>
        <w:tc>
          <w:tcPr>
            <w:tcW w:w="6180"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公用经费合计</w:t>
            </w:r>
          </w:p>
        </w:tc>
        <w:tc>
          <w:tcPr>
            <w:tcW w:w="81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452.54</w:t>
            </w:r>
          </w:p>
        </w:tc>
      </w:tr>
    </w:tbl>
    <w:p>
      <w:r>
        <w:br w:type="page"/>
      </w:r>
    </w:p>
    <w:tbl>
      <w:tblPr>
        <w:tblStyle w:val="7"/>
        <w:tblW w:w="884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88"/>
        <w:gridCol w:w="945"/>
        <w:gridCol w:w="900"/>
        <w:gridCol w:w="585"/>
        <w:gridCol w:w="750"/>
        <w:gridCol w:w="675"/>
        <w:gridCol w:w="689"/>
        <w:gridCol w:w="655"/>
        <w:gridCol w:w="786"/>
        <w:gridCol w:w="600"/>
        <w:gridCol w:w="615"/>
        <w:gridCol w:w="6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8848" w:type="dxa"/>
            <w:gridSpan w:val="12"/>
            <w:tcBorders>
              <w:top w:val="nil"/>
              <w:left w:val="nil"/>
              <w:bottom w:val="nil"/>
              <w:right w:val="nil"/>
            </w:tcBorders>
            <w:tcMar>
              <w:top w:w="15" w:type="dxa"/>
              <w:left w:w="15" w:type="dxa"/>
              <w:right w:w="15" w:type="dxa"/>
            </w:tcMar>
            <w:vAlign w:val="bottom"/>
          </w:tcPr>
          <w:p>
            <w:pPr>
              <w:spacing w:before="0" w:beforeAutospacing="0" w:after="0" w:afterAutospacing="0"/>
              <w:ind w:left="0" w:right="0"/>
              <w:jc w:val="center"/>
              <w:rPr>
                <w:rFonts w:hint="default" w:ascii="Arial" w:hAnsi="Arial" w:eastAsia="Times New Roman" w:cs="Arial"/>
                <w:i w:val="0"/>
                <w:color w:val="000000"/>
                <w:sz w:val="32"/>
                <w:szCs w:val="32"/>
                <w:u w:val="none"/>
              </w:rPr>
            </w:pPr>
            <w:r>
              <w:rPr>
                <w:rFonts w:hint="eastAsia" w:ascii="宋体" w:hAnsi="宋体" w:eastAsia="宋体" w:cs="宋体"/>
                <w:i w:val="0"/>
                <w:color w:val="000000"/>
                <w:kern w:val="0"/>
                <w:sz w:val="32"/>
                <w:szCs w:val="32"/>
                <w:u w:val="none"/>
                <w:lang w:val="en-US" w:eastAsia="zh-CN"/>
              </w:rPr>
              <w:t>一般公共预算财政拨款“三公”经费支出决算表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98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4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0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58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5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7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8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5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86"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875"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168" w:type="dxa"/>
            <w:gridSpan w:val="5"/>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部门：石家庄市鹿泉区农业畜牧局（汇总）</w:t>
            </w:r>
          </w:p>
        </w:tc>
        <w:tc>
          <w:tcPr>
            <w:tcW w:w="67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89"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5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86"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875"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843"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预算数</w:t>
            </w:r>
          </w:p>
        </w:tc>
        <w:tc>
          <w:tcPr>
            <w:tcW w:w="4005"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88"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9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因公出国（境）费</w:t>
            </w:r>
          </w:p>
        </w:tc>
        <w:tc>
          <w:tcPr>
            <w:tcW w:w="2235"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公务用车购置及运行费</w:t>
            </w:r>
          </w:p>
        </w:tc>
        <w:tc>
          <w:tcPr>
            <w:tcW w:w="67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公务接待费</w:t>
            </w:r>
          </w:p>
        </w:tc>
        <w:tc>
          <w:tcPr>
            <w:tcW w:w="68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65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因公出国（境）费</w:t>
            </w:r>
          </w:p>
        </w:tc>
        <w:tc>
          <w:tcPr>
            <w:tcW w:w="200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公务用车购置及运行费</w:t>
            </w:r>
          </w:p>
        </w:tc>
        <w:tc>
          <w:tcPr>
            <w:tcW w:w="66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trPr>
        <w:tc>
          <w:tcPr>
            <w:tcW w:w="988"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5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公务用车购置费</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公务用车运行费</w:t>
            </w:r>
          </w:p>
        </w:tc>
        <w:tc>
          <w:tcPr>
            <w:tcW w:w="67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8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8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公务用车购置费</w:t>
            </w:r>
          </w:p>
        </w:tc>
        <w:tc>
          <w:tcPr>
            <w:tcW w:w="6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公务用车运行费</w:t>
            </w:r>
          </w:p>
        </w:tc>
        <w:tc>
          <w:tcPr>
            <w:tcW w:w="66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88"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94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9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58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7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6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c>
          <w:tcPr>
            <w:tcW w:w="68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7</w:t>
            </w:r>
          </w:p>
        </w:tc>
        <w:tc>
          <w:tcPr>
            <w:tcW w:w="6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8</w:t>
            </w:r>
          </w:p>
        </w:tc>
        <w:tc>
          <w:tcPr>
            <w:tcW w:w="78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9</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10</w:t>
            </w:r>
          </w:p>
        </w:tc>
        <w:tc>
          <w:tcPr>
            <w:tcW w:w="6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11</w:t>
            </w:r>
          </w:p>
        </w:tc>
        <w:tc>
          <w:tcPr>
            <w:tcW w:w="66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98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44.90</w:t>
            </w:r>
          </w:p>
        </w:tc>
        <w:tc>
          <w:tcPr>
            <w:tcW w:w="94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43.20</w:t>
            </w:r>
          </w:p>
        </w:tc>
        <w:tc>
          <w:tcPr>
            <w:tcW w:w="58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43.20</w:t>
            </w:r>
          </w:p>
        </w:tc>
        <w:tc>
          <w:tcPr>
            <w:tcW w:w="6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1.70</w:t>
            </w:r>
          </w:p>
        </w:tc>
        <w:tc>
          <w:tcPr>
            <w:tcW w:w="68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25.63</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78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25.63</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1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25.63</w:t>
            </w:r>
          </w:p>
        </w:tc>
        <w:tc>
          <w:tcPr>
            <w:tcW w:w="6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r>
    </w:tbl>
    <w:p>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600" w:type="dxa"/>
        <w:tblInd w:w="-43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20"/>
        <w:gridCol w:w="3465"/>
        <w:gridCol w:w="1305"/>
        <w:gridCol w:w="975"/>
        <w:gridCol w:w="735"/>
        <w:gridCol w:w="600"/>
        <w:gridCol w:w="570"/>
        <w:gridCol w:w="9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rPr>
        <w:tc>
          <w:tcPr>
            <w:tcW w:w="9600" w:type="dxa"/>
            <w:gridSpan w:val="8"/>
            <w:tcBorders>
              <w:top w:val="nil"/>
              <w:left w:val="nil"/>
              <w:bottom w:val="nil"/>
              <w:right w:val="nil"/>
            </w:tcBorders>
            <w:tcMar>
              <w:top w:w="15" w:type="dxa"/>
              <w:left w:w="15" w:type="dxa"/>
              <w:right w:w="15" w:type="dxa"/>
            </w:tcMar>
            <w:vAlign w:val="bottom"/>
          </w:tcPr>
          <w:p>
            <w:pPr>
              <w:spacing w:before="0" w:beforeAutospacing="0" w:after="0" w:afterAutospacing="0"/>
              <w:ind w:left="0" w:right="0"/>
              <w:jc w:val="center"/>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32"/>
                <w:szCs w:val="32"/>
                <w:u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102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346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130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7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3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60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570"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30" w:type="dxa"/>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trPr>
        <w:tc>
          <w:tcPr>
            <w:tcW w:w="4485" w:type="dxa"/>
            <w:gridSpan w:val="2"/>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r>
              <w:rPr>
                <w:rFonts w:hint="eastAsia" w:ascii="宋体" w:hAnsi="宋体" w:eastAsia="宋体" w:cs="宋体"/>
                <w:i w:val="0"/>
                <w:color w:val="000000"/>
                <w:kern w:val="0"/>
                <w:sz w:val="20"/>
                <w:szCs w:val="20"/>
                <w:u w:val="none"/>
                <w:lang w:val="en-US" w:eastAsia="zh-CN"/>
              </w:rPr>
              <w:t>部门：石家庄市鹿泉区农业畜牧局（汇总）</w:t>
            </w:r>
          </w:p>
        </w:tc>
        <w:tc>
          <w:tcPr>
            <w:tcW w:w="130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97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735"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i w:val="0"/>
                <w:color w:val="000000"/>
                <w:sz w:val="20"/>
                <w:szCs w:val="20"/>
                <w:u w:val="none"/>
              </w:rPr>
            </w:pPr>
          </w:p>
        </w:tc>
        <w:tc>
          <w:tcPr>
            <w:tcW w:w="2100" w:type="dxa"/>
            <w:gridSpan w:val="3"/>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485" w:type="dxa"/>
            <w:gridSpan w:val="2"/>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w:t>
            </w:r>
          </w:p>
        </w:tc>
        <w:tc>
          <w:tcPr>
            <w:tcW w:w="130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年初结转和结余</w:t>
            </w:r>
          </w:p>
        </w:tc>
        <w:tc>
          <w:tcPr>
            <w:tcW w:w="975"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本年收入</w:t>
            </w:r>
          </w:p>
        </w:tc>
        <w:tc>
          <w:tcPr>
            <w:tcW w:w="190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本年支出</w:t>
            </w:r>
          </w:p>
        </w:tc>
        <w:tc>
          <w:tcPr>
            <w:tcW w:w="93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功能分类科目编码</w:t>
            </w:r>
          </w:p>
        </w:tc>
        <w:tc>
          <w:tcPr>
            <w:tcW w:w="346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科目名称</w:t>
            </w:r>
          </w:p>
        </w:tc>
        <w:tc>
          <w:tcPr>
            <w:tcW w:w="13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3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小计</w:t>
            </w:r>
          </w:p>
        </w:tc>
        <w:tc>
          <w:tcPr>
            <w:tcW w:w="60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基本支出</w:t>
            </w:r>
          </w:p>
        </w:tc>
        <w:tc>
          <w:tcPr>
            <w:tcW w:w="57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项目支出</w:t>
            </w: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34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3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346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130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75"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73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60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57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c>
          <w:tcPr>
            <w:tcW w:w="93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48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栏次</w:t>
            </w:r>
          </w:p>
        </w:tc>
        <w:tc>
          <w:tcPr>
            <w:tcW w:w="130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1</w:t>
            </w:r>
          </w:p>
        </w:tc>
        <w:tc>
          <w:tcPr>
            <w:tcW w:w="97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w:t>
            </w:r>
          </w:p>
        </w:tc>
        <w:tc>
          <w:tcPr>
            <w:tcW w:w="73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3</w:t>
            </w:r>
          </w:p>
        </w:tc>
        <w:tc>
          <w:tcPr>
            <w:tcW w:w="60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5</w:t>
            </w:r>
          </w:p>
        </w:tc>
        <w:tc>
          <w:tcPr>
            <w:tcW w:w="93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4485"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widowControl/>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合计</w:t>
            </w:r>
          </w:p>
        </w:tc>
        <w:tc>
          <w:tcPr>
            <w:tcW w:w="130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40.00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0.00</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w:t>
            </w:r>
          </w:p>
        </w:tc>
        <w:tc>
          <w:tcPr>
            <w:tcW w:w="346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城乡社区支出</w:t>
            </w:r>
          </w:p>
        </w:tc>
        <w:tc>
          <w:tcPr>
            <w:tcW w:w="130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w:t>
            </w:r>
          </w:p>
        </w:tc>
        <w:tc>
          <w:tcPr>
            <w:tcW w:w="346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国有土地使用权出让收入及对应专项债务收入安排的支出</w:t>
            </w:r>
          </w:p>
        </w:tc>
        <w:tc>
          <w:tcPr>
            <w:tcW w:w="130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trPr>
        <w:tc>
          <w:tcPr>
            <w:tcW w:w="102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2120804</w:t>
            </w:r>
          </w:p>
        </w:tc>
        <w:tc>
          <w:tcPr>
            <w:tcW w:w="346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 xml:space="preserve">  农村基础设施建设支出</w:t>
            </w:r>
          </w:p>
        </w:tc>
        <w:tc>
          <w:tcPr>
            <w:tcW w:w="130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7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c>
          <w:tcPr>
            <w:tcW w:w="73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6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57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0.00</w:t>
            </w:r>
          </w:p>
        </w:tc>
        <w:tc>
          <w:tcPr>
            <w:tcW w:w="9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rPr>
              <w:t>40.00</w:t>
            </w:r>
          </w:p>
        </w:tc>
      </w:tr>
    </w:tbl>
    <w:p>
      <w:r>
        <w:br w:type="page"/>
      </w:r>
    </w:p>
    <w:tbl>
      <w:tblPr>
        <w:tblStyle w:val="7"/>
        <w:tblW w:w="99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88"/>
        <w:gridCol w:w="74"/>
        <w:gridCol w:w="74"/>
        <w:gridCol w:w="3798"/>
        <w:gridCol w:w="961"/>
        <w:gridCol w:w="1860"/>
        <w:gridCol w:w="1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default"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left"/>
              <w:textAlignment w:val="bottom"/>
              <w:rPr>
                <w:rFonts w:hint="default"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spacing w:before="0" w:beforeAutospacing="0" w:after="0" w:afterAutospacing="0"/>
              <w:ind w:left="0" w:right="0"/>
              <w:rPr>
                <w:rFonts w:hint="default" w:ascii="Arial" w:hAnsi="Arial" w:eastAsia="Times New Roman"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pPr>
              <w:widowControl/>
              <w:spacing w:before="0" w:beforeAutospacing="0" w:after="0" w:afterAutospacing="0"/>
              <w:ind w:left="0" w:right="0"/>
              <w:jc w:val="right"/>
              <w:textAlignment w:val="bottom"/>
              <w:rPr>
                <w:rFonts w:hint="default"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科目</w:t>
            </w:r>
          </w:p>
        </w:tc>
        <w:tc>
          <w:tcPr>
            <w:tcW w:w="468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功能分类科目编码</w:t>
            </w: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科目名称</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小计</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基本支出</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栏次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1</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2</w:t>
            </w: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before="0" w:beforeAutospacing="0" w:after="0" w:afterAutospacing="0"/>
              <w:ind w:left="0" w:right="0"/>
              <w:jc w:val="center"/>
              <w:textAlignment w:val="center"/>
              <w:rPr>
                <w:rFonts w:hint="default" w:ascii="宋体" w:hAnsi="宋体" w:eastAsia="宋体" w:cs="宋体"/>
                <w:color w:val="000000"/>
                <w:sz w:val="22"/>
                <w:szCs w:val="20"/>
              </w:rPr>
            </w:pPr>
            <w:r>
              <w:rPr>
                <w:rFonts w:hint="eastAsia" w:ascii="宋体" w:hAnsi="宋体" w:eastAsia="宋体" w:cs="宋体"/>
                <w:color w:val="000000"/>
                <w:kern w:val="0"/>
                <w:sz w:val="22"/>
                <w:szCs w:val="20"/>
              </w:rPr>
              <w:t>合计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b/>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b/>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b/>
                <w:color w:val="000000"/>
                <w:sz w:val="22"/>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left"/>
              <w:rPr>
                <w:rFonts w:hint="default" w:ascii="宋体" w:hAnsi="宋体" w:eastAsia="宋体" w:cs="宋体"/>
                <w:color w:val="000000"/>
                <w:sz w:val="22"/>
                <w:szCs w:val="20"/>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c>
          <w:tcPr>
            <w:tcW w:w="1860" w:type="dxa"/>
            <w:tcBorders>
              <w:top w:val="nil"/>
              <w:left w:val="nil"/>
              <w:bottom w:val="single" w:color="000000" w:sz="4" w:space="0"/>
              <w:right w:val="single" w:color="000000" w:sz="4" w:space="0"/>
            </w:tcBorders>
            <w:tcMar>
              <w:top w:w="15" w:type="dxa"/>
              <w:left w:w="15" w:type="dxa"/>
              <w:right w:w="15" w:type="dxa"/>
            </w:tcMar>
            <w:vAlign w:val="center"/>
          </w:tcPr>
          <w:p>
            <w:pPr>
              <w:spacing w:before="0" w:beforeAutospacing="0" w:after="0" w:afterAutospacing="0"/>
              <w:ind w:left="0" w:right="0"/>
              <w:jc w:val="right"/>
              <w:rPr>
                <w:rFonts w:hint="default" w:ascii="宋体" w:hAnsi="宋体" w:eastAsia="宋体" w:cs="宋体"/>
                <w:color w:val="000000"/>
                <w:sz w:val="22"/>
                <w:szCs w:val="20"/>
              </w:rPr>
            </w:pPr>
          </w:p>
        </w:tc>
      </w:tr>
    </w:tbl>
    <w:p>
      <w:r>
        <w:br w:type="page"/>
      </w:r>
    </w:p>
    <w:p>
      <w:r>
        <w:rPr>
          <w:rFonts w:ascii="等线" w:hAnsi="等线" w:eastAsia="等线" w:cs="黑体"/>
          <w:kern w:val="2"/>
          <w:sz w:val="21"/>
          <w:szCs w:val="22"/>
          <w:lang w:val="en-US" w:eastAsia="zh-CN" w:bidi="ar-SA"/>
        </w:rPr>
        <w:pict>
          <v:rect id="矩形 40" o:spid="_x0000_s1107" o:spt="1" style="position:absolute;left:0pt;margin-left:-70.5pt;margin-top:-85.25pt;height:841.15pt;width:595.1pt;z-index:251671552;mso-width-relative:page;mso-height-relative:page;" fillcolor="#FFC000" filled="t" o:preferrelative="t" stroked="f" coordsize="21600,21600">
            <v:path/>
            <v:fill on="t" focussize="0,0"/>
            <v:stroke on="f"/>
            <v:imagedata gain="65536f" blacklevel="0f" gamma="0" o:title=""/>
            <o:lock v:ext="edit" position="f" selection="f" grouping="f" rotation="f" cropping="f" text="f" aspectratio="f"/>
          </v:rect>
        </w:pict>
      </w:r>
    </w:p>
    <w:sectPr>
      <w:headerReference r:id="rId25" w:type="first"/>
      <w:headerReference r:id="rId24" w:type="default"/>
      <w:footerReference r:id="rId26" w:type="default"/>
      <w:pgSz w:w="11906" w:h="16838"/>
      <w:pgMar w:top="1701" w:right="1417" w:bottom="1281"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思源黑体 HW Bold">
    <w:altName w:val="黑体"/>
    <w:panose1 w:val="00000000000000000000"/>
    <w:charset w:val="86"/>
    <w:family w:val="auto"/>
    <w:pitch w:val="default"/>
    <w:sig w:usb0="00000000" w:usb1="00000000" w:usb2="00000016" w:usb3="00000000" w:csb0="002E0107" w:csb1="00000000"/>
  </w:font>
  <w:font w:name="楷体_GB2312">
    <w:panose1 w:val="02010609030101010101"/>
    <w:charset w:val="86"/>
    <w:family w:val="auto"/>
    <w:pitch w:val="default"/>
    <w:sig w:usb0="00000001" w:usb1="080E0000" w:usb2="00000000" w:usb3="00000000" w:csb0="00040000" w:csb1="00000000"/>
  </w:font>
  <w:font w:name="Yu Gothic UI Semibold">
    <w:panose1 w:val="020B0700000000000000"/>
    <w:charset w:val="80"/>
    <w:family w:val="auto"/>
    <w:pitch w:val="default"/>
    <w:sig w:usb0="E00002FF" w:usb1="2AC7FDFF" w:usb2="00000016" w:usb3="00000000" w:csb0="2002009F" w:csb1="00000000"/>
  </w:font>
  <w:font w:name="微软雅黑">
    <w:panose1 w:val="020B0503020204020204"/>
    <w:charset w:val="86"/>
    <w:family w:val="auto"/>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auto"/>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2" o:spid="_x0000_s2064" o:spt="1" style="position:absolute;left:0pt;margin-left:209.65pt;margin-top:-12.95pt;height:14.3pt;width:30.6pt;mso-position-horizontal-relative:margin;z-index:25166848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rect>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3" o:spid="_x0000_s2056" o:spt="1" style="position:absolute;left:0pt;margin-left:206.55pt;margin-top:-22.45pt;height:35.15pt;width:34pt;mso-position-horizontal-relative:margin;z-index:25166950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rect>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5" o:spid="_x0000_s2087" o:spt="1" style="position:absolute;left:0pt;margin-left:209.15pt;margin-top:-6pt;height:18.7pt;width:144pt;mso-position-horizontal-relative:margin;mso-wrap-style:none;z-index:25167052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rect>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14" o:spid="_x0000_s2079" o:spt="1" style="position:absolute;left:0pt;margin-left:205.45pt;margin-top:-18.75pt;height:31.45pt;width:30.15pt;mso-position-horizontal-relative:margin;z-index:25167155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rect>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等线" w:hAnsi="等线" w:eastAsia="等线" w:cs="黑体"/>
        <w:kern w:val="2"/>
        <w:sz w:val="18"/>
        <w:szCs w:val="18"/>
        <w:lang w:val="en-US" w:eastAsia="zh-CN" w:bidi="ar-SA"/>
      </w:rPr>
      <w:pict>
        <v:rect id="文本框 45" o:spid="_x0000_s2107" o:spt="1" style="position:absolute;left:0pt;margin-left:209.15pt;margin-top:-6pt;height:18.7pt;width:144pt;mso-position-horizontal-relative:margin;mso-wrap-style:none;z-index:25167462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76" o:spid="_x0000_s2049" o:spt="203" style="position:absolute;left:0pt;margin-top:29.75pt;height:32pt;width:157.5pt;mso-position-horizontal:left;mso-position-horizontal-relative:page;mso-position-vertical-relative:page;z-index:251659264;mso-width-relative:page;mso-height-relative:page;" coordorigin="1337,880" coordsize="3151,641">
          <o:lock v:ext="edit" position="f" selection="f" grouping="f" rotation="f" cropping="f" text="f" aspectratio="f"/>
          <v:rect id="文本框 6" o:spid="_x0000_s2050"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7" o:spid="_x0000_s2051"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79" o:spid="_x0000_s2052" o:spt="203" style="position:absolute;left:0pt;margin-top:-58.95pt;height:58.95pt;width:595.3pt;mso-position-horizontal:center;mso-position-horizontal-relative:page;mso-position-vertical-relative:page;z-index:251658240;mso-width-relative:page;mso-height-relative:page;" coordorigin="881,505" coordsize="11931,1179">
          <o:lock v:ext="edit" position="f" selection="f" grouping="f" rotation="f" cropping="f" text="f" aspectratio="f"/>
          <v:rect id="矩形 2" o:spid="_x0000_s2053"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54"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55"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89" o:spid="_x0000_s2072" o:spt="203" style="position:absolute;left:0pt;margin-top:29.75pt;height:32pt;width:157.5pt;mso-position-horizontal:left;mso-position-horizontal-relative:page;mso-position-vertical-relative:page;z-index:251665408;mso-width-relative:page;mso-height-relative:page;" coordorigin="1337,880" coordsize="3151,641">
          <o:lock v:ext="edit" position="f" selection="f" grouping="f" rotation="f" cropping="f" text="f" aspectratio="f"/>
          <v:rect id="文本框 6" o:spid="_x0000_s2073" o:spt="1" style="position:absolute;left:1401;top:880;height:641;width:3087;"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7" o:spid="_x0000_s2074" o:spt="1" style="position:absolute;left:1337;top:1044;height:330;width:119;"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92" o:spid="_x0000_s2075" o:spt="203" style="position:absolute;left:0pt;margin-top:43.1pt;height:58.95pt;width:595.3pt;mso-position-horizontal:center;mso-position-horizontal-relative:page;mso-position-vertical-relative:page;z-index:251664384;mso-width-relative:page;mso-height-relative:page;" coordorigin="881,505" coordsize="11931,1179">
          <o:lock v:ext="edit" position="f" selection="f" grouping="f" rotation="f" cropping="f" text="f" aspectratio="f"/>
          <v:rect id="矩形 2" o:spid="_x0000_s2076" o:spt="1" style="position:absolute;left:881;top:1538;height:146;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77" style="position:absolute;left:10177;top:686;height:862;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78" style="position:absolute;left:10467;top:505;height:1108;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23" o:spid="_x0000_s2088" o:spt="203" style="position:absolute;left:0pt;margin-left:-2.15pt;margin-top:59pt;height:32.8pt;width:596.85pt;mso-position-horizontal-relative:page;mso-position-vertical-relative:page;z-index:251677696;mso-width-relative:page;mso-height-relative:page;" coordorigin="878,281" coordsize="11937,656">
          <o:lock v:ext="edit" position="f" selection="f" grouping="f" rotation="f" cropping="f" text="f" aspectratio="f"/>
          <v:rect id="矩形 2" o:spid="_x0000_s2089" o:spt="1" style="position:absolute;left:878;top:856;height:81;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90" style="position:absolute;left:10148;top:382;height:479;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91" style="position:absolute;left:10437;top:281;height:616;width:2378;"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rect id="文本框 6" o:spid="_x0000_s2092" o:spt="1" style="position:absolute;left:0pt;margin-left:-84.1pt;margin-top:17.55pt;height:32.05pt;width:231pt;z-index:25167872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hint="eastAsia" w:ascii="微软雅黑" w:hAnsi="微软雅黑" w:eastAsia="微软雅黑" w:cs="微软雅黑"/>
                    <w:b/>
                    <w:bCs/>
                    <w:sz w:val="32"/>
                    <w:szCs w:val="40"/>
                  </w:rPr>
                </w:pPr>
                <w:r>
                  <w:rPr>
                    <w:rFonts w:ascii="等线" w:hAnsi="等线" w:eastAsia="等线" w:cs="黑体"/>
                    <w:kern w:val="2"/>
                    <w:sz w:val="21"/>
                    <w:szCs w:val="22"/>
                    <w:lang w:val="en-US" w:eastAsia="zh-CN" w:bidi="ar-SA"/>
                  </w:rPr>
                  <w:pict>
                    <v:shape id="_x0000_i1025" o:spt="75" type="#_x0000_t75" style="height:16.5pt;width:8.25pt;" fillcolor="#FFFFFF" filled="f" o:preferrelative="t" stroked="f" coordsize="21600,21600">
                      <v:path/>
                      <v:fill on="f" color2="#FFFFFF" focussize="0,0"/>
                      <v:stroke on="f"/>
                      <v:imagedata r:id="rId1" gain="65536f" blacklevel="0f" gamma="0" o:title=""/>
                      <o:lock v:ext="edit" position="f" selection="f" grouping="f" rotation="f" cropping="f" text="f" aspectratio="t"/>
                      <w10:wrap type="none"/>
                      <w10:anchorlock/>
                    </v:shape>
                  </w:pict>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rect>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49" o:spid="_x0000_s2100" o:spt="203" style="position:absolute;left:0pt;margin-left:2.5pt;margin-top:28.75pt;height:35.25pt;width:594.8pt;mso-position-horizontal-relative:page;mso-position-vertical-relative:page;z-index:251675648;mso-width-relative:page;mso-height-relative:page;" coordorigin="878,302" coordsize="11897,705">
          <o:lock v:ext="edit" position="f" selection="f" grouping="f" rotation="f" cropping="f" text="f" aspectratio="f"/>
          <v:rect id="矩形 2" o:spid="_x0000_s2101" o:spt="1" style="position:absolute;left:878;top:920;height:87;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102" style="position:absolute;left:10148;top:410;height:516;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103" style="position:absolute;left:10437;top:302;height:663;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46" o:spid="_x0000_s2104" o:spt="203" style="position:absolute;left:0pt;margin-left:0pt;margin-top:29.75pt;height:32pt;width:280pt;mso-position-horizontal-relative:page;mso-position-vertical-relative:page;z-index:251676672;mso-width-relative:page;mso-height-relative:page;" coordorigin="2377,880" coordsize="5602,641">
          <o:lock v:ext="edit" position="f" selection="f" grouping="f" rotation="f" cropping="f" text="f" aspectratio="f"/>
          <v:rect id="文本框 6" o:spid="_x0000_s2105" o:spt="1" style="position:absolute;left:2491;top:880;height:641;width:5488;"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7" o:spid="_x0000_s2106" o:spt="1" style="position:absolute;left:2377;top:1044;height:330;width:211;"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9" o:spid="_x0000_s2093" o:spt="203" style="position:absolute;left:0pt;margin-left:0.75pt;margin-top:24.2pt;height:38.05pt;width:595.3pt;mso-position-horizontal-relative:page;mso-position-vertical-relative:page;z-index:251672576;mso-width-relative:page;mso-height-relative:page;" coordorigin="881,326" coordsize="11931,761">
          <o:lock v:ext="edit" position="f" selection="f" grouping="f" rotation="f" cropping="f" text="f" aspectratio="f"/>
          <v:rect id="矩形 2" o:spid="_x0000_s2094" o:spt="1" style="position:absolute;left:881;top:993;height:94;width:11925;"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95" style="position:absolute;left:10177;top:443;height:556;width:2619;"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96" style="position:absolute;left:10467;top:326;height:715;width:2345;"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6" o:spid="_x0000_s2097" o:spt="203" style="position:absolute;left:0pt;margin-top:29.75pt;height:32pt;width:254.25pt;mso-position-horizontal:left;mso-position-horizontal-relative:page;mso-position-vertical-relative:page;z-index:251673600;mso-width-relative:page;mso-height-relative:page;" coordorigin="2158,880" coordsize="5087,641">
          <o:lock v:ext="edit" position="f" selection="f" grouping="f" rotation="f" cropping="f" text="f" aspectratio="f"/>
          <v:rect id="文本框 6" o:spid="_x0000_s2098" o:spt="1" style="position:absolute;left:2262;top:880;height:641;width:4983;"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7" o:spid="_x0000_s2099" o:spt="1" style="position:absolute;left:2158;top:1044;height:330;width:192;"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240" o:spid="_x0000_s2057" o:spt="203" style="position:absolute;left:0pt;margin-left:0pt;margin-top:53.75pt;height:31.5pt;width:594.8pt;mso-position-horizontal-relative:page;mso-position-vertical-relative:page;z-index:251666432;mso-width-relative:page;mso-height-relative:page;" coordorigin="878,270" coordsize="11897,630">
          <o:lock v:ext="edit" position="f" selection="f" grouping="f" rotation="f" cropping="f" text="f" aspectratio="f"/>
          <v:rect id="矩形 2" o:spid="_x0000_s2058" o:spt="1" style="position:absolute;left:878;top:822;height:78;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59" style="position:absolute;left:10148;top:367;height:460;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60" style="position:absolute;left:10437;top:270;height:59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237" o:spid="_x0000_s2061" o:spt="203" style="position:absolute;left:0pt;margin-left:-2.15pt;margin-top:47.15pt;height:32pt;width:235.7pt;mso-position-horizontal-relative:page;mso-position-vertical-relative:page;z-index:251667456;mso-width-relative:page;mso-height-relative:page;" coordorigin="2001,880" coordsize="4715,641">
          <o:lock v:ext="edit" position="f" selection="f" grouping="f" rotation="f" cropping="f" text="f" aspectratio="f"/>
          <v:rect id="文本框 6" o:spid="_x0000_s2062"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7" o:spid="_x0000_s2063"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35" o:spid="_x0000_s2065" o:spt="203" style="position:absolute;left:0pt;margin-left:2.25pt;margin-top:45.75pt;height:32.05pt;width:239.85pt;mso-position-horizontal-relative:page;mso-position-vertical-relative:page;z-index:251661312;mso-width-relative:page;mso-height-relative:page;" coordorigin="2001,855" coordsize="4797,641">
          <o:lock v:ext="edit" position="f" selection="f" grouping="f" rotation="f" cropping="f" text="f" aspectratio="f"/>
          <v:rect id="文本框 6" o:spid="_x0000_s2066" o:spt="1" style="position:absolute;left:2179;top:855;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矩形 7" o:spid="_x0000_s2067"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r>
      <w:rPr>
        <w:rFonts w:ascii="等线" w:hAnsi="等线" w:eastAsia="等线" w:cs="黑体"/>
        <w:kern w:val="2"/>
        <w:sz w:val="18"/>
        <w:szCs w:val="18"/>
        <w:lang w:val="en-US" w:eastAsia="zh-CN" w:bidi="ar-SA"/>
      </w:rPr>
      <w:pict>
        <v:group id="组合 138" o:spid="_x0000_s2068" o:spt="203" style="position:absolute;left:0pt;margin-left:2.75pt;margin-top:46.95pt;height:32.8pt;width:596.85pt;mso-position-horizontal-relative:page;mso-position-vertical-relative:page;z-index:251660288;mso-width-relative:page;mso-height-relative:page;" coordorigin="878,281" coordsize="11937,656">
          <o:lock v:ext="edit" position="f" selection="f" grouping="f" rotation="f" cropping="f" text="f" aspectratio="f"/>
          <v:rect id="矩形 2" o:spid="_x0000_s2069" o:spt="1" style="position:absolute;left:878;top:856;height:81;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70" style="position:absolute;left:10148;top:382;height:479;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71" style="position:absolute;left:10437;top:281;height:616;width:2378;" fillcolor="#FFD966" filled="t" o:preferrelative="t" stroked="f" coordsize="2619,1265" path="m668,0l2619,10,2619,1265,0,1265,668,0xe">
            <v:path textboxrect="0,0,2385,1107"/>
            <v:fill on="t" focussize="0,0"/>
            <v:stroke on="f"/>
            <v:imagedata gain="65536f" blacklevel="0f" gamma="0" o:title=""/>
            <o:lock v:ext="edit" position="f" selection="f" grouping="f" rotation="f" cropping="f" text="f" aspectratio="f"/>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ascii="等线" w:hAnsi="等线" w:eastAsia="等线" w:cs="黑体"/>
        <w:kern w:val="2"/>
        <w:sz w:val="18"/>
        <w:szCs w:val="18"/>
        <w:lang w:val="en-US" w:eastAsia="zh-CN" w:bidi="ar-SA"/>
      </w:rPr>
      <w:pict>
        <v:group id="组合 183" o:spid="_x0000_s2080" o:spt="203" style="position:absolute;left:0pt;margin-left:0pt;margin-top:43.35pt;height:37.85pt;width:594.8pt;mso-position-horizontal-relative:page;mso-position-vertical-relative:page;z-index:251662336;mso-width-relative:page;mso-height-relative:page;" coordorigin="878,324" coordsize="11897,757">
          <o:lock v:ext="edit" position="f" selection="f" grouping="f" rotation="f" cropping="f" text="f" aspectratio="f"/>
          <v:rect id="矩形 2" o:spid="_x0000_s2081" o:spt="1" style="position:absolute;left:878;top:988;height:93;width:11892;" fillcolor="#FFD966" filled="t" o:preferrelative="t" stroked="f" coordsize="21600,21600">
            <v:path/>
            <v:fill on="t" focussize="0,0"/>
            <v:stroke on="f"/>
            <v:imagedata gain="65536f" blacklevel="0f" gamma="0" o:title=""/>
            <o:lock v:ext="edit" position="f" selection="f" grouping="f" rotation="f" cropping="f" text="f" aspectratio="f"/>
          </v:rect>
          <v:shape id="任意多边形 3" o:spid="_x0000_s2082" style="position:absolute;left:10148;top:440;height:554;width:2612;" fillcolor="#000000" filled="t" o:preferrelative="t" stroked="f" coordsize="2619,862" path="m595,1l2619,0,2619,862,0,862,595,1xe">
            <v:path textboxrect="0,0,2619,862"/>
            <v:fill on="t" focussize="0,0"/>
            <v:stroke on="f"/>
            <v:imagedata gain="65536f" blacklevel="0f" gamma="0" o:title=""/>
            <o:lock v:ext="edit" position="f" selection="f" grouping="f" rotation="f" cropping="f" text="f" aspectratio="f"/>
          </v:shape>
          <v:shape id="任意多边形 4" o:spid="_x0000_s2083" style="position:absolute;left:10437;top:324;height:712;width:2338;" fillcolor="#FFD966" filled="t" o:preferrelative="t" stroked="f" coordsize="2619,1265" path="m668,0l2619,10,2619,1265,0,1265,668,0xe">
            <v:path textboxrect="0,0,2345,1108"/>
            <v:fill on="t" focussize="0,0"/>
            <v:stroke on="f"/>
            <v:imagedata gain="65536f" blacklevel="0f" gamma="0" o:title=""/>
            <o:lock v:ext="edit" position="f" selection="f" grouping="f" rotation="f" cropping="f" text="f" aspectratio="f"/>
          </v:shape>
        </v:group>
      </w:pict>
    </w:r>
    <w:r>
      <w:rPr>
        <w:rFonts w:ascii="等线" w:hAnsi="等线" w:eastAsia="等线" w:cs="黑体"/>
        <w:kern w:val="2"/>
        <w:sz w:val="18"/>
        <w:szCs w:val="18"/>
        <w:lang w:val="en-US" w:eastAsia="zh-CN" w:bidi="ar-SA"/>
      </w:rPr>
      <w:pict>
        <v:group id="组合 180" o:spid="_x0000_s2084" o:spt="203" style="position:absolute;left:0pt;margin-left:-2.15pt;margin-top:47.15pt;height:32pt;width:235.7pt;mso-position-horizontal-relative:page;mso-position-vertical-relative:page;z-index:251663360;mso-width-relative:page;mso-height-relative:page;" coordorigin="2001,880" coordsize="4715,641">
          <o:lock v:ext="edit" position="f" selection="f" grouping="f" rotation="f" cropping="f" text="f" aspectratio="f"/>
          <v:rect id="文本框 6" o:spid="_x0000_s2085" o:spt="1" style="position:absolute;left:2097;top:880;height:641;width:4619;"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7" o:spid="_x0000_s2086" o:spt="1" style="position:absolute;left:2001;top:1044;height:330;width:178;" fillcolor="#000000" filled="t" o:preferrelative="t" stroked="f" coordsize="21600,21600">
            <v:path/>
            <v:fill on="t" focussize="0,0"/>
            <v:stroke on="f"/>
            <v:imagedata gain="65536f" blacklevel="0f" gamma="0" o:title=""/>
            <o:lock v:ext="edit" position="f" selection="f" grouping="f" rotation="f" cropping="f" text="f" aspectratio="f"/>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9A66D7"/>
    <w:multiLevelType w:val="singleLevel"/>
    <w:tmpl w:val="5F9A66D7"/>
    <w:lvl w:ilvl="0" w:tentative="0">
      <w:start w:val="6"/>
      <w:numFmt w:val="chineseCounting"/>
      <w:suff w:val="nothing"/>
      <w:lvlText w:val="%1、"/>
      <w:lvlJc w:val="left"/>
    </w:lvl>
  </w:abstractNum>
  <w:abstractNum w:abstractNumId="3">
    <w:nsid w:val="78C1413D"/>
    <w:multiLevelType w:val="singleLevel"/>
    <w:tmpl w:val="78C1413D"/>
    <w:lvl w:ilvl="0" w:tentative="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4"/>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B6A57"/>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34398"/>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F34FBF"/>
    <w:rsid w:val="02316129"/>
    <w:rsid w:val="026155F3"/>
    <w:rsid w:val="02EB0DDA"/>
    <w:rsid w:val="03B562A5"/>
    <w:rsid w:val="03C40ABE"/>
    <w:rsid w:val="04F62134"/>
    <w:rsid w:val="053A3B22"/>
    <w:rsid w:val="05513747"/>
    <w:rsid w:val="05B00A30"/>
    <w:rsid w:val="06010068"/>
    <w:rsid w:val="06EE226F"/>
    <w:rsid w:val="071C6236"/>
    <w:rsid w:val="07903FF7"/>
    <w:rsid w:val="09153DF2"/>
    <w:rsid w:val="0945589A"/>
    <w:rsid w:val="09511A59"/>
    <w:rsid w:val="095F67F0"/>
    <w:rsid w:val="0A534AFF"/>
    <w:rsid w:val="0A9E5E78"/>
    <w:rsid w:val="0AC6703C"/>
    <w:rsid w:val="0AC7367C"/>
    <w:rsid w:val="0B011416"/>
    <w:rsid w:val="0B1338B8"/>
    <w:rsid w:val="0BCB3067"/>
    <w:rsid w:val="0BE423F3"/>
    <w:rsid w:val="0C6A76ED"/>
    <w:rsid w:val="0D1833BC"/>
    <w:rsid w:val="0DB32F07"/>
    <w:rsid w:val="0E2A3E4A"/>
    <w:rsid w:val="0E340E7E"/>
    <w:rsid w:val="0E94387A"/>
    <w:rsid w:val="105A7962"/>
    <w:rsid w:val="11794537"/>
    <w:rsid w:val="11806F00"/>
    <w:rsid w:val="11C101AE"/>
    <w:rsid w:val="1347382D"/>
    <w:rsid w:val="135E3453"/>
    <w:rsid w:val="136F116E"/>
    <w:rsid w:val="13CA3E07"/>
    <w:rsid w:val="13F33E30"/>
    <w:rsid w:val="13FE555A"/>
    <w:rsid w:val="143B2E41"/>
    <w:rsid w:val="15584512"/>
    <w:rsid w:val="15671148"/>
    <w:rsid w:val="169B5E23"/>
    <w:rsid w:val="16A135AF"/>
    <w:rsid w:val="16DB6C0C"/>
    <w:rsid w:val="17E70043"/>
    <w:rsid w:val="180A72FE"/>
    <w:rsid w:val="19543E1D"/>
    <w:rsid w:val="195C3428"/>
    <w:rsid w:val="19A11CCF"/>
    <w:rsid w:val="19CF3767"/>
    <w:rsid w:val="19ED2D17"/>
    <w:rsid w:val="1A9853AE"/>
    <w:rsid w:val="1B057F61"/>
    <w:rsid w:val="1CF14289"/>
    <w:rsid w:val="1D6A64D1"/>
    <w:rsid w:val="1E66766E"/>
    <w:rsid w:val="1EA416D1"/>
    <w:rsid w:val="1F181690"/>
    <w:rsid w:val="1FED61F0"/>
    <w:rsid w:val="2056239C"/>
    <w:rsid w:val="20B27232"/>
    <w:rsid w:val="21243CEE"/>
    <w:rsid w:val="215A0945"/>
    <w:rsid w:val="21DB7F9A"/>
    <w:rsid w:val="22280099"/>
    <w:rsid w:val="22985DCE"/>
    <w:rsid w:val="23026019"/>
    <w:rsid w:val="23AD3718"/>
    <w:rsid w:val="23E3256D"/>
    <w:rsid w:val="23FA7F94"/>
    <w:rsid w:val="24E44926"/>
    <w:rsid w:val="26082272"/>
    <w:rsid w:val="26600703"/>
    <w:rsid w:val="28493AA6"/>
    <w:rsid w:val="29780915"/>
    <w:rsid w:val="29BB2683"/>
    <w:rsid w:val="29E67B3F"/>
    <w:rsid w:val="2A0F210D"/>
    <w:rsid w:val="2A0F7B8F"/>
    <w:rsid w:val="2A285235"/>
    <w:rsid w:val="2AC718BC"/>
    <w:rsid w:val="2B031721"/>
    <w:rsid w:val="2BCB7E65"/>
    <w:rsid w:val="2C2E2107"/>
    <w:rsid w:val="2C4B74B9"/>
    <w:rsid w:val="2C7B5A8A"/>
    <w:rsid w:val="2CB745EA"/>
    <w:rsid w:val="2D5034E4"/>
    <w:rsid w:val="2D634703"/>
    <w:rsid w:val="2E445076"/>
    <w:rsid w:val="2FAC71D2"/>
    <w:rsid w:val="30176275"/>
    <w:rsid w:val="30EB1AD1"/>
    <w:rsid w:val="316C4B25"/>
    <w:rsid w:val="31C2036A"/>
    <w:rsid w:val="31D80455"/>
    <w:rsid w:val="320D02A5"/>
    <w:rsid w:val="33A56616"/>
    <w:rsid w:val="33CD15BD"/>
    <w:rsid w:val="340551E6"/>
    <w:rsid w:val="340D25F3"/>
    <w:rsid w:val="342A4121"/>
    <w:rsid w:val="34527864"/>
    <w:rsid w:val="348E566F"/>
    <w:rsid w:val="34A64D70"/>
    <w:rsid w:val="34F70912"/>
    <w:rsid w:val="355D101B"/>
    <w:rsid w:val="3618394C"/>
    <w:rsid w:val="36231CDE"/>
    <w:rsid w:val="36CC24F7"/>
    <w:rsid w:val="36E3211C"/>
    <w:rsid w:val="3719777C"/>
    <w:rsid w:val="374A2DC5"/>
    <w:rsid w:val="37C02A03"/>
    <w:rsid w:val="37E67604"/>
    <w:rsid w:val="380D0904"/>
    <w:rsid w:val="38D315C7"/>
    <w:rsid w:val="393825F0"/>
    <w:rsid w:val="398D19C9"/>
    <w:rsid w:val="39A86127"/>
    <w:rsid w:val="3A226944"/>
    <w:rsid w:val="3AEE6A48"/>
    <w:rsid w:val="3B00415A"/>
    <w:rsid w:val="3B9914B7"/>
    <w:rsid w:val="3C1620AA"/>
    <w:rsid w:val="3D623944"/>
    <w:rsid w:val="3D8F080F"/>
    <w:rsid w:val="3DA0122B"/>
    <w:rsid w:val="3DFB33DE"/>
    <w:rsid w:val="40A96C24"/>
    <w:rsid w:val="40C27B4E"/>
    <w:rsid w:val="414A67AD"/>
    <w:rsid w:val="41FE1AD4"/>
    <w:rsid w:val="43104E14"/>
    <w:rsid w:val="441134DD"/>
    <w:rsid w:val="44364BF7"/>
    <w:rsid w:val="44CE1FA4"/>
    <w:rsid w:val="454105AC"/>
    <w:rsid w:val="468808C3"/>
    <w:rsid w:val="47210E42"/>
    <w:rsid w:val="47962FFF"/>
    <w:rsid w:val="479E040B"/>
    <w:rsid w:val="47CB5A57"/>
    <w:rsid w:val="484808A4"/>
    <w:rsid w:val="487F73ED"/>
    <w:rsid w:val="48D94910"/>
    <w:rsid w:val="492C219C"/>
    <w:rsid w:val="49BB0786"/>
    <w:rsid w:val="49CB2F9F"/>
    <w:rsid w:val="4A007BF5"/>
    <w:rsid w:val="4A347EAE"/>
    <w:rsid w:val="4A537A00"/>
    <w:rsid w:val="4A70372C"/>
    <w:rsid w:val="4ADB665F"/>
    <w:rsid w:val="4C6373E0"/>
    <w:rsid w:val="4D3F38CB"/>
    <w:rsid w:val="4D685C53"/>
    <w:rsid w:val="4E264AC2"/>
    <w:rsid w:val="4EB643B1"/>
    <w:rsid w:val="4EE419FD"/>
    <w:rsid w:val="5119199D"/>
    <w:rsid w:val="513175D4"/>
    <w:rsid w:val="51BA7EA1"/>
    <w:rsid w:val="51D3684D"/>
    <w:rsid w:val="51E235E4"/>
    <w:rsid w:val="51FE2F14"/>
    <w:rsid w:val="52600405"/>
    <w:rsid w:val="52711BCE"/>
    <w:rsid w:val="529B4319"/>
    <w:rsid w:val="52FA40B1"/>
    <w:rsid w:val="532064EF"/>
    <w:rsid w:val="537C3385"/>
    <w:rsid w:val="53D7279A"/>
    <w:rsid w:val="53DC24A5"/>
    <w:rsid w:val="53EF7E41"/>
    <w:rsid w:val="54055868"/>
    <w:rsid w:val="547F3EAC"/>
    <w:rsid w:val="54967355"/>
    <w:rsid w:val="54CE6031"/>
    <w:rsid w:val="54EA6DDF"/>
    <w:rsid w:val="55496DF8"/>
    <w:rsid w:val="55974979"/>
    <w:rsid w:val="55B22FA5"/>
    <w:rsid w:val="561C7986"/>
    <w:rsid w:val="57773DD6"/>
    <w:rsid w:val="578B79AB"/>
    <w:rsid w:val="57FD50E8"/>
    <w:rsid w:val="580524F4"/>
    <w:rsid w:val="586A351D"/>
    <w:rsid w:val="58DD7FD9"/>
    <w:rsid w:val="5A325088"/>
    <w:rsid w:val="5A561DC4"/>
    <w:rsid w:val="5BA12CE0"/>
    <w:rsid w:val="5C5F1E19"/>
    <w:rsid w:val="5CA73892"/>
    <w:rsid w:val="5CCD3FD5"/>
    <w:rsid w:val="5D724260"/>
    <w:rsid w:val="5D86767D"/>
    <w:rsid w:val="5E5622D4"/>
    <w:rsid w:val="5E6202E5"/>
    <w:rsid w:val="5EA57AD5"/>
    <w:rsid w:val="5ED13E1C"/>
    <w:rsid w:val="61246BEF"/>
    <w:rsid w:val="61FA5F9D"/>
    <w:rsid w:val="626671FB"/>
    <w:rsid w:val="63133E9C"/>
    <w:rsid w:val="64744D5D"/>
    <w:rsid w:val="64CD6910"/>
    <w:rsid w:val="659E0FC7"/>
    <w:rsid w:val="66751F24"/>
    <w:rsid w:val="66D60CC4"/>
    <w:rsid w:val="67703441"/>
    <w:rsid w:val="6789158D"/>
    <w:rsid w:val="67CA34E6"/>
    <w:rsid w:val="67D81BA4"/>
    <w:rsid w:val="68B711D9"/>
    <w:rsid w:val="698E59B9"/>
    <w:rsid w:val="69EA60D3"/>
    <w:rsid w:val="6A223CAF"/>
    <w:rsid w:val="6A4B3C9A"/>
    <w:rsid w:val="6AAF1C96"/>
    <w:rsid w:val="6AEC1179"/>
    <w:rsid w:val="6AF6750A"/>
    <w:rsid w:val="6BB33140"/>
    <w:rsid w:val="6C6F5A72"/>
    <w:rsid w:val="6CC95C7B"/>
    <w:rsid w:val="6F5B51C0"/>
    <w:rsid w:val="6F6D2EDC"/>
    <w:rsid w:val="70094DDB"/>
    <w:rsid w:val="70807521"/>
    <w:rsid w:val="70901D3A"/>
    <w:rsid w:val="70C66990"/>
    <w:rsid w:val="713737CC"/>
    <w:rsid w:val="72492390"/>
    <w:rsid w:val="72591E62"/>
    <w:rsid w:val="73843011"/>
    <w:rsid w:val="751049AE"/>
    <w:rsid w:val="75681757"/>
    <w:rsid w:val="75A346A8"/>
    <w:rsid w:val="75D658CC"/>
    <w:rsid w:val="75D812E7"/>
    <w:rsid w:val="76D36F81"/>
    <w:rsid w:val="77690779"/>
    <w:rsid w:val="77E522C1"/>
    <w:rsid w:val="78161EF8"/>
    <w:rsid w:val="79121A2E"/>
    <w:rsid w:val="791529B3"/>
    <w:rsid w:val="79B9382C"/>
    <w:rsid w:val="79D939F5"/>
    <w:rsid w:val="7A1D31E5"/>
    <w:rsid w:val="7A514939"/>
    <w:rsid w:val="7AA656C8"/>
    <w:rsid w:val="7ABB1DEA"/>
    <w:rsid w:val="7B043B76"/>
    <w:rsid w:val="7B81632F"/>
    <w:rsid w:val="7C041A6A"/>
    <w:rsid w:val="7C344417"/>
    <w:rsid w:val="7CA3770C"/>
    <w:rsid w:val="7D5A1439"/>
    <w:rsid w:val="7D8A0903"/>
    <w:rsid w:val="7E24704F"/>
    <w:rsid w:val="7E327570"/>
    <w:rsid w:val="7EB625EF"/>
    <w:rsid w:val="7F0749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9"/>
    <w:pPr>
      <w:keepNext/>
      <w:keepLines/>
      <w:spacing w:before="260" w:after="260" w:line="416" w:lineRule="auto"/>
      <w:outlineLvl w:val="1"/>
    </w:pPr>
    <w:rPr>
      <w:rFonts w:ascii="Calibri" w:hAnsi="Calibri" w:eastAsia="宋体" w:cs="黑体"/>
      <w:b/>
      <w:bCs/>
      <w:sz w:val="32"/>
      <w:szCs w:val="32"/>
    </w:rPr>
  </w:style>
  <w:style w:type="character" w:default="1" w:styleId="9">
    <w:name w:val="Default Paragraph Font"/>
    <w:unhideWhenUsed/>
    <w:qFormat/>
    <w:uiPriority w:val="1"/>
  </w:style>
  <w:style w:type="table" w:default="1" w:styleId="7">
    <w:name w:val="Normal Table"/>
    <w:unhideWhenUsed/>
    <w:uiPriority w:val="99"/>
    <w:pPr>
      <w:widowControl/>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1">
    <w:name w:val="页眉 Char"/>
    <w:basedOn w:val="9"/>
    <w:link w:val="6"/>
    <w:qFormat/>
    <w:uiPriority w:val="99"/>
    <w:rPr>
      <w:rFonts w:ascii="等线" w:hAnsi="等线" w:eastAsia="等线"/>
      <w:sz w:val="18"/>
      <w:szCs w:val="18"/>
    </w:rPr>
  </w:style>
  <w:style w:type="character" w:customStyle="1" w:styleId="12">
    <w:name w:val="页脚 Char"/>
    <w:basedOn w:val="9"/>
    <w:link w:val="5"/>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7.png"/><Relationship Id="rId32" Type="http://schemas.openxmlformats.org/officeDocument/2006/relationships/image" Target="media/image6.png"/><Relationship Id="rId31" Type="http://schemas.openxmlformats.org/officeDocument/2006/relationships/image" Target="media/image5.png"/><Relationship Id="rId30" Type="http://schemas.openxmlformats.org/officeDocument/2006/relationships/image" Target="media/image4.png"/><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050" textRotate="1"/>
    <customShpInfo spid="_x0000_s2051" textRotate="1"/>
    <customShpInfo spid="_x0000_s2049"/>
    <customShpInfo spid="_x0000_s2053" textRotate="1"/>
    <customShpInfo spid="_x0000_s2054" textRotate="1"/>
    <customShpInfo spid="_x0000_s2055" textRotate="1"/>
    <customShpInfo spid="_x0000_s2052"/>
    <customShpInfo spid="_x0000_s2058" textRotate="1"/>
    <customShpInfo spid="_x0000_s2059" textRotate="1"/>
    <customShpInfo spid="_x0000_s2060" textRotate="1"/>
    <customShpInfo spid="_x0000_s2057"/>
    <customShpInfo spid="_x0000_s2062" textRotate="1"/>
    <customShpInfo spid="_x0000_s2063" textRotate="1"/>
    <customShpInfo spid="_x0000_s2061"/>
    <customShpInfo spid="_x0000_s2064" textRotate="1"/>
    <customShpInfo spid="_x0000_s2056" textRotate="1"/>
    <customShpInfo spid="_x0000_s2066" textRotate="1"/>
    <customShpInfo spid="_x0000_s2067" textRotate="1"/>
    <customShpInfo spid="_x0000_s2065"/>
    <customShpInfo spid="_x0000_s2069" textRotate="1"/>
    <customShpInfo spid="_x0000_s2070" textRotate="1"/>
    <customShpInfo spid="_x0000_s2071" textRotate="1"/>
    <customShpInfo spid="_x0000_s2068"/>
    <customShpInfo spid="_x0000_s2081" textRotate="1"/>
    <customShpInfo spid="_x0000_s2082" textRotate="1"/>
    <customShpInfo spid="_x0000_s2083" textRotate="1"/>
    <customShpInfo spid="_x0000_s2080"/>
    <customShpInfo spid="_x0000_s2085" textRotate="1"/>
    <customShpInfo spid="_x0000_s2086" textRotate="1"/>
    <customShpInfo spid="_x0000_s2084"/>
    <customShpInfo spid="_x0000_s2073" textRotate="1"/>
    <customShpInfo spid="_x0000_s2074" textRotate="1"/>
    <customShpInfo spid="_x0000_s2072"/>
    <customShpInfo spid="_x0000_s2076" textRotate="1"/>
    <customShpInfo spid="_x0000_s2077" textRotate="1"/>
    <customShpInfo spid="_x0000_s2078" textRotate="1"/>
    <customShpInfo spid="_x0000_s2075"/>
    <customShpInfo spid="_x0000_s2087" textRotate="1"/>
    <customShpInfo spid="_x0000_s2079" textRotate="1"/>
    <customShpInfo spid="_x0000_s2089" textRotate="1"/>
    <customShpInfo spid="_x0000_s2090" textRotate="1"/>
    <customShpInfo spid="_x0000_s2091" textRotate="1"/>
    <customShpInfo spid="_x0000_s2088"/>
    <customShpInfo spid="_x0000_s2092" textRotate="1"/>
    <customShpInfo spid="_x0000_s2101" textRotate="1"/>
    <customShpInfo spid="_x0000_s2102" textRotate="1"/>
    <customShpInfo spid="_x0000_s2103" textRotate="1"/>
    <customShpInfo spid="_x0000_s2100"/>
    <customShpInfo spid="_x0000_s2105" textRotate="1"/>
    <customShpInfo spid="_x0000_s2106" textRotate="1"/>
    <customShpInfo spid="_x0000_s2104"/>
    <customShpInfo spid="_x0000_s2094" textRotate="1"/>
    <customShpInfo spid="_x0000_s2095" textRotate="1"/>
    <customShpInfo spid="_x0000_s2096" textRotate="1"/>
    <customShpInfo spid="_x0000_s2093"/>
    <customShpInfo spid="_x0000_s2098" textRotate="1"/>
    <customShpInfo spid="_x0000_s2099" textRotate="1"/>
    <customShpInfo spid="_x0000_s2097"/>
    <customShpInfo spid="_x0000_s2107" textRotate="1"/>
    <customShpInfo spid="_x0000_s1087" textRotate="1"/>
    <customShpInfo spid="_x0000_s1088" textRotate="1"/>
    <customShpInfo spid="_x0000_s1086"/>
    <customShpInfo spid="_x0000_s1089" textRotate="1"/>
    <customShpInfo spid="_x0000_s1090" textRotate="1"/>
    <customShpInfo spid="_x0000_s1091" textRotate="1"/>
    <customShpInfo spid="_x0000_s1092" textRotate="1"/>
    <customShpInfo spid="_x0000_s1094" textRotate="1"/>
    <customShpInfo spid="_x0000_s1095" textRotate="1"/>
    <customShpInfo spid="_x0000_s1093"/>
    <customShpInfo spid="_x0000_s1096" textRotate="1"/>
    <customShpInfo spid="_x0000_s1097" textRotate="1"/>
    <customShpInfo spid="_x0000_s1098" textRotate="1"/>
    <customShpInfo spid="_x0000_s1099" textRotate="1"/>
    <customShpInfo spid="_x0000_s1100"/>
    <customShpInfo spid="_x0000_s1101"/>
    <customShpInfo spid="_x0000_s1102"/>
    <customShpInfo spid="_x0000_s1103"/>
    <customShpInfo spid="_x0000_s1104"/>
    <customShpInfo spid="_x0000_s1105" textRotate="1"/>
    <customShpInfo spid="_x0000_s1106" textRotate="1"/>
    <customShpInfo spid="_x0000_s110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6</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2023-06-26T03:20:30Z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