
<file path=[Content_Types].xml><?xml version="1.0" encoding="utf-8"?>
<Types xmlns="http://schemas.openxmlformats.org/package/2006/content-types">
  <Default Extension="xml" ContentType="application/xml"/>
  <Default Extension="jpeg" ContentType="image/jpeg"/>
  <Default Extension="JPG" ContentType="image/.jpg"/>
  <Default Extension="bmp" ContentType="image/bmp"/>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mc:AlternateContent>
          <mc:Choice Requires="wps">
            <w:drawing>
              <wp:anchor distT="0" distB="0" distL="114300" distR="114300" simplePos="0" relativeHeight="251665408" behindDoc="0" locked="0" layoutInCell="1" allowOverlap="1">
                <wp:simplePos x="0" y="0"/>
                <wp:positionH relativeFrom="column">
                  <wp:posOffset>1628775</wp:posOffset>
                </wp:positionH>
                <wp:positionV relativeFrom="paragraph">
                  <wp:posOffset>7872730</wp:posOffset>
                </wp:positionV>
                <wp:extent cx="2131695" cy="517525"/>
                <wp:effectExtent l="0" t="0" r="1905" b="635"/>
                <wp:wrapNone/>
                <wp:docPr id="5" name="文本框 5"/>
                <wp:cNvGraphicFramePr/>
                <a:graphic xmlns:a="http://schemas.openxmlformats.org/drawingml/2006/main">
                  <a:graphicData uri="http://schemas.microsoft.com/office/word/2010/wordprocessingShape">
                    <wps:wsp>
                      <wps:cNvSpPr txBox="1"/>
                      <wps:spPr>
                        <a:xfrm>
                          <a:off x="2600960" y="9102725"/>
                          <a:ext cx="2131695" cy="51752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28.25pt;margin-top:619.9pt;height:40.75pt;width:167.85pt;z-index:251665408;mso-width-relative:page;mso-height-relative:page;" filled="f" stroked="f" coordsize="21600,21600" o:gfxdata="UEsDBAoAAAAAAIdO4kAAAAAAAAAAAAAAAAAEAAAAZHJzL1BLAwQUAAAACACHTuJA5cw25dwAAAAN&#10;AQAADwAAAGRycy9kb3ducmV2LnhtbE2PS0/DMBCE70j9D9ZW4kadOErVhjgVilQhITi09MJtE7tJ&#10;hB8hdh/w61lO9Lgzn2Znys3VGnbWUxi8k5AuEmDatV4NrpNweN8+rICFiE6h8U5L+NYBNtXsrsRC&#10;+Yvb6fM+doxCXChQQh/jWHAe2l5bDAs/akfe0U8WI51Tx9WEFwq3hoskWXKLg6MPPY667nX7uT9Z&#10;CS/19g13jbCrH1M/vx6fxq/DRy7l/TxNHoFFfY3/MPzVp+pQUafGn5wKzEgQ+TInlAyRrWkEIfla&#10;CGANSZlIM+BVyW9XVL9QSwMEFAAAAAgAh07iQPHFNKArAgAAJAQAAA4AAABkcnMvZTJvRG9jLnht&#10;bK1TS44TMRDdI3EHy3vSn0knJEpnFGYUhBQxIwXE2nHb6Zb8w3bSHQ4AN5gVG/acK+eg7E4yEbBC&#10;bNxl1+v6vHo1u+2kQHtmXaNVibNBihFTVFeN2pb444flq9cYOU9URYRWrMQH5vDt/OWLWWumLNe1&#10;FhWzCIIoN21NiWvvzTRJHK2ZJG6gDVPg5NpK4uFqt0llSQvRpUjyNB0lrbaVsZoy5+D1vnfieYzP&#10;OaP+gXPHPBIlhtp8PG08N+FM5jMy3Vpi6oaeyiD/UIUkjYKkl1D3xBO0s80foWRDrXaa+wHVMtGc&#10;N5TFHqCbLP2tm3VNDIu9ADnOXGhy/y8sfb9/tKipSlxgpIiEER2fvh2//zz++IqKQE9r3BRQawM4&#10;373RHYz5/O7gMXTdcSvDF/pB4M9HaToZAd2HEk+yNB/nMRKZss4jGgDZTTaaQEYKiCIbFz0geY5k&#10;rPNvmZYoGCW2MMjIL9mvnIeqAHqGhMRKLxsh4jCFQm2JRzdFGn+4eOAPoeDH0E9fd7B8t+lOTW50&#10;dYAere5F4gxdNpB8RZx/JBZUAQ2B0v0DHFxoSKJPFka1tl/+9h7wMCzwYtSCykrsPu+IZRiJdwrG&#10;OMmGwyDLeBkW4xwu9tqzufaonbzTIOQMdsrQaAa8F2eTWy0/wUIsQlZwEUUhd4n92bzzvfZhoShb&#10;LCIIhGiIX6m1oSF0T+di5zVvItOBpp6bE3sgxTiA09oErV/fI+p5ue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KAEAABbQ29udGVudF9UeXBl&#10;c10ueG1sUEsBAhQACgAAAAAAh07iQAAAAAAAAAAAAAAAAAYAAAAAAAAAAAAQAAAAggMAAF9yZWxz&#10;L1BLAQIUABQAAAAIAIdO4kCKFGY80QAAAJQBAAALAAAAAAAAAAEAIAAAAKYDAABfcmVscy8ucmVs&#10;c1BLAQIUAAoAAAAAAIdO4kAAAAAAAAAAAAAAAAAEAAAAAAAAAAAAEAAAAAAAAABkcnMvUEsBAhQA&#10;FAAAAAgAh07iQOXMNuXcAAAADQEAAA8AAAAAAAAAAQAgAAAAIgAAAGRycy9kb3ducmV2LnhtbFBL&#10;AQIUABQAAAAIAIdO4kDxxTSgKwIAACQEAAAOAAAAAAAAAAEAIAAAACsBAABkcnMvZTJvRG9jLnht&#10;bFBLBQYAAAAABgAGAFkBAADIBQAAAAA=&#10;">
                <v:fill on="f" focussize="0,0"/>
                <v:stroke on="f" weight="0.5pt"/>
                <v:imagedata o:title=""/>
                <o:lock v:ext="edit" aspectratio="f"/>
                <v:textbox>
                  <w:txbxContent>
                    <w:p>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v:textbox>
              </v:shape>
            </w:pict>
          </mc:Fallback>
        </mc:AlternateContent>
      </w:r>
      <w:r>
        <w:drawing>
          <wp:anchor distT="0" distB="0" distL="114300" distR="114300" simplePos="0" relativeHeight="251666432" behindDoc="1" locked="0" layoutInCell="1" allowOverlap="1">
            <wp:simplePos x="0" y="0"/>
            <wp:positionH relativeFrom="column">
              <wp:posOffset>-997585</wp:posOffset>
            </wp:positionH>
            <wp:positionV relativeFrom="paragraph">
              <wp:posOffset>-1360170</wp:posOffset>
            </wp:positionV>
            <wp:extent cx="7592060" cy="10739755"/>
            <wp:effectExtent l="0" t="0" r="12700" b="4445"/>
            <wp:wrapNone/>
            <wp:docPr id="4" name="图片 4" descr="决算封面无"/>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决算封面无"/>
                    <pic:cNvPicPr>
                      <a:picLocks noChangeAspect="1"/>
                    </pic:cNvPicPr>
                  </pic:nvPicPr>
                  <pic:blipFill>
                    <a:blip r:embed="rId14"/>
                    <a:stretch>
                      <a:fillRect/>
                    </a:stretch>
                  </pic:blipFill>
                  <pic:spPr>
                    <a:xfrm>
                      <a:off x="0" y="0"/>
                      <a:ext cx="7592060" cy="10739755"/>
                    </a:xfrm>
                    <a:prstGeom prst="rect">
                      <a:avLst/>
                    </a:prstGeom>
                  </pic:spPr>
                </pic:pic>
              </a:graphicData>
            </a:graphic>
          </wp:anchor>
        </w:drawing>
      </w:r>
      <w:r>
        <w:br w:type="page"/>
      </w:r>
    </w:p>
    <w:p>
      <w:pPr>
        <w:jc w:val="center"/>
        <w:rPr>
          <w:rFonts w:hint="eastAsia" w:ascii="黑体" w:hAnsi="黑体" w:eastAsia="黑体" w:cs="黑体"/>
          <w:sz w:val="72"/>
          <w:szCs w:val="96"/>
          <w:highlight w:val="yellow"/>
          <w:lang w:eastAsia="zh-CN"/>
        </w:rPr>
      </w:pPr>
      <w:r>
        <w:rPr>
          <w:rFonts w:hint="eastAsia" w:ascii="黑体" w:hAnsi="黑体" w:eastAsia="黑体" w:cs="黑体"/>
          <w:sz w:val="72"/>
          <w:szCs w:val="96"/>
          <w:lang w:eastAsia="zh-CN"/>
        </w:rPr>
        <w:t>中共石家庄市鹿泉区委党校</w:t>
      </w:r>
    </w:p>
    <w:p>
      <w:pPr>
        <w:rPr>
          <w:rFonts w:ascii="黑体" w:hAnsi="黑体" w:eastAsia="黑体" w:cs="黑体"/>
          <w:sz w:val="72"/>
          <w:szCs w:val="96"/>
        </w:rPr>
      </w:pPr>
      <w:r>
        <w:rPr>
          <w:rFonts w:hint="eastAsia" w:ascii="黑体" w:hAnsi="黑体" w:eastAsia="黑体" w:cs="黑体"/>
          <w:sz w:val="72"/>
          <w:szCs w:val="96"/>
        </w:rPr>
        <w:t>2020年度部门决算公开文本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pacing w:line="480" w:lineRule="auto"/>
        <w:jc w:val="center"/>
        <w:rPr>
          <w:rFonts w:ascii="黑体" w:hAnsi="黑体" w:eastAsia="黑体" w:cs="黑体"/>
          <w:sz w:val="56"/>
          <w:szCs w:val="72"/>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center"/>
        <w:rPr>
          <w:rFonts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pgSz w:w="11906" w:h="16838"/>
          <w:pgMar w:top="2098" w:right="1531" w:bottom="1984" w:left="1531" w:header="851" w:footer="992" w:gutter="0"/>
          <w:pgBorders>
            <w:top w:val="none" w:sz="0" w:space="0"/>
            <w:left w:val="none" w:sz="0" w:space="0"/>
            <w:bottom w:val="none" w:sz="0" w:space="0"/>
            <w:right w:val="none" w:sz="0" w:space="0"/>
          </w:pgBorders>
          <w:cols w:space="0" w:num="1"/>
          <w:titlePg/>
          <w:docGrid w:type="lines" w:linePitch="312" w:charSpace="0"/>
        </w:sectPr>
      </w:pP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二〇二一年</w:t>
      </w:r>
      <w:r>
        <w:rPr>
          <w:rFonts w:hint="eastAsia" w:ascii="楷体_GB2312" w:hAnsi="楷体_GB2312" w:eastAsia="楷体_GB2312" w:cs="楷体_GB2312"/>
          <w:color w:val="000000" w:themeColor="text1"/>
          <w:kern w:val="0"/>
          <w:sz w:val="40"/>
          <w:szCs w:val="40"/>
          <w:lang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0"/>
          <w:szCs w:val="40"/>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p>
      <w:pPr>
        <w:jc w:val="center"/>
        <w:rPr>
          <w:rFonts w:ascii="黑体" w:hAnsi="黑体" w:eastAsia="黑体" w:cs="黑体"/>
          <w:sz w:val="56"/>
          <w:szCs w:val="72"/>
          <w:highlight w:val="yellow"/>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pgBorders>
            <w:top w:val="none" w:sz="0" w:space="0"/>
            <w:left w:val="none" w:sz="0" w:space="0"/>
            <w:bottom w:val="none" w:sz="0" w:space="0"/>
            <w:right w:val="none" w:sz="0" w:space="0"/>
          </w:pgBorders>
          <w:cols w:space="0" w:num="1"/>
          <w:titlePg/>
          <w:docGrid w:type="lines" w:linePitch="312" w:charSpace="0"/>
        </w:sectPr>
      </w:pPr>
    </w:p>
    <w:p>
      <w:pPr>
        <w:rPr>
          <w:rFonts w:ascii="黑体" w:hAnsi="Times New Roman" w:eastAsia="黑体" w:cs="Times New Roman"/>
          <w:sz w:val="48"/>
          <w:szCs w:val="48"/>
        </w:rPr>
      </w:pPr>
      <w:r>
        <w:rPr>
          <w:rFonts w:hint="eastAsia" w:ascii="黑体" w:hAnsi="Times New Roman" w:eastAsia="黑体" w:cs="Times New Roman"/>
          <w:sz w:val="48"/>
          <w:szCs w:val="48"/>
        </w:rPr>
        <w:br w:type="page"/>
      </w:r>
    </w:p>
    <w:p>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line="64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pPr>
        <w:widowControl/>
        <w:spacing w:line="64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pPr>
        <w:widowControl/>
        <w:spacing w:line="64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pPr>
        <w:widowControl/>
        <w:spacing w:line="640" w:lineRule="exact"/>
        <w:ind w:left="630" w:leftChars="300" w:firstLine="640" w:firstLineChars="200"/>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pPr>
        <w:widowControl/>
        <w:spacing w:line="64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pPr>
        <w:widowControl/>
        <w:spacing w:line="64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pPr>
        <w:widowControl/>
        <w:spacing w:after="160" w:line="580" w:lineRule="exact"/>
        <w:ind w:firstLine="640" w:firstLineChars="200"/>
        <w:rPr>
          <w:rFonts w:ascii="Times New Roman" w:hAnsi="Times New Roman" w:eastAsia="黑体" w:cs="Times New Roman"/>
          <w:sz w:val="32"/>
          <w:szCs w:val="32"/>
        </w:rPr>
        <w:sectPr>
          <w:headerReference r:id="rId8" w:type="first"/>
          <w:footerReference r:id="rId10" w:type="first"/>
          <w:headerReference r:id="rId7" w:type="default"/>
          <w:footerReference r:id="rId9" w:type="default"/>
          <w:type w:val="continuous"/>
          <w:pgSz w:w="11906" w:h="16838"/>
          <w:pgMar w:top="2098" w:right="1531" w:bottom="198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rPr>
          <w:sz w:val="72"/>
        </w:rPr>
        <mc:AlternateContent>
          <mc:Choice Requires="wps">
            <w:drawing>
              <wp:anchor distT="0" distB="0" distL="114300" distR="114300" simplePos="0" relativeHeight="251659264" behindDoc="0" locked="0" layoutInCell="1" allowOverlap="1">
                <wp:simplePos x="0" y="0"/>
                <wp:positionH relativeFrom="column">
                  <wp:posOffset>-1088390</wp:posOffset>
                </wp:positionH>
                <wp:positionV relativeFrom="paragraph">
                  <wp:posOffset>1024890</wp:posOffset>
                </wp:positionV>
                <wp:extent cx="7793355" cy="3341370"/>
                <wp:effectExtent l="6350" t="6350" r="18415" b="2032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5.7pt;margin-top:80.7pt;height:263.1pt;width:613.65pt;z-index:251659264;v-text-anchor:middle;mso-width-relative:page;mso-height-relative:page;" fillcolor="#7F7F7F [1612]" filled="t" stroked="t" coordsize="21600,21600" o:gfxdata="UEsDBAoAAAAAAIdO4kAAAAAAAAAAAAAAAAAEAAAAZHJzL1BLAwQUAAAACACHTuJAN/3mCNwAAAAN&#10;AQAADwAAAGRycy9kb3ducmV2LnhtbE2Py07DMBBF90j8gzVIbFBrB9E0hDhdIEDtqmqJBEsnHpKI&#10;eBzZ7uvv66xgN6N7dOdMsTqbgR3R+d6ShGQugCE1VvfUSqg+32cZMB8UaTVYQgkX9LAqb28KlWt7&#10;oh0e96FlsYR8riR0IYw5577p0Cg/tyNSzH6sMyrE1bVcO3WK5Wbgj0Kk3Kie4oVOjfjaYfO7PxgJ&#10;X+ux+n7YZh+bbrur3jaZry/OS3l/l4gXYAHP4Q+GST+qQxmdansg7dkgYZYsk6fIxiSdhgkRi8Uz&#10;sFpCmi1T4GXB/39RXgFQSwMEFAAAAAgAh07iQJXGhJ2FAgAAIwUAAA4AAABkcnMvZTJvRG9jLnht&#10;bK1Uy27UMBTdI/EPlvc08+zQUTPV0GoQUqGVCmLtcZxJJL+wPZOUD4A/YMWGPd/V7+DYyUxb2hUi&#10;kZxr35Pjc+/19elZqyTZCedro3M6PBpQIjQ3Ra03Of30cfXqNSU+MF0wabTI6a3w9Gzx8sVpY+di&#10;ZCojC+EISLSfNzanVQh2nmWeV0Ixf2Ss0HCWxikWMHWbrHCsAbuS2WgwOM4a4wrrDBfeY/Wic9JF&#10;4i9LwcNVWXoRiMwptIU0ujSu45gtTtl845itat7LYP+gQrFaY9MD1QULjGxd/YRK1dwZb8pwxI3K&#10;TFnWXKQYEM1w8Fc0NxWzIsWC5Hh7SJP/f7T8w+7akbpA7SZjSjRTKNLdj+93P3/f/fpG4iJS1Fg/&#10;B/LGAhvaN6YFfL/usRgjb0un4hcxEfiR7NtDgkUbCMfibHYyHk+nlHD4xuPJcDxLJcjuf7fOh7fC&#10;KBKNnDpUMCWW7S59gBRA95C4m2UhrGope7jlYZrg5eZcJlnebdYwyY7hBMxW8U0AuVXvTdEtTwd4&#10;Yjwg7/HJPpCsn2Vbpaf/r4dEeb2kKE9q0iBXoxn4CVcWefZ6kwR4I+siSo+4RyqXx/F9ovI4ynxG&#10;5SOimJsL5qsusOTqf5EaMcVCdgWLVmjXbV/dtSluUVxnug7xlq9qUF0yH66ZQ0tAP9o8XGEopUFQ&#10;prcoqYz7+tx6xOOkwktJgxZD7F+2zAlK5DuNM3wynExiT6bJZDobYeIeetYPPXqrzg1qOMSFYnky&#10;Iz7IvVk6oz7jNljGXeFimmPvnPLg9pPz0LU+7hMulssEQx+iYpf6xvJIHquhzXIbTFmn8xYT1WWn&#10;zx86MZ2O/taIrf5wnlD3d9viD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Df95gjcAAAADQEAAA8A&#10;AAAAAAAAAQAgAAAAIgAAAGRycy9kb3ducmV2LnhtbFBLAQIUABQAAAAIAIdO4kCVxoSdhQIAACMF&#10;AAAOAAAAAAAAAAEAIAAAACsBAABkcnMvZTJvRG9jLnhtbFBLBQYAAAAABgAGAFkBAAAiBgAAAAA=&#10;">
                <v:fill type="pattern" on="t" color2="#FFFFFF [3212]" focussize="0,0" r:id="rId15"/>
                <v:stroke weight="1pt" color="#A6A6A6 [2092]"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pPr>
        <w:spacing w:line="5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中国共产党石家庄市鹿泉区委员会党校系全额事业单位，办公场所位于鹿泉区获鹿镇龙泉路28号，单位现有编制</w:t>
      </w:r>
      <w:r>
        <w:rPr>
          <w:rFonts w:hint="eastAsia" w:ascii="仿宋_GB2312" w:hAnsi="仿宋_GB2312" w:eastAsia="仿宋_GB2312" w:cs="仿宋_GB2312"/>
          <w:sz w:val="32"/>
          <w:szCs w:val="32"/>
          <w:lang w:val="en-US" w:eastAsia="zh-CN"/>
        </w:rPr>
        <w:t>20</w:t>
      </w:r>
      <w:r>
        <w:rPr>
          <w:rFonts w:hint="eastAsia" w:ascii="仿宋_GB2312" w:hAnsi="仿宋_GB2312" w:eastAsia="仿宋_GB2312" w:cs="仿宋_GB2312"/>
          <w:sz w:val="32"/>
          <w:szCs w:val="32"/>
        </w:rPr>
        <w:t>人。单位主要为区委、区政府轮训和培训全区各级党政领导干部和理论骨干；针对区委、区政府的中心工作进行下基层调研，并撰写出有内涵的理论文章；为区委、区政府的政治理论出谋划策；承办区委、区政府交办的其它事项。</w:t>
      </w:r>
    </w:p>
    <w:p>
      <w:pPr>
        <w:keepNext/>
        <w:keepLines/>
        <w:spacing w:line="580" w:lineRule="exact"/>
        <w:ind w:firstLine="640" w:firstLineChars="200"/>
        <w:jc w:val="left"/>
        <w:outlineLvl w:val="0"/>
        <w:rPr>
          <w:rFonts w:ascii="黑体" w:hAnsi="Calibri" w:eastAsia="黑体" w:cs="黑体"/>
          <w:kern w:val="0"/>
          <w:sz w:val="32"/>
          <w:szCs w:val="32"/>
        </w:rPr>
      </w:pPr>
      <w:r>
        <w:rPr>
          <w:rFonts w:hint="eastAsia" w:ascii="黑体" w:hAnsi="Calibri" w:eastAsia="黑体" w:cs="黑体"/>
          <w:kern w:val="0"/>
          <w:sz w:val="32"/>
          <w:szCs w:val="32"/>
        </w:rPr>
        <w:t>二、机构设置</w:t>
      </w:r>
    </w:p>
    <w:p>
      <w:pPr>
        <w:spacing w:line="580" w:lineRule="exact"/>
        <w:ind w:firstLine="640" w:firstLineChars="200"/>
        <w:rPr>
          <w:rFonts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年度本部门决算汇编范围的独立核算单位（以下简称“单位”）共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tbl>
      <w:tblPr>
        <w:tblStyle w:val="7"/>
        <w:tblpPr w:leftFromText="180" w:rightFromText="180" w:vertAnchor="text" w:horzAnchor="page" w:tblpXSpec="center" w:tblpY="10"/>
        <w:tblOverlap w:val="never"/>
        <w:tblW w:w="94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8"/>
        <w:gridCol w:w="3426"/>
        <w:gridCol w:w="2404"/>
        <w:gridCol w:w="26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73" w:hRule="atLeast"/>
          <w:jc w:val="center"/>
        </w:trPr>
        <w:tc>
          <w:tcPr>
            <w:tcW w:w="968"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426"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404"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622" w:type="dxa"/>
            <w:vAlign w:val="center"/>
          </w:tcPr>
          <w:p>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1" w:hRule="atLeast"/>
          <w:jc w:val="center"/>
        </w:trPr>
        <w:tc>
          <w:tcPr>
            <w:tcW w:w="968" w:type="dxa"/>
            <w:vAlign w:val="top"/>
          </w:tcPr>
          <w:p>
            <w:pPr>
              <w:tabs>
                <w:tab w:val="left" w:pos="335"/>
              </w:tabs>
              <w:spacing w:after="0" w:line="560" w:lineRule="exact"/>
              <w:jc w:val="both"/>
              <w:rPr>
                <w:rFonts w:hint="default"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val="en-US" w:eastAsia="zh-CN" w:bidi="ar-SA"/>
              </w:rPr>
              <w:t>1</w:t>
            </w:r>
          </w:p>
        </w:tc>
        <w:tc>
          <w:tcPr>
            <w:tcW w:w="3426" w:type="dxa"/>
            <w:vAlign w:val="top"/>
          </w:tcPr>
          <w:p>
            <w:pPr>
              <w:keepNext w:val="0"/>
              <w:keepLines w:val="0"/>
              <w:pageBreakBefore w:val="0"/>
              <w:widowControl w:val="0"/>
              <w:kinsoku/>
              <w:wordWrap/>
              <w:overflowPunct/>
              <w:topLinePunct w:val="0"/>
              <w:autoSpaceDE/>
              <w:autoSpaceDN/>
              <w:bidi w:val="0"/>
              <w:adjustRightInd/>
              <w:snapToGrid/>
              <w:spacing w:after="0" w:line="400" w:lineRule="exact"/>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eastAsia="zh-CN"/>
              </w:rPr>
              <w:t>中国共产党石家庄市鹿泉区委员会党校</w:t>
            </w:r>
          </w:p>
        </w:tc>
        <w:tc>
          <w:tcPr>
            <w:tcW w:w="2404" w:type="dxa"/>
            <w:vAlign w:val="top"/>
          </w:tcPr>
          <w:p>
            <w:pPr>
              <w:keepNext w:val="0"/>
              <w:keepLines w:val="0"/>
              <w:pageBreakBefore w:val="0"/>
              <w:widowControl w:val="0"/>
              <w:kinsoku/>
              <w:wordWrap/>
              <w:overflowPunct/>
              <w:topLinePunct w:val="0"/>
              <w:autoSpaceDE/>
              <w:autoSpaceDN/>
              <w:bidi w:val="0"/>
              <w:adjustRightInd/>
              <w:snapToGrid/>
              <w:spacing w:after="0" w:line="400" w:lineRule="exact"/>
              <w:jc w:val="center"/>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eastAsia="zh-CN"/>
              </w:rPr>
              <w:t>财政补助事业单位</w:t>
            </w:r>
          </w:p>
        </w:tc>
        <w:tc>
          <w:tcPr>
            <w:tcW w:w="2622" w:type="dxa"/>
            <w:vAlign w:val="top"/>
          </w:tcPr>
          <w:p>
            <w:pPr>
              <w:keepNext w:val="0"/>
              <w:keepLines w:val="0"/>
              <w:pageBreakBefore w:val="0"/>
              <w:widowControl w:val="0"/>
              <w:kinsoku/>
              <w:wordWrap/>
              <w:overflowPunct/>
              <w:topLinePunct w:val="0"/>
              <w:autoSpaceDE/>
              <w:autoSpaceDN/>
              <w:bidi w:val="0"/>
              <w:adjustRightInd/>
              <w:snapToGrid/>
              <w:spacing w:after="0" w:line="400" w:lineRule="exact"/>
              <w:jc w:val="center"/>
              <w:textAlignment w:val="auto"/>
              <w:rPr>
                <w:rFonts w:hint="eastAsia" w:ascii="仿宋_GB2312" w:hAnsi="仿宋_GB2312" w:eastAsia="仿宋_GB2312" w:cs="仿宋_GB2312"/>
                <w:kern w:val="0"/>
                <w:sz w:val="32"/>
                <w:szCs w:val="32"/>
                <w:lang w:val="en-US" w:eastAsia="zh-CN" w:bidi="ar-SA"/>
              </w:rPr>
            </w:pPr>
            <w:r>
              <w:rPr>
                <w:rFonts w:hint="eastAsia" w:ascii="仿宋_GB2312" w:hAnsi="仿宋_GB2312" w:eastAsia="仿宋_GB2312" w:cs="仿宋_GB2312"/>
                <w:kern w:val="0"/>
                <w:sz w:val="32"/>
                <w:szCs w:val="32"/>
                <w:lang w:eastAsia="zh-CN"/>
              </w:rPr>
              <w:t>财政性资金基本保证</w:t>
            </w:r>
          </w:p>
        </w:tc>
      </w:tr>
    </w:tbl>
    <w:p>
      <w:pPr>
        <w:widowControl/>
        <w:spacing w:after="160" w:line="580" w:lineRule="exact"/>
        <w:ind w:firstLine="640" w:firstLineChars="200"/>
        <w:rPr>
          <w:rFonts w:ascii="Times New Roman" w:hAnsi="Times New Roman" w:eastAsia="黑体" w:cs="Times New Roman"/>
          <w:sz w:val="32"/>
          <w:szCs w:val="32"/>
        </w:rPr>
      </w:pPr>
    </w:p>
    <w:p>
      <w:pPr>
        <w:widowControl/>
        <w:spacing w:after="160" w:line="580" w:lineRule="exact"/>
        <w:ind w:firstLine="640" w:firstLineChars="200"/>
        <w:rPr>
          <w:rFonts w:ascii="Times New Roman" w:hAnsi="Times New Roman" w:eastAsia="黑体" w:cs="Times New Roman"/>
          <w:sz w:val="32"/>
          <w:szCs w:val="32"/>
        </w:rPr>
      </w:pPr>
    </w:p>
    <w:p/>
    <w:p>
      <w:pPr>
        <w:widowControl/>
        <w:spacing w:after="160" w:line="580" w:lineRule="exact"/>
        <w:ind w:firstLine="1440" w:firstLineChars="200"/>
        <w:rPr>
          <w:rFonts w:ascii="Times New Roman" w:hAnsi="Times New Roman" w:eastAsia="黑体" w:cs="Times New Roman"/>
          <w:sz w:val="32"/>
          <w:szCs w:val="32"/>
        </w:rPr>
        <w:sectPr>
          <w:headerReference r:id="rId11" w:type="default"/>
          <w:pgSz w:w="11906" w:h="16838"/>
          <w:pgMar w:top="2098" w:right="1531" w:bottom="198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rPr>
        <mc:AlternateContent>
          <mc:Choice Requires="wps">
            <w:drawing>
              <wp:anchor distT="0" distB="0" distL="114300" distR="114300" simplePos="0" relativeHeight="251661312"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85.7pt;margin-top:238.15pt;height:173.25pt;width:613.65pt;z-index:251661312;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pPr>
        <w:widowControl/>
        <w:spacing w:line="580" w:lineRule="exact"/>
        <w:ind w:firstLine="640" w:firstLineChars="200"/>
        <w:rPr>
          <w:rFonts w:eastAsia="黑体"/>
          <w:sz w:val="32"/>
          <w:szCs w:val="3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p>
    <w:p>
      <w:pPr>
        <w:jc w:val="center"/>
        <w:rPr>
          <w:rFonts w:ascii="黑体" w:hAnsi="黑体" w:eastAsia="黑体" w:cs="黑体"/>
          <w:sz w:val="56"/>
          <w:szCs w:val="72"/>
        </w:rPr>
      </w:pPr>
      <w:r>
        <w:rPr>
          <w:sz w:val="72"/>
        </w:rPr>
        <mc:AlternateContent>
          <mc:Choice Requires="wps">
            <w:drawing>
              <wp:anchor distT="0" distB="0" distL="114300" distR="114300" simplePos="0" relativeHeight="251662336" behindDoc="0" locked="0" layoutInCell="1" allowOverlap="1">
                <wp:simplePos x="0" y="0"/>
                <wp:positionH relativeFrom="column">
                  <wp:posOffset>-1028065</wp:posOffset>
                </wp:positionH>
                <wp:positionV relativeFrom="paragraph">
                  <wp:posOffset>-2637155</wp:posOffset>
                </wp:positionV>
                <wp:extent cx="7793355" cy="3341370"/>
                <wp:effectExtent l="6350" t="6350" r="18415" b="20320"/>
                <wp:wrapNone/>
                <wp:docPr id="2" name="文本框 2"/>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12700" cmpd="sng">
                          <a:solidFill>
                            <a:schemeClr val="bg1">
                              <a:lumMod val="65000"/>
                            </a:schemeClr>
                          </a:solidFill>
                          <a:prstDash val="solid"/>
                        </a:ln>
                      </wps:spPr>
                      <wps:style>
                        <a:lnRef idx="0">
                          <a:schemeClr val="accent1"/>
                        </a:lnRef>
                        <a:fillRef idx="0">
                          <a:schemeClr val="accent1"/>
                        </a:fillRef>
                        <a:effectRef idx="0">
                          <a:schemeClr val="accent1"/>
                        </a:effectRef>
                        <a:fontRef idx="minor">
                          <a:schemeClr val="dk1"/>
                        </a:fontRef>
                      </wps:style>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5pt;margin-top:-207.65pt;height:263.1pt;width:613.65pt;z-index:251662336;v-text-anchor:middle;mso-width-relative:page;mso-height-relative:page;" fillcolor="#7F7F7F [1612]" filled="t" stroked="t" coordsize="21600,21600" o:gfxdata="UEsDBAoAAAAAAIdO4kAAAAAAAAAAAAAAAAAEAAAAZHJzL1BLAwQUAAAACACHTuJAvBcO0d0AAAAO&#10;AQAADwAAAGRycy9kb3ducmV2LnhtbE2Py07DMBBF90j8gzVIbFBrG9ooTeN0gQDRVdUSCZZO7MYR&#10;sR3Z7uvvma7K7o7m6M6ZcnW2AznqEHvvBPApA6Jd61XvOgH11/skBxKTdEoO3mkBFx1hVd3flbJQ&#10;/uS2+rhLHcESFwspwKQ0FpTG1mgr49SP2uFu74OVCcfQURXkCcvtQJ8Zy6iVvcMLRo761ej2d3ew&#10;Ar4/x/rnaZN/rM1mW7+t89hcQhTi8YGzJZCkz+kGw1Uf1aFCp8YfnIpkEDDhGV8gi2nG5y9ArgzL&#10;5jMgDSbOFkCrkv5/o/oDUEsDBBQAAAAIAIdO4kBTlixyhAIAAB8FAAAOAAAAZHJzL2Uyb0RvYy54&#10;bWytVMtu1DAU3SPxD5b3NPPs0FEz1dBqEFKhlQpi7XGcSSS/sD2TlA+AP2DFhj3f1e/g2MlMW9oV&#10;IpGca9+T63PP9fXpWask2Qnna6NzOjwaUCI0N0WtNzn99HH16jUlPjBdMGm0yOmt8PRs8fLFaWPn&#10;YmQqIwvhCIJoP29sTqsQ7DzLPK+EYv7IWKHhLI1TLGDqNlnhWIPoSmajweA4a4wrrDNceI/Vi85J&#10;Fyl+WQoersrSi0BkTsEtpNGlcR3HbHHK5hvHbFXzngb7BxaK1RqbHkJdsMDI1tVPQqmaO+NNGY64&#10;UZkpy5qLlAOyGQ7+yuamYlakXCCOtweZ/P8Lyz/srh2pi5yOKNFMoUR3P77f/fx99+sbGUV5Guvn&#10;QN1Y4EL7xrQo837dYzFm3ZZOxS/yIfBD6NuDuKINhGNxNjsZj6dTSjh84/FkOJ4l+bP7363z4a0w&#10;ikQjpw7VS6Ky3aUPoALoHhJ3syyEVS1lD7c8TBO83JzLRMu7zRom2TFUf7aKbwLIrXpvim55OsAT&#10;80HwHp/sQ5D1s9FW6en/6yGRXk8p0pOaNNBqNEN8wpWFxl5vEgFvZF1E6hH3iOXyOL5PWB5Hms+w&#10;fBQoanPBfNUlllz9L1Ijp1jIrmDRCu267au7NsUtiutM1x3e8lWNUJfMh2vm0A7gjxYPVxhKaZCU&#10;6S1KKuO+Prce8Til8FLSoL2Q+5ctc4IS+U7j/J4MJ5PYj2kymc5GmLiHnvVDj96qc4MaDnGZWJ7M&#10;iA9yb5bOqM+4CZZxV7iY5tg7pzy4/eQ8dG2Pu4SL5TLB0IOo2KW+sTwGj9XQZrkNpqzTeYtCder0&#10;+qEL0+nob4zY5g/nCXV/ry3+AF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LwXDtHdAAAADgEAAA8A&#10;AAAAAAAAAQAgAAAAIgAAAGRycy9kb3ducmV2LnhtbFBLAQIUABQAAAAIAIdO4kBTlixyhAIAAB8F&#10;AAAOAAAAAAAAAAEAIAAAACwBAABkcnMvZTJvRG9jLnhtbFBLBQYAAAAABgAGAFkBAAAiBgAAAAA=&#10;">
                <v:fill type="pattern" on="t" color2="#FFFFFF [3212]" focussize="0,0" r:id="rId15"/>
                <v:stroke weight="1pt" color="#A6A6A6 [2092]"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2020年部门决算情况说明</w:t>
                      </w:r>
                    </w:p>
                    <w:p>
                      <w:pPr>
                        <w:widowControl/>
                        <w:jc w:val="center"/>
                        <w:rPr>
                          <w14:textOutline w14:w="9525" w14:cap="flat" w14:cmpd="sng" w14:algn="ctr">
                            <w14:solidFill>
                              <w14:schemeClr w14:val="tx1">
                                <w14:lumMod w14:val="50000"/>
                                <w14:lumOff w14:val="50000"/>
                              </w14:schemeClr>
                            </w14:solidFill>
                            <w14:prstDash w14:val="solid"/>
                            <w14:round/>
                          </w14:textOutline>
                        </w:rPr>
                      </w:pPr>
                    </w:p>
                    <w:p/>
                  </w:txbxContent>
                </v:textbox>
              </v:shape>
            </w:pict>
          </mc:Fallback>
        </mc:AlternateContent>
      </w:r>
    </w:p>
    <w:p>
      <w:pPr>
        <w:jc w:val="center"/>
        <w:rPr>
          <w:rFonts w:ascii="黑体" w:hAnsi="黑体" w:eastAsia="黑体" w:cs="黑体"/>
          <w:sz w:val="56"/>
          <w:szCs w:val="72"/>
        </w:rPr>
      </w:pPr>
    </w:p>
    <w:p>
      <w:pPr>
        <w:keepNext/>
        <w:keepLines/>
        <w:snapToGrid w:val="0"/>
        <w:spacing w:line="600" w:lineRule="exact"/>
        <w:outlineLvl w:val="1"/>
        <w:rPr>
          <w:rFonts w:ascii="黑体" w:hAnsi="Calibri" w:eastAsia="黑体" w:cs="Times New Roman"/>
          <w:sz w:val="32"/>
          <w:szCs w:val="32"/>
        </w:rPr>
      </w:pPr>
      <w:r>
        <w:br w:type="page"/>
      </w:r>
      <w:r>
        <w:rPr>
          <w:rFonts w:hint="eastAsia"/>
          <w:lang w:val="en-US" w:eastAsia="zh-CN"/>
        </w:rPr>
        <w:t xml:space="preserve">      </w:t>
      </w:r>
      <w:r>
        <w:rPr>
          <w:rFonts w:hint="eastAsia" w:ascii="黑体" w:hAnsi="黑体" w:eastAsia="黑体" w:cs="黑体"/>
          <w:sz w:val="32"/>
          <w:szCs w:val="32"/>
          <w:lang w:val="en-US" w:eastAsia="zh-CN"/>
        </w:rPr>
        <w:t>一、</w:t>
      </w:r>
      <w:r>
        <w:rPr>
          <w:rFonts w:hint="eastAsia" w:ascii="黑体" w:hAnsi="Calibri" w:eastAsia="黑体" w:cs="Times New Roman"/>
          <w:sz w:val="32"/>
          <w:szCs w:val="32"/>
        </w:rPr>
        <w:t>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pPr>
        <w:adjustRightInd w:val="0"/>
        <w:snapToGrid w:val="0"/>
        <w:spacing w:line="600" w:lineRule="exact"/>
        <w:ind w:firstLine="640" w:firstLineChars="200"/>
        <w:rPr>
          <w:rFonts w:hint="eastAsia" w:ascii="仿宋" w:hAnsi="仿宋" w:eastAsia="仿宋" w:cs="仿宋"/>
          <w:sz w:val="32"/>
          <w:szCs w:val="32"/>
          <w:lang w:val="en-US" w:eastAsia="zh-CN"/>
        </w:rPr>
      </w:pPr>
      <w:r>
        <w:rPr>
          <w:rFonts w:hint="eastAsia" w:ascii="仿宋_GB2312" w:hAnsi="Times New Roman" w:eastAsia="仿宋_GB2312" w:cs="Wingdings"/>
          <w:sz w:val="32"/>
          <w:szCs w:val="32"/>
        </w:rPr>
        <w:t>本部门2020年度收、支总计（含结转和结余）</w:t>
      </w:r>
      <w:r>
        <w:rPr>
          <w:rFonts w:hint="eastAsia" w:ascii="仿宋_GB2312" w:hAnsi="Times New Roman" w:eastAsia="仿宋_GB2312" w:cs="Wingdings"/>
          <w:sz w:val="32"/>
          <w:szCs w:val="32"/>
          <w:lang w:val="en-US" w:eastAsia="zh-CN"/>
        </w:rPr>
        <w:t>463.39</w:t>
      </w:r>
      <w:r>
        <w:rPr>
          <w:rFonts w:hint="eastAsia" w:ascii="仿宋_GB2312" w:hAnsi="Times New Roman" w:eastAsia="仿宋_GB2312" w:cs="Wingdings"/>
          <w:sz w:val="32"/>
          <w:szCs w:val="32"/>
        </w:rPr>
        <w:t>万元。与2019年度决算相比，收支各增加</w:t>
      </w:r>
      <w:r>
        <w:rPr>
          <w:rFonts w:hint="eastAsia" w:ascii="仿宋_GB2312" w:hAnsi="Times New Roman" w:eastAsia="仿宋_GB2312" w:cs="Wingdings"/>
          <w:sz w:val="32"/>
          <w:szCs w:val="32"/>
          <w:lang w:val="en-US" w:eastAsia="zh-CN"/>
        </w:rPr>
        <w:t>93.6</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20</w:t>
      </w:r>
      <w:r>
        <w:rPr>
          <w:rFonts w:hint="eastAsia" w:ascii="仿宋_GB2312" w:hAnsi="Times New Roman" w:eastAsia="仿宋_GB2312" w:cs="Wingdings"/>
          <w:sz w:val="32"/>
          <w:szCs w:val="32"/>
        </w:rPr>
        <w:t>%，主要原因是</w:t>
      </w:r>
      <w:r>
        <w:rPr>
          <w:rFonts w:hint="default" w:ascii="Calibri" w:hAnsi="Calibri" w:eastAsia="仿宋_GB2312" w:cs="Calibri"/>
          <w:sz w:val="32"/>
          <w:szCs w:val="32"/>
        </w:rPr>
        <w:t>①</w:t>
      </w:r>
      <w:r>
        <w:rPr>
          <w:rFonts w:hint="eastAsia" w:ascii="仿宋" w:hAnsi="仿宋" w:eastAsia="仿宋" w:cs="仿宋"/>
          <w:sz w:val="32"/>
          <w:szCs w:val="32"/>
          <w:lang w:val="en-US" w:eastAsia="zh-CN"/>
        </w:rPr>
        <w:t>2020年工资待遇水平提高，社保经费提高；</w:t>
      </w:r>
      <w:r>
        <w:rPr>
          <w:rFonts w:hint="default" w:ascii="Calibri" w:hAnsi="Calibri" w:eastAsia="仿宋" w:cs="Calibri"/>
          <w:sz w:val="32"/>
          <w:szCs w:val="32"/>
          <w:lang w:val="en-US" w:eastAsia="zh-CN"/>
        </w:rPr>
        <w:t>②</w:t>
      </w:r>
      <w:r>
        <w:rPr>
          <w:rFonts w:hint="eastAsia" w:ascii="仿宋" w:hAnsi="仿宋" w:eastAsia="仿宋" w:cs="仿宋"/>
          <w:sz w:val="32"/>
          <w:szCs w:val="32"/>
          <w:lang w:val="en-US" w:eastAsia="zh-CN"/>
        </w:rPr>
        <w:t>调入2人；</w:t>
      </w:r>
      <w:r>
        <w:rPr>
          <w:rFonts w:hint="default" w:ascii="Calibri" w:hAnsi="Calibri" w:eastAsia="仿宋" w:cs="Calibri"/>
          <w:sz w:val="32"/>
          <w:szCs w:val="32"/>
          <w:lang w:val="en-US" w:eastAsia="zh-CN"/>
        </w:rPr>
        <w:t>③</w:t>
      </w:r>
      <w:r>
        <w:rPr>
          <w:rFonts w:hint="eastAsia" w:ascii="仿宋" w:hAnsi="仿宋" w:eastAsia="仿宋" w:cs="仿宋"/>
          <w:sz w:val="32"/>
          <w:szCs w:val="32"/>
          <w:lang w:val="en-US" w:eastAsia="zh-CN"/>
        </w:rPr>
        <w:t>增加专项教学培训运行经费；</w:t>
      </w:r>
      <w:r>
        <w:rPr>
          <w:rFonts w:hint="default" w:ascii="Calibri" w:hAnsi="Calibri" w:eastAsia="仿宋_GB2312" w:cs="Calibri"/>
          <w:sz w:val="32"/>
          <w:szCs w:val="32"/>
        </w:rPr>
        <w:t>④</w:t>
      </w:r>
      <w:r>
        <w:rPr>
          <w:rFonts w:hint="eastAsia" w:ascii="仿宋" w:hAnsi="仿宋" w:eastAsia="仿宋" w:cs="仿宋"/>
          <w:sz w:val="32"/>
          <w:szCs w:val="32"/>
          <w:lang w:val="en-US" w:eastAsia="zh-CN"/>
        </w:rPr>
        <w:t>增加雨水管网改造专项资金。</w:t>
      </w:r>
    </w:p>
    <w:p>
      <w:pPr>
        <w:adjustRightInd w:val="0"/>
        <w:snapToGrid w:val="0"/>
        <w:spacing w:line="600" w:lineRule="exact"/>
        <w:ind w:firstLine="420" w:firstLineChars="200"/>
        <w:rPr>
          <w:rFonts w:ascii="仿宋_GB2312" w:hAnsi="Times New Roman" w:eastAsia="仿宋_GB2312" w:cs="Wingdings"/>
          <w:sz w:val="32"/>
          <w:szCs w:val="32"/>
        </w:rPr>
      </w:pPr>
      <w:r>
        <w:drawing>
          <wp:anchor distT="0" distB="0" distL="114300" distR="114300" simplePos="0" relativeHeight="251666432" behindDoc="0" locked="0" layoutInCell="1" allowOverlap="1">
            <wp:simplePos x="0" y="0"/>
            <wp:positionH relativeFrom="column">
              <wp:posOffset>466725</wp:posOffset>
            </wp:positionH>
            <wp:positionV relativeFrom="paragraph">
              <wp:posOffset>85725</wp:posOffset>
            </wp:positionV>
            <wp:extent cx="4596130" cy="2062480"/>
            <wp:effectExtent l="0" t="0" r="13970" b="13970"/>
            <wp:wrapSquare wrapText="bothSides"/>
            <wp:docPr id="7"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2"/>
                    <pic:cNvPicPr>
                      <a:picLocks noChangeAspect="1"/>
                    </pic:cNvPicPr>
                  </pic:nvPicPr>
                  <pic:blipFill>
                    <a:blip r:embed="rId16"/>
                    <a:stretch>
                      <a:fillRect/>
                    </a:stretch>
                  </pic:blipFill>
                  <pic:spPr>
                    <a:xfrm>
                      <a:off x="0" y="0"/>
                      <a:ext cx="4596130" cy="2062480"/>
                    </a:xfrm>
                    <a:prstGeom prst="rect">
                      <a:avLst/>
                    </a:prstGeom>
                    <a:noFill/>
                    <a:ln>
                      <a:noFill/>
                    </a:ln>
                  </pic:spPr>
                </pic:pic>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adjustRightInd w:val="0"/>
        <w:snapToGrid w:val="0"/>
        <w:spacing w:line="600" w:lineRule="exact"/>
        <w:ind w:firstLine="640" w:firstLineChars="200"/>
        <w:rPr>
          <w:rFonts w:ascii="仿宋_GB2312" w:hAnsi="Times New Roman" w:eastAsia="仿宋_GB2312" w:cs="Wingdings"/>
          <w:sz w:val="32"/>
          <w:szCs w:val="32"/>
        </w:rPr>
      </w:pPr>
    </w:p>
    <w:p>
      <w:pPr>
        <w:tabs>
          <w:tab w:val="left" w:pos="5800"/>
        </w:tabs>
        <w:adjustRightInd w:val="0"/>
        <w:snapToGrid w:val="0"/>
        <w:spacing w:line="600" w:lineRule="exact"/>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二、收入决算情况说明</w:t>
      </w:r>
    </w:p>
    <w:p>
      <w:pPr>
        <w:adjustRightInd w:val="0"/>
        <w:snapToGrid w:val="0"/>
        <w:spacing w:line="600" w:lineRule="exact"/>
        <w:ind w:firstLine="640" w:firstLineChars="200"/>
        <w:rPr>
          <w:rFonts w:hint="eastAsia" w:ascii="仿宋_GB2312" w:hAnsi="Times New Roman" w:eastAsia="仿宋_GB2312" w:cs="Wingdings"/>
          <w:sz w:val="32"/>
          <w:szCs w:val="32"/>
          <w:highlight w:val="yellow"/>
          <w:lang w:eastAsia="zh-CN"/>
        </w:rPr>
      </w:pPr>
      <w:r>
        <w:rPr>
          <w:rFonts w:hint="eastAsia" w:ascii="仿宋_GB2312" w:hAnsi="Times New Roman" w:eastAsia="仿宋_GB2312" w:cs="Wingdings"/>
          <w:sz w:val="32"/>
          <w:szCs w:val="32"/>
        </w:rPr>
        <w:t>本</w:t>
      </w:r>
      <w:r>
        <w:rPr>
          <w:rFonts w:hint="eastAsia" w:ascii="仿宋_GB2312" w:hAnsi="Times New Roman" w:eastAsia="仿宋_GB2312" w:cs="Wingdings"/>
          <w:color w:val="000000" w:themeColor="text1"/>
          <w:sz w:val="32"/>
          <w:szCs w:val="32"/>
          <w14:textFill>
            <w14:solidFill>
              <w14:schemeClr w14:val="tx1"/>
            </w14:solidFill>
          </w14:textFill>
        </w:rPr>
        <w:t>部门2020年度本年收入合计</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452.26</w:t>
      </w:r>
      <w:r>
        <w:rPr>
          <w:rFonts w:hint="eastAsia" w:ascii="仿宋_GB2312" w:hAnsi="Times New Roman" w:eastAsia="仿宋_GB2312" w:cs="Wingdings"/>
          <w:color w:val="000000" w:themeColor="text1"/>
          <w:sz w:val="32"/>
          <w:szCs w:val="32"/>
          <w14:textFill>
            <w14:solidFill>
              <w14:schemeClr w14:val="tx1"/>
            </w14:solidFill>
          </w14:textFill>
        </w:rPr>
        <w:t>万元，其中：财政拨款收入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412.4</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91</w:t>
      </w:r>
      <w:r>
        <w:rPr>
          <w:rFonts w:hint="eastAsia" w:ascii="仿宋_GB2312" w:hAnsi="Times New Roman" w:eastAsia="仿宋_GB2312" w:cs="Wingdings"/>
          <w:color w:val="000000" w:themeColor="text1"/>
          <w:sz w:val="32"/>
          <w:szCs w:val="32"/>
          <w14:textFill>
            <w14:solidFill>
              <w14:schemeClr w14:val="tx1"/>
            </w14:solidFill>
          </w14:textFill>
        </w:rPr>
        <w:t>%；上级补助收入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%；事业收入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%；经营收入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%；附属单位上缴收入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0</w:t>
      </w:r>
      <w:r>
        <w:rPr>
          <w:rFonts w:hint="eastAsia" w:ascii="仿宋_GB2312" w:hAnsi="Times New Roman" w:eastAsia="仿宋_GB2312" w:cs="Wingdings"/>
          <w:color w:val="000000" w:themeColor="text1"/>
          <w:sz w:val="32"/>
          <w:szCs w:val="32"/>
          <w14:textFill>
            <w14:solidFill>
              <w14:schemeClr w14:val="tx1"/>
            </w14:solidFill>
          </w14:textFill>
        </w:rPr>
        <w:t>%；其他收入</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39.86</w:t>
      </w:r>
      <w:r>
        <w:rPr>
          <w:rFonts w:hint="eastAsia" w:ascii="仿宋_GB2312" w:hAnsi="Times New Roman" w:eastAsia="仿宋_GB2312" w:cs="Wingdings"/>
          <w:color w:val="000000" w:themeColor="text1"/>
          <w:sz w:val="32"/>
          <w:szCs w:val="32"/>
          <w14:textFill>
            <w14:solidFill>
              <w14:schemeClr w14:val="tx1"/>
            </w14:solidFill>
          </w14:textFill>
        </w:rPr>
        <w:t>万元，占</w:t>
      </w:r>
      <w:r>
        <w:rPr>
          <w:rFonts w:hint="eastAsia" w:ascii="仿宋_GB2312" w:hAnsi="Times New Roman" w:eastAsia="仿宋_GB2312" w:cs="Wingdings"/>
          <w:color w:val="000000" w:themeColor="text1"/>
          <w:sz w:val="32"/>
          <w:szCs w:val="32"/>
          <w:lang w:val="en-US" w:eastAsia="zh-CN"/>
          <w14:textFill>
            <w14:solidFill>
              <w14:schemeClr w14:val="tx1"/>
            </w14:solidFill>
          </w14:textFill>
        </w:rPr>
        <w:t>9</w:t>
      </w:r>
      <w:r>
        <w:rPr>
          <w:rFonts w:hint="eastAsia" w:ascii="仿宋_GB2312" w:hAnsi="Times New Roman" w:eastAsia="仿宋_GB2312" w:cs="Wingdings"/>
          <w:color w:val="000000" w:themeColor="text1"/>
          <w:sz w:val="32"/>
          <w:szCs w:val="32"/>
          <w14:textFill>
            <w14:solidFill>
              <w14:schemeClr w14:val="tx1"/>
            </w14:solidFill>
          </w14:textFill>
        </w:rPr>
        <w:t>%。</w:t>
      </w:r>
      <w:r>
        <w:rPr>
          <w:rFonts w:hint="eastAsia" w:ascii="仿宋_GB2312" w:hAnsi="Times New Roman" w:eastAsia="仿宋_GB2312" w:cs="Wingdings"/>
          <w:sz w:val="32"/>
          <w:szCs w:val="32"/>
        </w:rPr>
        <w:t>如图所示</w:t>
      </w:r>
      <w:r>
        <w:rPr>
          <w:rFonts w:hint="eastAsia" w:ascii="仿宋_GB2312" w:hAnsi="Times New Roman" w:eastAsia="仿宋_GB2312" w:cs="Wingdings"/>
          <w:sz w:val="32"/>
          <w:szCs w:val="32"/>
          <w:lang w:eastAsia="zh-CN"/>
        </w:rPr>
        <w:t>：</w:t>
      </w:r>
    </w:p>
    <w:p>
      <w:pPr>
        <w:adjustRightInd w:val="0"/>
        <w:snapToGrid w:val="0"/>
        <w:spacing w:line="600" w:lineRule="exact"/>
        <w:ind w:firstLine="420" w:firstLineChars="200"/>
        <w:rPr>
          <w:rFonts w:hint="eastAsia" w:ascii="仿宋_GB2312" w:hAnsi="Times New Roman" w:eastAsia="仿宋_GB2312" w:cs="Wingdings"/>
          <w:sz w:val="32"/>
          <w:szCs w:val="32"/>
          <w:highlight w:val="yellow"/>
        </w:rPr>
      </w:pPr>
      <w:r>
        <w:drawing>
          <wp:anchor distT="0" distB="0" distL="114300" distR="114300" simplePos="0" relativeHeight="251667456" behindDoc="0" locked="0" layoutInCell="1" allowOverlap="1">
            <wp:simplePos x="0" y="0"/>
            <wp:positionH relativeFrom="column">
              <wp:posOffset>514350</wp:posOffset>
            </wp:positionH>
            <wp:positionV relativeFrom="paragraph">
              <wp:posOffset>99695</wp:posOffset>
            </wp:positionV>
            <wp:extent cx="4614545" cy="2377440"/>
            <wp:effectExtent l="0" t="0" r="14605" b="3810"/>
            <wp:wrapSquare wrapText="bothSides"/>
            <wp:docPr id="8"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3"/>
                    <pic:cNvPicPr>
                      <a:picLocks noChangeAspect="1"/>
                    </pic:cNvPicPr>
                  </pic:nvPicPr>
                  <pic:blipFill>
                    <a:blip r:embed="rId17"/>
                    <a:stretch>
                      <a:fillRect/>
                    </a:stretch>
                  </pic:blipFill>
                  <pic:spPr>
                    <a:xfrm>
                      <a:off x="0" y="0"/>
                      <a:ext cx="4614545" cy="2377440"/>
                    </a:xfrm>
                    <a:prstGeom prst="rect">
                      <a:avLst/>
                    </a:prstGeom>
                    <a:noFill/>
                    <a:ln>
                      <a:noFill/>
                    </a:ln>
                  </pic:spPr>
                </pic:pic>
              </a:graphicData>
            </a:graphic>
          </wp:anchor>
        </w:drawing>
      </w: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rPr>
          <w:rFonts w:ascii="仿宋_GB2312" w:hAnsi="Times New Roman" w:eastAsia="仿宋_GB2312" w:cs="Wingdings"/>
          <w:sz w:val="32"/>
          <w:szCs w:val="32"/>
        </w:rPr>
      </w:pPr>
    </w:p>
    <w:p>
      <w:pPr>
        <w:snapToGrid w:val="0"/>
        <w:spacing w:line="600" w:lineRule="exact"/>
        <w:outlineLvl w:val="1"/>
        <w:rPr>
          <w:rFonts w:ascii="黑体" w:hAnsi="Calibri" w:eastAsia="黑体" w:cs="Times New Roman"/>
          <w:sz w:val="32"/>
          <w:szCs w:val="32"/>
        </w:rPr>
      </w:pPr>
    </w:p>
    <w:p>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本部门2020年度本年支出合计</w:t>
      </w:r>
      <w:r>
        <w:rPr>
          <w:rFonts w:hint="eastAsia" w:ascii="仿宋_GB2312" w:hAnsi="Times New Roman" w:eastAsia="仿宋_GB2312" w:cs="Wingdings"/>
          <w:sz w:val="32"/>
          <w:szCs w:val="32"/>
          <w:lang w:val="en-US" w:eastAsia="zh-CN"/>
        </w:rPr>
        <w:t>448.79</w:t>
      </w:r>
      <w:r>
        <w:rPr>
          <w:rFonts w:hint="eastAsia" w:ascii="仿宋_GB2312" w:hAnsi="Times New Roman" w:eastAsia="仿宋_GB2312" w:cs="Wingdings"/>
          <w:sz w:val="32"/>
          <w:szCs w:val="32"/>
        </w:rPr>
        <w:t>万元，其中：基本支出</w:t>
      </w:r>
      <w:r>
        <w:rPr>
          <w:rFonts w:hint="eastAsia" w:ascii="仿宋_GB2312" w:hAnsi="Times New Roman" w:eastAsia="仿宋_GB2312" w:cs="Wingdings"/>
          <w:sz w:val="32"/>
          <w:szCs w:val="32"/>
          <w:lang w:val="en-US" w:eastAsia="zh-CN"/>
        </w:rPr>
        <w:t>418.79</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93</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30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7</w:t>
      </w:r>
      <w:r>
        <w:rPr>
          <w:rFonts w:hint="eastAsia" w:ascii="仿宋_GB2312" w:hAnsi="Times New Roman" w:eastAsia="仿宋_GB2312" w:cs="Wingdings"/>
          <w:sz w:val="32"/>
          <w:szCs w:val="32"/>
        </w:rPr>
        <w:t>%；上缴上级支出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%；经营支出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%；对附属单位补助支出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%。如图所示：</w:t>
      </w:r>
    </w:p>
    <w:p>
      <w:pPr>
        <w:adjustRightInd w:val="0"/>
        <w:snapToGrid w:val="0"/>
        <w:spacing w:line="600" w:lineRule="exact"/>
        <w:ind w:firstLine="1260" w:firstLineChars="600"/>
        <w:rPr>
          <w:rFonts w:ascii="仿宋_GB2312" w:hAnsi="Times New Roman" w:eastAsia="仿宋_GB2312" w:cs="Wingdings"/>
          <w:sz w:val="32"/>
          <w:szCs w:val="32"/>
        </w:rPr>
      </w:pPr>
      <w:r>
        <w:drawing>
          <wp:anchor distT="0" distB="0" distL="114300" distR="114300" simplePos="0" relativeHeight="251668480" behindDoc="0" locked="0" layoutInCell="1" allowOverlap="1">
            <wp:simplePos x="0" y="0"/>
            <wp:positionH relativeFrom="column">
              <wp:posOffset>514350</wp:posOffset>
            </wp:positionH>
            <wp:positionV relativeFrom="paragraph">
              <wp:posOffset>238125</wp:posOffset>
            </wp:positionV>
            <wp:extent cx="4596130" cy="2767330"/>
            <wp:effectExtent l="0" t="0" r="13970" b="13970"/>
            <wp:wrapSquare wrapText="bothSides"/>
            <wp:docPr id="9"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4"/>
                    <pic:cNvPicPr>
                      <a:picLocks noChangeAspect="1"/>
                    </pic:cNvPicPr>
                  </pic:nvPicPr>
                  <pic:blipFill>
                    <a:blip r:embed="rId18"/>
                    <a:stretch>
                      <a:fillRect/>
                    </a:stretch>
                  </pic:blipFill>
                  <pic:spPr>
                    <a:xfrm>
                      <a:off x="0" y="0"/>
                      <a:ext cx="4596130" cy="2767330"/>
                    </a:xfrm>
                    <a:prstGeom prst="rect">
                      <a:avLst/>
                    </a:prstGeom>
                    <a:noFill/>
                    <a:ln>
                      <a:noFill/>
                    </a:ln>
                  </pic:spPr>
                </pic:pic>
              </a:graphicData>
            </a:graphic>
          </wp:anchor>
        </w:drawing>
      </w: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adjustRightInd w:val="0"/>
        <w:snapToGrid w:val="0"/>
        <w:spacing w:line="600" w:lineRule="exact"/>
        <w:ind w:firstLine="1920" w:firstLineChars="600"/>
        <w:rPr>
          <w:rFonts w:ascii="仿宋_GB2312" w:hAnsi="Times New Roman" w:eastAsia="仿宋_GB2312" w:cs="Wingdings"/>
          <w:sz w:val="32"/>
          <w:szCs w:val="32"/>
        </w:rPr>
      </w:pPr>
    </w:p>
    <w:p>
      <w:pPr>
        <w:keepNext/>
        <w:keepLines/>
        <w:snapToGrid w:val="0"/>
        <w:spacing w:line="600" w:lineRule="exact"/>
        <w:ind w:firstLine="643" w:firstLineChars="200"/>
        <w:outlineLvl w:val="1"/>
        <w:rPr>
          <w:rFonts w:ascii="黑体" w:hAnsi="Calibri" w:eastAsia="黑体" w:cs="Times New Roman"/>
          <w:b/>
          <w:bCs/>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sz w:val="32"/>
          <w:szCs w:val="32"/>
        </w:rPr>
        <w:t>本部门2020年度财政拨款收支均为一般公共预算财政拨款，其中本年收入</w:t>
      </w:r>
      <w:r>
        <w:rPr>
          <w:rFonts w:hint="eastAsia" w:ascii="仿宋_GB2312" w:hAnsi="Times New Roman" w:eastAsia="仿宋_GB2312" w:cs="Wingdings"/>
          <w:sz w:val="32"/>
          <w:szCs w:val="32"/>
          <w:lang w:val="en-US" w:eastAsia="zh-CN"/>
        </w:rPr>
        <w:t>412.4</w:t>
      </w:r>
      <w:r>
        <w:rPr>
          <w:rFonts w:hint="eastAsia" w:ascii="仿宋_GB2312" w:hAnsi="Times New Roman" w:eastAsia="仿宋_GB2312" w:cs="Wingdings"/>
          <w:sz w:val="32"/>
          <w:szCs w:val="32"/>
        </w:rPr>
        <w:t>万元,比2019年度增加</w:t>
      </w:r>
      <w:r>
        <w:rPr>
          <w:rFonts w:hint="eastAsia" w:ascii="仿宋_GB2312" w:hAnsi="Times New Roman" w:eastAsia="仿宋_GB2312" w:cs="Wingdings"/>
          <w:sz w:val="32"/>
          <w:szCs w:val="32"/>
          <w:lang w:val="en-US" w:eastAsia="zh-CN"/>
        </w:rPr>
        <w:t>53.84</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13</w:t>
      </w:r>
      <w:r>
        <w:rPr>
          <w:rFonts w:hint="eastAsia" w:ascii="仿宋_GB2312" w:hAnsi="Times New Roman" w:eastAsia="仿宋_GB2312" w:cs="Wingdings"/>
          <w:sz w:val="32"/>
          <w:szCs w:val="32"/>
        </w:rPr>
        <w:t>%，主要是</w:t>
      </w:r>
      <w:r>
        <w:rPr>
          <w:rFonts w:hint="default" w:ascii="Calibri" w:hAnsi="Calibri" w:eastAsia="仿宋_GB2312" w:cs="Calibri"/>
          <w:sz w:val="32"/>
          <w:szCs w:val="32"/>
        </w:rPr>
        <w:t>①</w:t>
      </w:r>
      <w:r>
        <w:rPr>
          <w:rFonts w:hint="eastAsia" w:ascii="仿宋" w:hAnsi="仿宋" w:eastAsia="仿宋" w:cs="仿宋"/>
          <w:sz w:val="32"/>
          <w:szCs w:val="32"/>
          <w:lang w:val="en-US" w:eastAsia="zh-CN"/>
        </w:rPr>
        <w:t>2020年工资待遇水平提高，社保经费提高，</w:t>
      </w:r>
      <w:r>
        <w:rPr>
          <w:rFonts w:hint="default" w:ascii="Calibri" w:hAnsi="Calibri" w:eastAsia="仿宋" w:cs="Calibri"/>
          <w:sz w:val="32"/>
          <w:szCs w:val="32"/>
          <w:lang w:val="en-US" w:eastAsia="zh-CN"/>
        </w:rPr>
        <w:t>②</w:t>
      </w:r>
      <w:r>
        <w:rPr>
          <w:rFonts w:hint="eastAsia" w:ascii="仿宋" w:hAnsi="仿宋" w:eastAsia="仿宋" w:cs="仿宋"/>
          <w:sz w:val="32"/>
          <w:szCs w:val="32"/>
          <w:lang w:val="en-US" w:eastAsia="zh-CN"/>
        </w:rPr>
        <w:t>调入2人，</w:t>
      </w:r>
      <w:r>
        <w:rPr>
          <w:rFonts w:hint="default" w:ascii="Calibri" w:hAnsi="Calibri" w:eastAsia="仿宋" w:cs="Calibri"/>
          <w:sz w:val="32"/>
          <w:szCs w:val="32"/>
          <w:lang w:val="en-US" w:eastAsia="zh-CN"/>
        </w:rPr>
        <w:t>③</w:t>
      </w:r>
      <w:r>
        <w:rPr>
          <w:rFonts w:hint="eastAsia" w:ascii="仿宋" w:hAnsi="仿宋" w:eastAsia="仿宋" w:cs="仿宋"/>
          <w:sz w:val="32"/>
          <w:szCs w:val="32"/>
          <w:lang w:val="en-US" w:eastAsia="zh-CN"/>
        </w:rPr>
        <w:t>增加专项教学培训运行经费</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408.93</w:t>
      </w:r>
      <w:r>
        <w:rPr>
          <w:rFonts w:hint="eastAsia" w:ascii="仿宋_GB2312" w:hAnsi="Times New Roman" w:eastAsia="仿宋_GB2312" w:cs="Wingdings"/>
          <w:sz w:val="32"/>
          <w:szCs w:val="32"/>
        </w:rPr>
        <w:t>万元，增加</w:t>
      </w:r>
      <w:r>
        <w:rPr>
          <w:rFonts w:hint="eastAsia" w:ascii="仿宋_GB2312" w:hAnsi="Times New Roman" w:eastAsia="仿宋_GB2312" w:cs="Wingdings"/>
          <w:sz w:val="32"/>
          <w:szCs w:val="32"/>
          <w:lang w:val="en-US" w:eastAsia="zh-CN"/>
        </w:rPr>
        <w:t>46.8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11</w:t>
      </w:r>
      <w:r>
        <w:rPr>
          <w:rFonts w:hint="eastAsia" w:ascii="仿宋_GB2312" w:hAnsi="Times New Roman" w:eastAsia="仿宋_GB2312" w:cs="Wingdings"/>
          <w:sz w:val="32"/>
          <w:szCs w:val="32"/>
        </w:rPr>
        <w:t>%，主要是</w:t>
      </w:r>
      <w:r>
        <w:rPr>
          <w:rFonts w:hint="default" w:ascii="Calibri" w:hAnsi="Calibri" w:eastAsia="仿宋_GB2312" w:cs="Calibri"/>
          <w:sz w:val="32"/>
          <w:szCs w:val="32"/>
        </w:rPr>
        <w:t>①</w:t>
      </w:r>
      <w:r>
        <w:rPr>
          <w:rFonts w:hint="eastAsia" w:ascii="仿宋" w:hAnsi="仿宋" w:eastAsia="仿宋" w:cs="仿宋"/>
          <w:sz w:val="32"/>
          <w:szCs w:val="32"/>
          <w:lang w:val="en-US" w:eastAsia="zh-CN"/>
        </w:rPr>
        <w:t>2020年工资待遇水平提高，社保经费提高，</w:t>
      </w:r>
      <w:r>
        <w:rPr>
          <w:rFonts w:hint="default" w:ascii="Calibri" w:hAnsi="Calibri" w:eastAsia="仿宋" w:cs="Calibri"/>
          <w:sz w:val="32"/>
          <w:szCs w:val="32"/>
          <w:lang w:val="en-US" w:eastAsia="zh-CN"/>
        </w:rPr>
        <w:t>②</w:t>
      </w:r>
      <w:r>
        <w:rPr>
          <w:rFonts w:hint="eastAsia" w:ascii="仿宋" w:hAnsi="仿宋" w:eastAsia="仿宋" w:cs="仿宋"/>
          <w:sz w:val="32"/>
          <w:szCs w:val="32"/>
          <w:lang w:val="en-US" w:eastAsia="zh-CN"/>
        </w:rPr>
        <w:t>调入2人，</w:t>
      </w:r>
      <w:r>
        <w:rPr>
          <w:rFonts w:hint="default" w:ascii="Calibri" w:hAnsi="Calibri" w:eastAsia="仿宋" w:cs="Calibri"/>
          <w:sz w:val="32"/>
          <w:szCs w:val="32"/>
          <w:lang w:val="en-US" w:eastAsia="zh-CN"/>
        </w:rPr>
        <w:t>③</w:t>
      </w:r>
      <w:r>
        <w:rPr>
          <w:rFonts w:hint="eastAsia" w:ascii="仿宋" w:hAnsi="仿宋" w:eastAsia="仿宋" w:cs="仿宋"/>
          <w:sz w:val="32"/>
          <w:szCs w:val="32"/>
          <w:lang w:val="en-US" w:eastAsia="zh-CN"/>
        </w:rPr>
        <w:t>增加专项教学培训运行经费</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如图所示：</w:t>
      </w:r>
    </w:p>
    <w:p>
      <w:pPr>
        <w:adjustRightInd w:val="0"/>
        <w:snapToGrid w:val="0"/>
        <w:spacing w:line="600" w:lineRule="exact"/>
        <w:ind w:firstLine="420" w:firstLineChars="200"/>
        <w:rPr>
          <w:rFonts w:hint="eastAsia" w:ascii="仿宋_GB2312" w:hAnsi="Times New Roman" w:eastAsia="仿宋_GB2312" w:cs="Wingdings"/>
          <w:sz w:val="32"/>
          <w:szCs w:val="32"/>
          <w:highlight w:val="yellow"/>
        </w:rPr>
      </w:pPr>
      <w:r>
        <w:drawing>
          <wp:anchor distT="0" distB="0" distL="114300" distR="114300" simplePos="0" relativeHeight="251669504" behindDoc="0" locked="0" layoutInCell="1" allowOverlap="1">
            <wp:simplePos x="0" y="0"/>
            <wp:positionH relativeFrom="column">
              <wp:posOffset>314325</wp:posOffset>
            </wp:positionH>
            <wp:positionV relativeFrom="paragraph">
              <wp:posOffset>200025</wp:posOffset>
            </wp:positionV>
            <wp:extent cx="4596130" cy="2367915"/>
            <wp:effectExtent l="0" t="0" r="13970" b="13335"/>
            <wp:wrapSquare wrapText="bothSides"/>
            <wp:docPr id="10"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5"/>
                    <pic:cNvPicPr>
                      <a:picLocks noChangeAspect="1"/>
                    </pic:cNvPicPr>
                  </pic:nvPicPr>
                  <pic:blipFill>
                    <a:blip r:embed="rId19"/>
                    <a:stretch>
                      <a:fillRect/>
                    </a:stretch>
                  </pic:blipFill>
                  <pic:spPr>
                    <a:xfrm>
                      <a:off x="0" y="0"/>
                      <a:ext cx="4596130" cy="2367915"/>
                    </a:xfrm>
                    <a:prstGeom prst="rect">
                      <a:avLst/>
                    </a:prstGeom>
                    <a:noFill/>
                    <a:ln>
                      <a:noFill/>
                    </a:ln>
                  </pic:spPr>
                </pic:pic>
              </a:graphicData>
            </a:graphic>
          </wp:anchor>
        </w:drawing>
      </w: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hint="eastAsia"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（二）财政拨款收支与年初预算数对比情况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本部门2020年度一般公共预算财政拨款收入</w:t>
      </w:r>
      <w:r>
        <w:rPr>
          <w:rFonts w:hint="eastAsia" w:ascii="仿宋_GB2312" w:hAnsi="Times New Roman" w:eastAsia="仿宋_GB2312" w:cs="Wingdings"/>
          <w:sz w:val="32"/>
          <w:szCs w:val="32"/>
          <w:lang w:val="en-US" w:eastAsia="zh-CN"/>
        </w:rPr>
        <w:t>412.4</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102</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4.85</w:t>
      </w:r>
      <w:r>
        <w:rPr>
          <w:rFonts w:hint="eastAsia" w:ascii="仿宋_GB2312" w:hAnsi="Times New Roman" w:eastAsia="仿宋_GB2312" w:cs="Wingdings"/>
          <w:sz w:val="32"/>
          <w:szCs w:val="32"/>
        </w:rPr>
        <w:t>万元，决算数大于预算数主要原因是</w:t>
      </w:r>
      <w:r>
        <w:rPr>
          <w:rFonts w:hint="eastAsia" w:ascii="仿宋" w:hAnsi="仿宋" w:eastAsia="仿宋" w:cs="仿宋"/>
          <w:sz w:val="32"/>
          <w:szCs w:val="32"/>
          <w:lang w:val="en-US" w:eastAsia="zh-CN"/>
        </w:rPr>
        <w:t>2020年工资待遇水平提高，社保经费提高</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408.93</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101</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1.38</w:t>
      </w:r>
      <w:r>
        <w:rPr>
          <w:rFonts w:hint="eastAsia" w:ascii="仿宋_GB2312" w:hAnsi="Times New Roman" w:eastAsia="仿宋_GB2312" w:cs="Wingdings"/>
          <w:sz w:val="32"/>
          <w:szCs w:val="32"/>
        </w:rPr>
        <w:t>万元，决算数大于预算数主要原因是</w:t>
      </w:r>
      <w:r>
        <w:rPr>
          <w:rFonts w:hint="eastAsia" w:ascii="仿宋" w:hAnsi="仿宋" w:eastAsia="仿宋" w:cs="仿宋"/>
          <w:sz w:val="32"/>
          <w:szCs w:val="32"/>
          <w:lang w:val="en-US" w:eastAsia="zh-CN"/>
        </w:rPr>
        <w:t>2020年工资待遇水平提高，社保经费提高</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如图所示：</w:t>
      </w:r>
    </w:p>
    <w:p>
      <w:pPr>
        <w:adjustRightInd w:val="0"/>
        <w:snapToGrid w:val="0"/>
        <w:spacing w:line="600" w:lineRule="exact"/>
        <w:ind w:firstLine="420" w:firstLineChars="200"/>
        <w:rPr>
          <w:rFonts w:ascii="仿宋_GB2312" w:hAnsi="Times New Roman" w:eastAsia="仿宋_GB2312" w:cs="Wingdings"/>
          <w:sz w:val="32"/>
          <w:szCs w:val="32"/>
          <w:highlight w:val="yellow"/>
        </w:rPr>
      </w:pPr>
      <w:r>
        <w:drawing>
          <wp:anchor distT="0" distB="0" distL="114300" distR="114300" simplePos="0" relativeHeight="251670528" behindDoc="0" locked="0" layoutInCell="1" allowOverlap="1">
            <wp:simplePos x="0" y="0"/>
            <wp:positionH relativeFrom="column">
              <wp:posOffset>457200</wp:posOffset>
            </wp:positionH>
            <wp:positionV relativeFrom="paragraph">
              <wp:posOffset>106045</wp:posOffset>
            </wp:positionV>
            <wp:extent cx="4596130" cy="2510790"/>
            <wp:effectExtent l="0" t="0" r="13970" b="3810"/>
            <wp:wrapSquare wrapText="bothSides"/>
            <wp:docPr id="12"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7"/>
                    <pic:cNvPicPr>
                      <a:picLocks noChangeAspect="1"/>
                    </pic:cNvPicPr>
                  </pic:nvPicPr>
                  <pic:blipFill>
                    <a:blip r:embed="rId20"/>
                    <a:stretch>
                      <a:fillRect/>
                    </a:stretch>
                  </pic:blipFill>
                  <pic:spPr>
                    <a:xfrm>
                      <a:off x="0" y="0"/>
                      <a:ext cx="4596130" cy="2510790"/>
                    </a:xfrm>
                    <a:prstGeom prst="rect">
                      <a:avLst/>
                    </a:prstGeom>
                    <a:noFill/>
                    <a:ln>
                      <a:noFill/>
                    </a:ln>
                  </pic:spPr>
                </pic:pic>
              </a:graphicData>
            </a:graphic>
          </wp:anchor>
        </w:drawing>
      </w: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adjustRightInd w:val="0"/>
        <w:snapToGrid w:val="0"/>
        <w:spacing w:line="600" w:lineRule="exact"/>
        <w:ind w:firstLine="640" w:firstLineChars="200"/>
        <w:rPr>
          <w:rFonts w:ascii="仿宋_GB2312" w:hAnsi="Times New Roman" w:eastAsia="仿宋_GB2312" w:cs="Wingdings"/>
          <w:sz w:val="32"/>
          <w:szCs w:val="32"/>
          <w:highlight w:val="yellow"/>
        </w:rPr>
      </w:pPr>
    </w:p>
    <w:p>
      <w:pPr>
        <w:numPr>
          <w:ilvl w:val="0"/>
          <w:numId w:val="1"/>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448.79</w:t>
      </w:r>
      <w:r>
        <w:rPr>
          <w:rFonts w:hint="eastAsia" w:ascii="仿宋_GB2312" w:hAnsi="Times New Roman" w:eastAsia="仿宋_GB2312" w:cs="Wingdings"/>
          <w:sz w:val="32"/>
          <w:szCs w:val="32"/>
        </w:rPr>
        <w:t>万元，主要用于以下方面：比如：</w:t>
      </w:r>
      <w:r>
        <w:rPr>
          <w:rFonts w:hint="eastAsia" w:ascii="仿宋_GB2312" w:hAnsi="Times New Roman" w:eastAsia="仿宋_GB2312" w:cs="Wingdings"/>
          <w:sz w:val="32"/>
          <w:szCs w:val="32"/>
          <w:lang w:eastAsia="zh-CN"/>
        </w:rPr>
        <w:t>教育</w:t>
      </w:r>
      <w:r>
        <w:rPr>
          <w:rFonts w:hint="eastAsia" w:ascii="仿宋_GB2312" w:hAnsi="Times New Roman" w:eastAsia="仿宋_GB2312" w:cs="Wingdings"/>
          <w:sz w:val="32"/>
          <w:szCs w:val="32"/>
        </w:rPr>
        <w:t>支出</w:t>
      </w:r>
      <w:r>
        <w:rPr>
          <w:rFonts w:hint="eastAsia" w:ascii="仿宋_GB2312" w:hAnsi="Times New Roman" w:eastAsia="仿宋_GB2312" w:cs="Wingdings"/>
          <w:sz w:val="32"/>
          <w:szCs w:val="32"/>
          <w:lang w:val="en-US" w:eastAsia="zh-CN"/>
        </w:rPr>
        <w:t>374.26</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83</w:t>
      </w:r>
      <w:r>
        <w:rPr>
          <w:rFonts w:hint="eastAsia" w:ascii="仿宋_GB2312" w:hAnsi="Times New Roman" w:eastAsia="仿宋_GB2312" w:cs="Wingdings"/>
          <w:sz w:val="32"/>
          <w:szCs w:val="32"/>
        </w:rPr>
        <w:t xml:space="preserve">%；社会保障和就业支出 </w:t>
      </w:r>
      <w:r>
        <w:rPr>
          <w:rFonts w:hint="eastAsia" w:ascii="仿宋_GB2312" w:hAnsi="Times New Roman" w:eastAsia="仿宋_GB2312" w:cs="Wingdings"/>
          <w:sz w:val="32"/>
          <w:szCs w:val="32"/>
          <w:lang w:val="en-US" w:eastAsia="zh-CN"/>
        </w:rPr>
        <w:t>29.42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卫生健康支出</w:t>
      </w:r>
      <w:r>
        <w:rPr>
          <w:rFonts w:hint="eastAsia" w:ascii="仿宋_GB2312" w:hAnsi="Times New Roman" w:eastAsia="仿宋_GB2312" w:cs="Wingdings"/>
          <w:sz w:val="32"/>
          <w:szCs w:val="32"/>
          <w:lang w:val="en-US" w:eastAsia="zh-CN"/>
        </w:rPr>
        <w:t>23.59万元，占5%；</w:t>
      </w:r>
      <w:r>
        <w:rPr>
          <w:rFonts w:hint="eastAsia" w:ascii="仿宋_GB2312" w:hAnsi="Times New Roman" w:eastAsia="仿宋_GB2312" w:cs="Wingdings"/>
          <w:sz w:val="32"/>
          <w:szCs w:val="32"/>
        </w:rPr>
        <w:t>住房保障支出</w:t>
      </w:r>
      <w:r>
        <w:rPr>
          <w:rFonts w:hint="eastAsia" w:ascii="仿宋_GB2312" w:hAnsi="Times New Roman" w:eastAsia="仿宋_GB2312" w:cs="Wingdings"/>
          <w:sz w:val="32"/>
          <w:szCs w:val="32"/>
          <w:lang w:val="en-US" w:eastAsia="zh-CN"/>
        </w:rPr>
        <w:t>21.52</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5</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如图所示：</w:t>
      </w:r>
    </w:p>
    <w:p>
      <w:pPr>
        <w:adjustRightInd w:val="0"/>
        <w:snapToGrid w:val="0"/>
        <w:spacing w:line="600" w:lineRule="exact"/>
        <w:rPr>
          <w:rFonts w:ascii="楷体_GB2312" w:hAnsi="Times New Roman" w:eastAsia="楷体_GB2312" w:cs="Mongolian Baiti"/>
          <w:b/>
          <w:bCs/>
          <w:sz w:val="32"/>
          <w:szCs w:val="32"/>
        </w:rPr>
      </w:pPr>
      <w:r>
        <w:drawing>
          <wp:anchor distT="0" distB="0" distL="114300" distR="114300" simplePos="0" relativeHeight="251671552" behindDoc="0" locked="0" layoutInCell="1" allowOverlap="1">
            <wp:simplePos x="0" y="0"/>
            <wp:positionH relativeFrom="column">
              <wp:posOffset>657225</wp:posOffset>
            </wp:positionH>
            <wp:positionV relativeFrom="paragraph">
              <wp:posOffset>238125</wp:posOffset>
            </wp:positionV>
            <wp:extent cx="4596130" cy="2767330"/>
            <wp:effectExtent l="0" t="0" r="13970" b="13970"/>
            <wp:wrapSquare wrapText="bothSides"/>
            <wp:docPr id="13"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8"/>
                    <pic:cNvPicPr>
                      <a:picLocks noChangeAspect="1"/>
                    </pic:cNvPicPr>
                  </pic:nvPicPr>
                  <pic:blipFill>
                    <a:blip r:embed="rId21"/>
                    <a:stretch>
                      <a:fillRect/>
                    </a:stretch>
                  </pic:blipFill>
                  <pic:spPr>
                    <a:xfrm>
                      <a:off x="0" y="0"/>
                      <a:ext cx="4596130" cy="2767330"/>
                    </a:xfrm>
                    <a:prstGeom prst="rect">
                      <a:avLst/>
                    </a:prstGeom>
                    <a:noFill/>
                    <a:ln>
                      <a:noFill/>
                    </a:ln>
                  </pic:spPr>
                </pic:pic>
              </a:graphicData>
            </a:graphic>
          </wp:anchor>
        </w:drawing>
      </w: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rPr>
          <w:rFonts w:ascii="楷体_GB2312" w:hAnsi="Times New Roman" w:eastAsia="楷体_GB2312" w:cs="Mongolian Baiti"/>
          <w:b/>
          <w:bCs/>
          <w:sz w:val="32"/>
          <w:szCs w:val="32"/>
        </w:rPr>
      </w:pPr>
    </w:p>
    <w:p>
      <w:pPr>
        <w:adjustRightInd w:val="0"/>
        <w:snapToGrid w:val="0"/>
        <w:spacing w:line="600" w:lineRule="exact"/>
        <w:ind w:left="420" w:leftChars="200"/>
        <w:rPr>
          <w:rFonts w:ascii="仿宋_GB2312" w:hAnsi="Times New Roman" w:eastAsia="仿宋_GB2312" w:cs="Wingdings"/>
          <w:sz w:val="32"/>
          <w:szCs w:val="32"/>
          <w:highlight w:val="yellow"/>
        </w:rPr>
      </w:pPr>
      <w:r>
        <w:rPr>
          <w:rFonts w:hint="eastAsia" w:ascii="楷体_GB2312" w:hAnsi="Times New Roman" w:eastAsia="楷体_GB2312" w:cs="Mongolian Baiti"/>
          <w:b/>
          <w:bCs/>
          <w:sz w:val="32"/>
          <w:szCs w:val="32"/>
        </w:rPr>
        <w:t>（四）一般公共预算基本支出决算情况说明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2020年度财政拨款基本支出</w:t>
      </w:r>
      <w:r>
        <w:rPr>
          <w:rFonts w:hint="eastAsia" w:ascii="仿宋_GB2312" w:hAnsi="Times New Roman" w:eastAsia="仿宋_GB2312" w:cs="Wingdings"/>
          <w:sz w:val="32"/>
          <w:szCs w:val="32"/>
          <w:lang w:val="en-US" w:eastAsia="zh-CN"/>
        </w:rPr>
        <w:t>378.93</w:t>
      </w:r>
      <w:r>
        <w:rPr>
          <w:rFonts w:hint="eastAsia" w:ascii="仿宋_GB2312" w:hAnsi="Times New Roman" w:eastAsia="仿宋_GB2312" w:cs="Wingdings"/>
          <w:sz w:val="32"/>
          <w:szCs w:val="32"/>
        </w:rPr>
        <w:t>万元，其中：人员经费</w:t>
      </w:r>
      <w:r>
        <w:rPr>
          <w:rFonts w:hint="eastAsia" w:ascii="仿宋_GB2312" w:hAnsi="Times New Roman" w:eastAsia="仿宋_GB2312" w:cs="Wingdings"/>
          <w:sz w:val="32"/>
          <w:szCs w:val="32"/>
          <w:lang w:val="en-US" w:eastAsia="zh-CN"/>
        </w:rPr>
        <w:t>329.84</w:t>
      </w:r>
      <w:r>
        <w:rPr>
          <w:rFonts w:hint="eastAsia" w:ascii="仿宋_GB2312" w:hAnsi="Times New Roman" w:eastAsia="仿宋_GB2312" w:cs="Wingdings"/>
          <w:sz w:val="32"/>
          <w:szCs w:val="32"/>
        </w:rPr>
        <w:t>万元，主要包括基本工资、津贴补贴、奖金、绩效工资、机关事业单位基本养老保险缴费、职工基本医疗保险缴费、住房公积金、其他社会保障缴费、退休费、生活补助、奖励金；公用经费</w:t>
      </w:r>
      <w:r>
        <w:rPr>
          <w:rFonts w:hint="eastAsia" w:ascii="仿宋_GB2312" w:hAnsi="Times New Roman" w:eastAsia="仿宋_GB2312" w:cs="Wingdings"/>
          <w:sz w:val="32"/>
          <w:szCs w:val="32"/>
          <w:lang w:val="en-US" w:eastAsia="zh-CN"/>
        </w:rPr>
        <w:t>49.09</w:t>
      </w:r>
      <w:r>
        <w:rPr>
          <w:rFonts w:hint="eastAsia" w:ascii="仿宋_GB2312" w:hAnsi="Times New Roman" w:eastAsia="仿宋_GB2312" w:cs="Wingdings"/>
          <w:sz w:val="32"/>
          <w:szCs w:val="32"/>
        </w:rPr>
        <w:t>万元，主要包括办公费、水费、电费、邮电费、取暖费、差旅费、维修（护）费、劳务费、工会经费、福利费、公务用车运行维护费、其他交通费用</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办公设备购置。</w:t>
      </w:r>
    </w:p>
    <w:p>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本部门2020年度“三公”经费财政拨款支出预算为</w:t>
      </w:r>
      <w:r>
        <w:rPr>
          <w:rFonts w:hint="eastAsia" w:ascii="仿宋_GB2312" w:hAnsi="Times New Roman" w:eastAsia="仿宋_GB2312" w:cs="Wingdings"/>
          <w:sz w:val="32"/>
          <w:szCs w:val="32"/>
          <w:lang w:val="en-US" w:eastAsia="zh-CN"/>
        </w:rPr>
        <w:t>2.7</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1.31万</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49</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1.39</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51</w:t>
      </w:r>
      <w:r>
        <w:rPr>
          <w:rFonts w:hint="eastAsia" w:ascii="仿宋_GB2312" w:hAnsi="Times New Roman" w:eastAsia="仿宋_GB2312" w:cs="Wingdings"/>
          <w:sz w:val="32"/>
          <w:szCs w:val="32"/>
        </w:rPr>
        <w:t>%，主要是</w:t>
      </w:r>
      <w:r>
        <w:rPr>
          <w:rFonts w:hint="eastAsia" w:ascii="仿宋" w:hAnsi="仿宋" w:eastAsia="仿宋" w:cs="仿宋"/>
          <w:b w:val="0"/>
          <w:bCs w:val="0"/>
          <w:sz w:val="32"/>
          <w:szCs w:val="32"/>
        </w:rPr>
        <w:t>认真贯彻落实中央</w:t>
      </w:r>
      <w:r>
        <w:rPr>
          <w:rFonts w:hint="eastAsia" w:ascii="仿宋_GB2312" w:eastAsia="仿宋_GB2312" w:cs="DengXian-Regular"/>
          <w:sz w:val="32"/>
          <w:szCs w:val="32"/>
        </w:rPr>
        <w:t>八项规定精神和厉行节约要求，从严控制“三公”经费开支，全年实际支出比预算有所节约</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较2019年度增加</w:t>
      </w:r>
      <w:r>
        <w:rPr>
          <w:rFonts w:hint="eastAsia" w:ascii="仿宋_GB2312" w:hAnsi="Times New Roman" w:eastAsia="仿宋_GB2312" w:cs="Wingdings"/>
          <w:sz w:val="32"/>
          <w:szCs w:val="32"/>
          <w:lang w:val="en-US" w:eastAsia="zh-CN"/>
        </w:rPr>
        <w:t>0.25</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24</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val="en-US" w:eastAsia="zh-CN"/>
        </w:rPr>
        <w:t>2020年对车辆进行了维修</w:t>
      </w:r>
      <w:r>
        <w:rPr>
          <w:rFonts w:hint="eastAsia" w:ascii="仿宋_GB2312" w:hAnsi="Times New Roman" w:eastAsia="仿宋_GB2312" w:cs="Wingdings"/>
          <w:sz w:val="32"/>
          <w:szCs w:val="32"/>
        </w:rPr>
        <w:t>。</w:t>
      </w:r>
    </w:p>
    <w:p>
      <w:pPr>
        <w:adjustRightInd w:val="0"/>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pPr>
        <w:adjustRightInd w:val="0"/>
        <w:snapToGrid w:val="0"/>
        <w:spacing w:line="58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sz w:val="32"/>
          <w:szCs w:val="32"/>
        </w:rPr>
        <w:t>1.因公出国（境）费。</w:t>
      </w:r>
      <w:r>
        <w:rPr>
          <w:rFonts w:hint="eastAsia" w:ascii="仿宋_GB2312" w:hAnsi="仿宋_GB2312" w:eastAsia="仿宋_GB2312" w:cs="仿宋_GB2312"/>
          <w:sz w:val="32"/>
          <w:szCs w:val="32"/>
        </w:rPr>
        <w:t>本部门2020年因公出国（境）费支出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人、参加其他单位组织的因公出国（境）团组</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个、共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人/无本单位组织的出国（境）团组。</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因公出国（境）费支出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预算</w:t>
      </w:r>
      <w:r>
        <w:rPr>
          <w:rFonts w:hint="eastAsia" w:ascii="仿宋_GB2312" w:eastAsia="仿宋_GB2312" w:cs="DengXian-Regular"/>
          <w:sz w:val="32"/>
          <w:szCs w:val="32"/>
          <w:lang w:eastAsia="zh-CN"/>
        </w:rPr>
        <w:t>持平</w:t>
      </w:r>
      <w:r>
        <w:rPr>
          <w:rFonts w:hint="eastAsia" w:ascii="仿宋_GB2312" w:hAnsi="Times New Roman" w:eastAsia="仿宋_GB2312" w:cs="DengXian-Regular"/>
          <w:sz w:val="32"/>
          <w:szCs w:val="32"/>
        </w:rPr>
        <w:t>。</w:t>
      </w:r>
      <w:r>
        <w:rPr>
          <w:rFonts w:hint="eastAsia" w:ascii="仿宋_GB2312" w:hAnsi="Times New Roman" w:eastAsia="仿宋_GB2312" w:cs="DengXian-Regular"/>
          <w:sz w:val="32"/>
          <w:szCs w:val="32"/>
          <w:lang w:eastAsia="zh-CN"/>
        </w:rPr>
        <w:t>与</w:t>
      </w:r>
      <w:r>
        <w:rPr>
          <w:rFonts w:hint="eastAsia" w:ascii="仿宋_GB2312" w:hAnsi="Times New Roman" w:eastAsia="仿宋_GB2312" w:cs="DengXian-Regular"/>
          <w:sz w:val="32"/>
          <w:szCs w:val="32"/>
          <w:lang w:val="en-US" w:eastAsia="zh-CN"/>
        </w:rPr>
        <w:t>2019年度决算支出持平。</w:t>
      </w:r>
    </w:p>
    <w:p>
      <w:pPr>
        <w:adjustRightInd w:val="0"/>
        <w:snapToGrid w:val="0"/>
        <w:spacing w:line="600" w:lineRule="exact"/>
        <w:ind w:firstLine="643" w:firstLineChars="200"/>
        <w:rPr>
          <w:rFonts w:ascii="仿宋_GB2312" w:hAnsi="Times New Roman" w:eastAsia="仿宋_GB2312" w:cs="Mongolian Baiti"/>
          <w:b/>
          <w:bCs/>
          <w:sz w:val="32"/>
          <w:szCs w:val="32"/>
        </w:rPr>
      </w:pPr>
      <w:r>
        <w:rPr>
          <w:rFonts w:hint="eastAsia" w:ascii="楷体_GB2312" w:hAnsi="Times New Roman" w:eastAsia="楷体_GB2312" w:cs="Mongolian Baiti"/>
          <w:b/>
          <w:bCs/>
          <w:sz w:val="32"/>
          <w:szCs w:val="32"/>
        </w:rPr>
        <w:t>2.公务用车购置及运行维护费。</w:t>
      </w:r>
      <w:r>
        <w:rPr>
          <w:rFonts w:hint="eastAsia" w:ascii="仿宋_GB2312" w:hAnsi="仿宋_GB2312" w:eastAsia="仿宋_GB2312" w:cs="仿宋_GB2312"/>
          <w:sz w:val="32"/>
          <w:szCs w:val="32"/>
        </w:rPr>
        <w:t>本部门2020年公务用车购置及运行维护费支出</w:t>
      </w:r>
      <w:r>
        <w:rPr>
          <w:rFonts w:hint="eastAsia" w:ascii="仿宋_GB2312" w:hAnsi="仿宋_GB2312" w:eastAsia="仿宋_GB2312" w:cs="仿宋_GB2312"/>
          <w:sz w:val="32"/>
          <w:szCs w:val="32"/>
          <w:lang w:val="en-US" w:eastAsia="zh-CN"/>
        </w:rPr>
        <w:t>1.31</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49</w:t>
      </w:r>
      <w:r>
        <w:rPr>
          <w:rFonts w:hint="eastAsia" w:ascii="仿宋_GB2312" w:hAnsi="仿宋_GB2312" w:eastAsia="仿宋_GB2312" w:cs="仿宋_GB2312"/>
          <w:sz w:val="32"/>
          <w:szCs w:val="32"/>
        </w:rPr>
        <w:t>%，</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1.39</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51</w:t>
      </w:r>
      <w:r>
        <w:rPr>
          <w:rFonts w:hint="eastAsia" w:ascii="仿宋_GB2312" w:hAnsi="Times New Roman" w:eastAsia="仿宋_GB2312" w:cs="Wingdings"/>
          <w:sz w:val="32"/>
          <w:szCs w:val="32"/>
        </w:rPr>
        <w:t>%,主要是</w:t>
      </w:r>
      <w:r>
        <w:rPr>
          <w:rFonts w:hint="eastAsia" w:ascii="仿宋" w:hAnsi="仿宋" w:eastAsia="仿宋" w:cs="仿宋"/>
          <w:b w:val="0"/>
          <w:bCs w:val="0"/>
          <w:sz w:val="32"/>
          <w:szCs w:val="32"/>
        </w:rPr>
        <w:t>认真贯彻落实中央</w:t>
      </w:r>
      <w:r>
        <w:rPr>
          <w:rFonts w:hint="eastAsia" w:ascii="仿宋_GB2312" w:eastAsia="仿宋_GB2312" w:cs="DengXian-Regular"/>
          <w:sz w:val="32"/>
          <w:szCs w:val="32"/>
        </w:rPr>
        <w:t>八项规定精神和厉行节约要求，从严控制“三公”经费开支，全年实际支出比预算有所节约</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0.25</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24</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val="en-US" w:eastAsia="zh-CN"/>
        </w:rPr>
        <w:t>2020年对车辆进行了维修</w:t>
      </w:r>
      <w:r>
        <w:rPr>
          <w:rFonts w:hint="eastAsia" w:ascii="仿宋_GB2312" w:hAnsi="Times New Roman" w:eastAsia="仿宋_GB2312" w:cs="Wingdings"/>
          <w:sz w:val="32"/>
          <w:szCs w:val="32"/>
        </w:rPr>
        <w:t>。</w:t>
      </w:r>
      <w:r>
        <w:rPr>
          <w:rFonts w:hint="eastAsia" w:ascii="仿宋_GB2312" w:hAnsi="Times New Roman" w:eastAsia="仿宋_GB2312" w:cs="Mongolian Baiti"/>
          <w:b/>
          <w:bCs/>
          <w:sz w:val="32"/>
          <w:szCs w:val="32"/>
        </w:rPr>
        <w:t>其中：</w:t>
      </w:r>
    </w:p>
    <w:p>
      <w:pPr>
        <w:adjustRightInd w:val="0"/>
        <w:snapToGrid w:val="0"/>
        <w:spacing w:line="580" w:lineRule="exact"/>
        <w:ind w:firstLine="643" w:firstLineChars="200"/>
        <w:rPr>
          <w:rFonts w:hint="default" w:ascii="仿宋_GB2312" w:hAnsi="Times New Roman" w:eastAsia="仿宋_GB2312" w:cs="DengXian-Regular"/>
          <w:sz w:val="32"/>
          <w:szCs w:val="32"/>
          <w:lang w:val="en-US"/>
        </w:rPr>
      </w:pPr>
      <w:r>
        <w:rPr>
          <w:rFonts w:hint="eastAsia" w:ascii="仿宋_GB2312" w:hAnsi="Times New Roman" w:eastAsia="仿宋_GB2312" w:cs="Wingdings"/>
          <w:b/>
          <w:sz w:val="32"/>
          <w:szCs w:val="32"/>
        </w:rPr>
        <w:t>公务用车购置费支出：</w:t>
      </w:r>
      <w:r>
        <w:rPr>
          <w:rFonts w:hint="eastAsia" w:ascii="仿宋_GB2312" w:hAnsi="Times New Roman" w:eastAsia="仿宋_GB2312" w:cs="Wingdings"/>
          <w:sz w:val="32"/>
          <w:szCs w:val="32"/>
        </w:rPr>
        <w:t>本部门2020年度公务用车购置量</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辆，发生“公务用车购置”经费支出</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万元。</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公务用车购置</w:t>
      </w:r>
      <w:r>
        <w:rPr>
          <w:rFonts w:hint="eastAsia" w:ascii="仿宋_GB2312" w:eastAsia="仿宋_GB2312" w:cs="DengXian-Regular"/>
          <w:sz w:val="32"/>
          <w:szCs w:val="32"/>
          <w:lang w:eastAsia="zh-CN"/>
        </w:rPr>
        <w:t>经</w:t>
      </w:r>
      <w:r>
        <w:rPr>
          <w:rFonts w:hint="eastAsia" w:ascii="仿宋_GB2312" w:eastAsia="仿宋_GB2312" w:cs="DengXian-Regular"/>
          <w:sz w:val="32"/>
          <w:szCs w:val="32"/>
        </w:rPr>
        <w:t>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预算</w:t>
      </w:r>
      <w:r>
        <w:rPr>
          <w:rFonts w:hint="eastAsia" w:ascii="仿宋_GB2312" w:eastAsia="仿宋_GB2312" w:cs="DengXian-Regular"/>
          <w:sz w:val="32"/>
          <w:szCs w:val="32"/>
          <w:lang w:eastAsia="zh-CN"/>
        </w:rPr>
        <w:t>持平。与</w:t>
      </w:r>
      <w:r>
        <w:rPr>
          <w:rFonts w:hint="eastAsia" w:ascii="仿宋_GB2312" w:eastAsia="仿宋_GB2312" w:cs="DengXian-Regular"/>
          <w:sz w:val="32"/>
          <w:szCs w:val="32"/>
          <w:lang w:val="en-US" w:eastAsia="zh-CN"/>
        </w:rPr>
        <w:t>2019年度决算支出持平。</w:t>
      </w:r>
    </w:p>
    <w:p>
      <w:pPr>
        <w:adjustRightInd w:val="0"/>
        <w:snapToGrid w:val="0"/>
        <w:spacing w:line="600" w:lineRule="exact"/>
        <w:ind w:firstLine="643" w:firstLineChars="200"/>
        <w:rPr>
          <w:rFonts w:ascii="仿宋_GB2312" w:hAnsi="Times New Roman" w:eastAsia="仿宋_GB2312" w:cs="Wingdings"/>
          <w:sz w:val="32"/>
          <w:szCs w:val="32"/>
        </w:rPr>
      </w:pPr>
      <w:r>
        <w:rPr>
          <w:rFonts w:hint="eastAsia" w:ascii="仿宋_GB2312" w:hAnsi="Times New Roman" w:eastAsia="仿宋_GB2312" w:cs="Wingdings"/>
          <w:b/>
          <w:sz w:val="32"/>
          <w:szCs w:val="32"/>
        </w:rPr>
        <w:t>公务用车运行维护费支出：</w:t>
      </w:r>
      <w:r>
        <w:rPr>
          <w:rFonts w:hint="eastAsia" w:ascii="仿宋_GB2312" w:hAnsi="Times New Roman" w:eastAsia="仿宋_GB2312" w:cs="Wingdings"/>
          <w:sz w:val="32"/>
          <w:szCs w:val="32"/>
        </w:rPr>
        <w:t>本部门2020年度单位公务用车保有量</w:t>
      </w: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辆,发生运行维护费支出</w:t>
      </w:r>
      <w:r>
        <w:rPr>
          <w:rFonts w:hint="eastAsia" w:ascii="仿宋_GB2312" w:hAnsi="Times New Roman" w:eastAsia="仿宋_GB2312" w:cs="Wingdings"/>
          <w:sz w:val="32"/>
          <w:szCs w:val="32"/>
          <w:lang w:val="en-US" w:eastAsia="zh-CN"/>
        </w:rPr>
        <w:t>1.31</w:t>
      </w:r>
      <w:r>
        <w:rPr>
          <w:rFonts w:hint="eastAsia" w:ascii="仿宋_GB2312" w:hAnsi="Times New Roman" w:eastAsia="仿宋_GB2312" w:cs="Wingdings"/>
          <w:sz w:val="32"/>
          <w:szCs w:val="32"/>
        </w:rPr>
        <w:t>万元。公车运行维护费支出较预算减少</w:t>
      </w:r>
      <w:r>
        <w:rPr>
          <w:rFonts w:hint="eastAsia" w:ascii="仿宋_GB2312" w:hAnsi="Times New Roman" w:eastAsia="仿宋_GB2312" w:cs="Wingdings"/>
          <w:sz w:val="32"/>
          <w:szCs w:val="32"/>
          <w:lang w:val="en-US" w:eastAsia="zh-CN"/>
        </w:rPr>
        <w:t>1.39</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51</w:t>
      </w:r>
      <w:r>
        <w:rPr>
          <w:rFonts w:hint="eastAsia" w:ascii="仿宋_GB2312" w:hAnsi="Times New Roman" w:eastAsia="仿宋_GB2312" w:cs="Wingdings"/>
          <w:sz w:val="32"/>
          <w:szCs w:val="32"/>
        </w:rPr>
        <w:t>%,主要是</w:t>
      </w:r>
      <w:r>
        <w:rPr>
          <w:rFonts w:hint="eastAsia" w:ascii="仿宋" w:hAnsi="仿宋" w:eastAsia="仿宋" w:cs="仿宋"/>
          <w:b w:val="0"/>
          <w:bCs w:val="0"/>
          <w:sz w:val="32"/>
          <w:szCs w:val="32"/>
        </w:rPr>
        <w:t>认真贯彻落实中央</w:t>
      </w:r>
      <w:r>
        <w:rPr>
          <w:rFonts w:hint="eastAsia" w:ascii="仿宋_GB2312" w:eastAsia="仿宋_GB2312" w:cs="DengXian-Regular"/>
          <w:sz w:val="32"/>
          <w:szCs w:val="32"/>
        </w:rPr>
        <w:t>八项规定</w:t>
      </w:r>
      <w:bookmarkStart w:id="0" w:name="_GoBack"/>
      <w:bookmarkEnd w:id="0"/>
      <w:r>
        <w:rPr>
          <w:rFonts w:hint="eastAsia" w:ascii="仿宋_GB2312" w:eastAsia="仿宋_GB2312" w:cs="DengXian-Regular"/>
          <w:sz w:val="32"/>
          <w:szCs w:val="32"/>
        </w:rPr>
        <w:t>精神和厉行节约要求，从严控制“三公”经费开支，全年实际支出比预算有所节约</w:t>
      </w:r>
      <w:r>
        <w:rPr>
          <w:rFonts w:hint="eastAsia" w:ascii="仿宋_GB2312" w:hAnsi="Times New Roman" w:eastAsia="仿宋_GB2312" w:cs="Wingdings"/>
          <w:sz w:val="32"/>
          <w:szCs w:val="32"/>
        </w:rPr>
        <w:t>；较上年增加</w:t>
      </w:r>
      <w:r>
        <w:rPr>
          <w:rFonts w:hint="eastAsia" w:ascii="仿宋_GB2312" w:hAnsi="Times New Roman" w:eastAsia="仿宋_GB2312" w:cs="Wingdings"/>
          <w:sz w:val="32"/>
          <w:szCs w:val="32"/>
          <w:lang w:val="en-US" w:eastAsia="zh-CN"/>
        </w:rPr>
        <w:t>0.25</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24</w:t>
      </w:r>
      <w:r>
        <w:rPr>
          <w:rFonts w:hint="eastAsia" w:ascii="仿宋_GB2312" w:hAnsi="Times New Roman" w:eastAsia="仿宋_GB2312" w:cs="Wingdings"/>
          <w:sz w:val="32"/>
          <w:szCs w:val="32"/>
        </w:rPr>
        <w:t>%，主要是</w:t>
      </w:r>
      <w:r>
        <w:rPr>
          <w:rFonts w:hint="eastAsia" w:ascii="仿宋_GB2312" w:hAnsi="Times New Roman" w:eastAsia="仿宋_GB2312" w:cs="DengXian-Regular"/>
          <w:sz w:val="32"/>
          <w:szCs w:val="32"/>
          <w:lang w:val="en-US" w:eastAsia="zh-CN"/>
        </w:rPr>
        <w:t>2020年对车辆进行了维修</w:t>
      </w:r>
      <w:r>
        <w:rPr>
          <w:rFonts w:hint="eastAsia" w:ascii="仿宋_GB2312" w:hAnsi="Times New Roman" w:eastAsia="仿宋_GB2312" w:cs="Wingdings"/>
          <w:sz w:val="32"/>
          <w:szCs w:val="32"/>
        </w:rPr>
        <w:t>。</w:t>
      </w:r>
    </w:p>
    <w:p>
      <w:pPr>
        <w:adjustRightInd w:val="0"/>
        <w:snapToGrid w:val="0"/>
        <w:spacing w:line="580" w:lineRule="exact"/>
        <w:ind w:firstLine="643" w:firstLineChars="200"/>
        <w:rPr>
          <w:rFonts w:hint="default" w:ascii="仿宋_GB2312" w:hAnsi="Times New Roman" w:eastAsia="仿宋_GB2312" w:cs="DengXian-Regular"/>
          <w:sz w:val="32"/>
          <w:szCs w:val="32"/>
          <w:lang w:val="en-US" w:eastAsia="zh-CN"/>
        </w:rPr>
      </w:pPr>
      <w:r>
        <w:rPr>
          <w:rFonts w:hint="eastAsia" w:ascii="楷体_GB2312" w:hAnsi="Times New Roman" w:eastAsia="楷体_GB2312" w:cs="Mongolian Baiti"/>
          <w:b/>
          <w:bCs/>
          <w:sz w:val="32"/>
          <w:szCs w:val="32"/>
        </w:rPr>
        <w:t>3.公务接待费。</w:t>
      </w:r>
      <w:r>
        <w:rPr>
          <w:rFonts w:hint="eastAsia" w:ascii="仿宋_GB2312" w:hAnsi="仿宋_GB2312" w:eastAsia="仿宋_GB2312" w:cs="仿宋_GB2312"/>
          <w:sz w:val="32"/>
          <w:szCs w:val="32"/>
        </w:rPr>
        <w:t>本部门2020年公务接待费支出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%。发生</w:t>
      </w:r>
      <w:r>
        <w:rPr>
          <w:rFonts w:hint="eastAsia" w:ascii="仿宋_GB2312" w:hAnsi="Times New Roman" w:eastAsia="仿宋_GB2312" w:cs="Wingdings"/>
          <w:sz w:val="32"/>
          <w:szCs w:val="32"/>
        </w:rPr>
        <w:t>公务接待共</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批次、</w:t>
      </w:r>
      <w:r>
        <w:rPr>
          <w:rFonts w:hint="eastAsia" w:ascii="仿宋_GB2312" w:hAnsi="Times New Roman" w:eastAsia="仿宋_GB2312" w:cs="Wingdings"/>
          <w:sz w:val="32"/>
          <w:szCs w:val="32"/>
          <w:lang w:val="en-US" w:eastAsia="zh-CN"/>
        </w:rPr>
        <w:t>0</w:t>
      </w:r>
      <w:r>
        <w:rPr>
          <w:rFonts w:hint="eastAsia" w:ascii="仿宋_GB2312" w:hAnsi="Times New Roman" w:eastAsia="仿宋_GB2312" w:cs="Wingdings"/>
          <w:sz w:val="32"/>
          <w:szCs w:val="32"/>
        </w:rPr>
        <w:t>人次。</w:t>
      </w:r>
      <w:r>
        <w:rPr>
          <w:rFonts w:hint="eastAsia" w:ascii="仿宋_GB2312" w:eastAsia="仿宋_GB2312" w:cs="DengXian-Regular"/>
          <w:sz w:val="32"/>
          <w:szCs w:val="32"/>
          <w:lang w:eastAsia="zh-CN"/>
        </w:rPr>
        <w:t>未发生</w:t>
      </w:r>
      <w:r>
        <w:rPr>
          <w:rFonts w:hint="eastAsia" w:ascii="仿宋_GB2312" w:eastAsia="仿宋_GB2312" w:cs="DengXian-Regular"/>
          <w:sz w:val="32"/>
          <w:szCs w:val="32"/>
        </w:rPr>
        <w:t>公务接待费支出</w:t>
      </w:r>
      <w:r>
        <w:rPr>
          <w:rFonts w:hint="eastAsia" w:ascii="仿宋_GB2312" w:eastAsia="仿宋_GB2312" w:cs="DengXian-Regular"/>
          <w:sz w:val="32"/>
          <w:szCs w:val="32"/>
          <w:lang w:eastAsia="zh-CN"/>
        </w:rPr>
        <w:t>，与</w:t>
      </w:r>
      <w:r>
        <w:rPr>
          <w:rFonts w:hint="eastAsia" w:ascii="仿宋_GB2312" w:eastAsia="仿宋_GB2312" w:cs="DengXian-Regular"/>
          <w:sz w:val="32"/>
          <w:szCs w:val="32"/>
        </w:rPr>
        <w:t>预算</w:t>
      </w:r>
      <w:r>
        <w:rPr>
          <w:rFonts w:hint="eastAsia" w:ascii="仿宋_GB2312" w:eastAsia="仿宋_GB2312" w:cs="DengXian-Regular"/>
          <w:sz w:val="32"/>
          <w:szCs w:val="32"/>
          <w:lang w:eastAsia="zh-CN"/>
        </w:rPr>
        <w:t>持平</w:t>
      </w:r>
      <w:r>
        <w:rPr>
          <w:rFonts w:hint="eastAsia" w:ascii="仿宋_GB2312" w:eastAsia="仿宋_GB2312" w:cs="DengXian-Regular"/>
          <w:sz w:val="32"/>
          <w:szCs w:val="32"/>
        </w:rPr>
        <w:t>。</w:t>
      </w:r>
      <w:r>
        <w:rPr>
          <w:rFonts w:hint="eastAsia" w:ascii="仿宋_GB2312" w:eastAsia="仿宋_GB2312" w:cs="DengXian-Regular"/>
          <w:sz w:val="32"/>
          <w:szCs w:val="32"/>
          <w:lang w:eastAsia="zh-CN"/>
        </w:rPr>
        <w:t>与</w:t>
      </w:r>
      <w:r>
        <w:rPr>
          <w:rFonts w:hint="eastAsia" w:ascii="仿宋_GB2312" w:eastAsia="仿宋_GB2312" w:cs="DengXian-Regular"/>
          <w:sz w:val="32"/>
          <w:szCs w:val="32"/>
          <w:lang w:val="en-US" w:eastAsia="zh-CN"/>
        </w:rPr>
        <w:t>2019年度决算支出持平。</w:t>
      </w:r>
    </w:p>
    <w:p>
      <w:pPr>
        <w:adjustRightInd w:val="0"/>
        <w:snapToGrid w:val="0"/>
        <w:spacing w:line="600" w:lineRule="exact"/>
        <w:ind w:firstLine="640" w:firstLineChars="200"/>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根据预算绩效管理要求，本部门组织对2020年度项目支出全面开展绩效自评，其中，一般公共预算项目</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万元，占一般公共预算项目支出总额的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%；政府性基金预算项目</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个,共涉及资金</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万元，占政府性基金预算项目支出总额的</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w:t>
      </w:r>
    </w:p>
    <w:p>
      <w:pPr>
        <w:adjustRightInd w:val="0"/>
        <w:snapToGrid w:val="0"/>
        <w:spacing w:line="600" w:lineRule="exact"/>
        <w:ind w:firstLine="643" w:firstLineChars="200"/>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pPr>
        <w:adjustRightInd w:val="0"/>
        <w:snapToGrid w:val="0"/>
        <w:spacing w:line="60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组织对“</w:t>
      </w:r>
      <w:r>
        <w:rPr>
          <w:rFonts w:hint="eastAsia" w:ascii="仿宋_GB2312" w:hAnsi="仿宋_GB2312" w:eastAsia="仿宋_GB2312" w:cs="仿宋_GB2312"/>
          <w:sz w:val="32"/>
          <w:szCs w:val="32"/>
          <w:lang w:eastAsia="zh-CN"/>
        </w:rPr>
        <w:t>专项教学培训运行经费</w:t>
      </w:r>
      <w:r>
        <w:rPr>
          <w:rFonts w:hint="eastAsia" w:ascii="仿宋_GB2312" w:hAnsi="仿宋_GB2312" w:eastAsia="仿宋_GB2312" w:cs="仿宋_GB2312"/>
          <w:sz w:val="32"/>
          <w:szCs w:val="32"/>
        </w:rPr>
        <w:t>”项目开展了部门重点评价，涉及一般公共预算支出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万元，政府性基金预算支出</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万元。其中，对“</w:t>
      </w:r>
      <w:r>
        <w:rPr>
          <w:rFonts w:hint="eastAsia" w:ascii="仿宋_GB2312" w:hAnsi="仿宋_GB2312" w:eastAsia="仿宋_GB2312" w:cs="仿宋_GB2312"/>
          <w:sz w:val="32"/>
          <w:szCs w:val="32"/>
          <w:lang w:eastAsia="zh-CN"/>
        </w:rPr>
        <w:t>专项教学培训运行经费</w:t>
      </w:r>
      <w:r>
        <w:rPr>
          <w:rFonts w:hint="eastAsia" w:ascii="仿宋_GB2312" w:hAnsi="仿宋_GB2312" w:eastAsia="仿宋_GB2312" w:cs="仿宋_GB2312"/>
          <w:sz w:val="32"/>
          <w:szCs w:val="32"/>
        </w:rPr>
        <w:t>”项目</w:t>
      </w:r>
      <w:r>
        <w:rPr>
          <w:rFonts w:hint="eastAsia" w:ascii="仿宋_GB2312" w:hAnsi="仿宋_GB2312" w:eastAsia="仿宋_GB2312" w:cs="仿宋_GB2312"/>
          <w:sz w:val="32"/>
          <w:szCs w:val="32"/>
          <w:lang w:eastAsia="zh-CN"/>
        </w:rPr>
        <w:t>在</w:t>
      </w:r>
      <w:r>
        <w:rPr>
          <w:rFonts w:hint="eastAsia" w:ascii="仿宋_GB2312" w:hAnsi="仿宋_GB2312" w:eastAsia="仿宋_GB2312" w:cs="仿宋_GB2312"/>
          <w:sz w:val="32"/>
          <w:szCs w:val="32"/>
        </w:rPr>
        <w:t>部门内评审机构</w:t>
      </w:r>
      <w:r>
        <w:rPr>
          <w:rFonts w:hint="eastAsia" w:ascii="仿宋_GB2312" w:hAnsi="仿宋_GB2312" w:eastAsia="仿宋_GB2312" w:cs="仿宋_GB2312"/>
          <w:sz w:val="32"/>
          <w:szCs w:val="32"/>
          <w:lang w:eastAsia="zh-CN"/>
        </w:rPr>
        <w:t>中</w:t>
      </w:r>
      <w:r>
        <w:rPr>
          <w:rFonts w:hint="eastAsia" w:ascii="仿宋_GB2312" w:hAnsi="仿宋_GB2312" w:eastAsia="仿宋_GB2312" w:cs="仿宋_GB2312"/>
          <w:sz w:val="32"/>
          <w:szCs w:val="32"/>
        </w:rPr>
        <w:t>开展绩效评价。从评价情况来看，</w:t>
      </w:r>
      <w:r>
        <w:rPr>
          <w:rFonts w:hint="eastAsia" w:ascii="仿宋_GB2312" w:eastAsia="仿宋_GB2312" w:cs="DengXian-Regular"/>
          <w:sz w:val="32"/>
          <w:szCs w:val="32"/>
        </w:rPr>
        <w:t>评价结果为优秀的项目有</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个，良好的项目有</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个，一般的项目有</w:t>
      </w:r>
      <w:r>
        <w:rPr>
          <w:rFonts w:hint="eastAsia" w:ascii="仿宋_GB2312" w:eastAsia="仿宋_GB2312" w:cs="DengXian-Regular"/>
          <w:sz w:val="32"/>
          <w:szCs w:val="32"/>
          <w:lang w:val="en-US" w:eastAsia="zh-CN"/>
        </w:rPr>
        <w:t>0</w:t>
      </w:r>
      <w:r>
        <w:rPr>
          <w:rFonts w:hint="eastAsia" w:ascii="仿宋_GB2312" w:eastAsia="仿宋_GB2312" w:cs="DengXian-Regular"/>
          <w:sz w:val="32"/>
          <w:szCs w:val="32"/>
        </w:rPr>
        <w:t>个。</w:t>
      </w:r>
    </w:p>
    <w:p>
      <w:pPr>
        <w:numPr>
          <w:ilvl w:val="0"/>
          <w:numId w:val="0"/>
        </w:num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专项教学培训运行经费</w:t>
      </w:r>
      <w:r>
        <w:rPr>
          <w:rFonts w:hint="eastAsia" w:ascii="仿宋_GB2312" w:hAnsi="仿宋_GB2312" w:eastAsia="仿宋_GB2312" w:cs="仿宋_GB2312"/>
          <w:sz w:val="32"/>
          <w:szCs w:val="32"/>
        </w:rPr>
        <w:t>项目绩效自评综述：根据年初设定的绩效目标，</w:t>
      </w:r>
      <w:r>
        <w:rPr>
          <w:rFonts w:hint="eastAsia" w:ascii="仿宋_GB2312" w:hAnsi="仿宋_GB2312" w:eastAsia="仿宋_GB2312" w:cs="仿宋_GB2312"/>
          <w:sz w:val="32"/>
          <w:szCs w:val="32"/>
          <w:lang w:eastAsia="zh-CN"/>
        </w:rPr>
        <w:t>专项教学培训运行经费</w:t>
      </w:r>
      <w:r>
        <w:rPr>
          <w:rFonts w:hint="eastAsia" w:ascii="仿宋_GB2312" w:hAnsi="仿宋_GB2312" w:eastAsia="仿宋_GB2312" w:cs="仿宋_GB2312"/>
          <w:sz w:val="32"/>
          <w:szCs w:val="32"/>
        </w:rPr>
        <w:t>项目绩效自评得分为</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分（绩效自评表附后）。全年预算数为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万元，执行数为</w:t>
      </w:r>
      <w:r>
        <w:rPr>
          <w:rFonts w:hint="eastAsia" w:ascii="仿宋_GB2312" w:hAnsi="仿宋_GB2312" w:eastAsia="仿宋_GB2312" w:cs="仿宋_GB2312"/>
          <w:sz w:val="32"/>
          <w:szCs w:val="32"/>
          <w:lang w:val="en-US" w:eastAsia="zh-CN"/>
        </w:rPr>
        <w:t>30</w:t>
      </w:r>
      <w:r>
        <w:rPr>
          <w:rFonts w:hint="eastAsia" w:ascii="仿宋_GB2312" w:hAnsi="仿宋_GB2312" w:eastAsia="仿宋_GB2312" w:cs="仿宋_GB2312"/>
          <w:sz w:val="32"/>
          <w:szCs w:val="32"/>
        </w:rPr>
        <w:t>万元，完成预算的</w:t>
      </w:r>
      <w:r>
        <w:rPr>
          <w:rFonts w:hint="eastAsia" w:ascii="仿宋_GB2312" w:hAnsi="仿宋_GB2312" w:eastAsia="仿宋_GB2312" w:cs="仿宋_GB2312"/>
          <w:sz w:val="32"/>
          <w:szCs w:val="32"/>
          <w:lang w:val="en-US" w:eastAsia="zh-CN"/>
        </w:rPr>
        <w:t>100%</w:t>
      </w:r>
      <w:r>
        <w:rPr>
          <w:rFonts w:hint="eastAsia" w:ascii="仿宋_GB2312" w:hAnsi="仿宋_GB2312" w:eastAsia="仿宋_GB2312" w:cs="仿宋_GB2312"/>
          <w:sz w:val="32"/>
          <w:szCs w:val="32"/>
        </w:rPr>
        <w:t>。项目绩效目标完成情况：</w:t>
      </w:r>
      <w:r>
        <w:rPr>
          <w:rFonts w:hint="eastAsia" w:ascii="仿宋_GB2312" w:hAnsi="仿宋_GB2312" w:eastAsia="仿宋_GB2312" w:cs="仿宋_GB2312"/>
          <w:sz w:val="32"/>
          <w:szCs w:val="32"/>
          <w:lang w:eastAsia="zh-CN"/>
        </w:rPr>
        <w:t>一是</w:t>
      </w:r>
      <w:r>
        <w:rPr>
          <w:rFonts w:hint="eastAsia" w:ascii="仿宋" w:hAnsi="仿宋" w:eastAsia="仿宋" w:cs="仿宋"/>
          <w:i w:val="0"/>
          <w:iCs w:val="0"/>
          <w:color w:val="000000"/>
          <w:kern w:val="0"/>
          <w:sz w:val="32"/>
          <w:szCs w:val="32"/>
          <w:u w:val="none"/>
          <w:lang w:val="en-US" w:eastAsia="zh-CN" w:bidi="ar"/>
        </w:rPr>
        <w:t>举办科级干部农村两委干部、新发展党员培训班5期，培训人数1000人左右；二是“流动党校”下基层上党课做宣讲20次；三是党校教师下基层调研，形成调研报告3-5篇；四是加快信息化建设步伐，提高办公自动化，教学科研手段现代化，信息资源网络化，改善党校教学基础设施，着力提高资金利用率。</w:t>
      </w:r>
    </w:p>
    <w:tbl>
      <w:tblPr>
        <w:tblStyle w:val="6"/>
        <w:tblW w:w="9155"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1625"/>
        <w:gridCol w:w="1275"/>
        <w:gridCol w:w="690"/>
        <w:gridCol w:w="1290"/>
        <w:gridCol w:w="855"/>
        <w:gridCol w:w="1380"/>
        <w:gridCol w:w="704"/>
        <w:gridCol w:w="13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10" w:hRule="atLeast"/>
        </w:trPr>
        <w:tc>
          <w:tcPr>
            <w:tcW w:w="9155" w:type="dxa"/>
            <w:gridSpan w:val="8"/>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ascii="方正小标宋_GBK" w:hAnsi="方正小标宋_GBK" w:eastAsia="方正小标宋_GBK" w:cs="方正小标宋_GBK"/>
                <w:i w:val="0"/>
                <w:iCs w:val="0"/>
                <w:color w:val="000000"/>
                <w:sz w:val="40"/>
                <w:szCs w:val="40"/>
                <w:u w:val="none"/>
              </w:rPr>
            </w:pPr>
            <w:r>
              <w:rPr>
                <w:rFonts w:hint="default" w:ascii="方正小标宋_GBK" w:hAnsi="方正小标宋_GBK" w:eastAsia="方正小标宋_GBK" w:cs="方正小标宋_GBK"/>
                <w:i w:val="0"/>
                <w:iCs w:val="0"/>
                <w:color w:val="000000"/>
                <w:kern w:val="0"/>
                <w:sz w:val="36"/>
                <w:szCs w:val="36"/>
                <w:u w:val="none"/>
                <w:lang w:val="en-US" w:eastAsia="zh-CN" w:bidi="ar"/>
              </w:rPr>
              <w:t>区级部门预算项目绩效自评表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9155" w:type="dxa"/>
            <w:gridSpan w:val="8"/>
            <w:tcBorders>
              <w:top w:val="nil"/>
              <w:left w:val="nil"/>
              <w:bottom w:val="nil"/>
              <w:right w:val="nil"/>
            </w:tcBorders>
            <w:shd w:val="clear" w:color="auto" w:fill="auto"/>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 2020年度）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2900" w:type="dxa"/>
            <w:gridSpan w:val="2"/>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填报单位：中共石家庄市鹿泉区委党校</w:t>
            </w:r>
          </w:p>
        </w:tc>
        <w:tc>
          <w:tcPr>
            <w:tcW w:w="69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29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855"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380"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704" w:type="dxa"/>
            <w:tcBorders>
              <w:top w:val="nil"/>
              <w:left w:val="nil"/>
              <w:bottom w:val="nil"/>
              <w:right w:val="nil"/>
            </w:tcBorders>
            <w:shd w:val="clear" w:color="auto" w:fill="auto"/>
            <w:noWrap/>
            <w:vAlign w:val="center"/>
          </w:tcPr>
          <w:p>
            <w:pPr>
              <w:jc w:val="center"/>
              <w:rPr>
                <w:rFonts w:hint="eastAsia" w:ascii="宋体" w:hAnsi="宋体" w:eastAsia="宋体" w:cs="宋体"/>
                <w:i w:val="0"/>
                <w:iCs w:val="0"/>
                <w:color w:val="000000"/>
                <w:sz w:val="16"/>
                <w:szCs w:val="16"/>
                <w:u w:val="none"/>
              </w:rPr>
            </w:pPr>
          </w:p>
        </w:tc>
        <w:tc>
          <w:tcPr>
            <w:tcW w:w="1336" w:type="dxa"/>
            <w:tcBorders>
              <w:top w:val="nil"/>
              <w:left w:val="nil"/>
              <w:bottom w:val="nil"/>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0" w:hRule="atLeast"/>
        </w:trPr>
        <w:tc>
          <w:tcPr>
            <w:tcW w:w="1625" w:type="dxa"/>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基本情况</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项目名称</w:t>
            </w:r>
          </w:p>
        </w:tc>
        <w:tc>
          <w:tcPr>
            <w:tcW w:w="19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专项教学培训运行经费</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实施(主管）单位</w:t>
            </w:r>
          </w:p>
        </w:tc>
        <w:tc>
          <w:tcPr>
            <w:tcW w:w="34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中共石家庄市鹿泉区委党校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二、预算执行情况</w:t>
            </w:r>
          </w:p>
        </w:tc>
        <w:tc>
          <w:tcPr>
            <w:tcW w:w="196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预算安排情况（调整后）</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资金到位情况</w:t>
            </w:r>
          </w:p>
        </w:tc>
        <w:tc>
          <w:tcPr>
            <w:tcW w:w="2084"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资金执行情况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预算执行进度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预算数：</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到位数：</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执行数：</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default" w:ascii="Calibri" w:hAnsi="Calibri" w:eastAsia="宋体" w:cs="Calibri"/>
                <w:i w:val="0"/>
                <w:iCs w:val="0"/>
                <w:color w:val="000000"/>
                <w:sz w:val="21"/>
                <w:szCs w:val="21"/>
                <w:u w:val="none"/>
                <w:lang w:val="en-US"/>
              </w:rPr>
            </w:pPr>
            <w:r>
              <w:rPr>
                <w:rFonts w:hint="eastAsia" w:ascii="Calibri" w:hAnsi="Calibri" w:eastAsia="宋体" w:cs="Calibri"/>
                <w:i w:val="0"/>
                <w:iCs w:val="0"/>
                <w:color w:val="000000"/>
                <w:kern w:val="0"/>
                <w:sz w:val="16"/>
                <w:szCs w:val="16"/>
                <w:u w:val="none"/>
                <w:lang w:val="en-US" w:eastAsia="zh-CN" w:bidi="ar"/>
              </w:rPr>
              <w:t>30</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其中：财政资金</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30</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hint="default" w:ascii="Calibri" w:hAnsi="Calibri" w:eastAsia="宋体" w:cs="Calibri"/>
                <w:i w:val="0"/>
                <w:iCs w:val="0"/>
                <w:color w:val="000000"/>
                <w:sz w:val="21"/>
                <w:szCs w:val="21"/>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8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hint="eastAsia" w:ascii="宋体" w:hAnsi="宋体" w:eastAsia="宋体" w:cs="宋体"/>
                <w:i w:val="0"/>
                <w:iCs w:val="0"/>
                <w:color w:val="000000"/>
                <w:sz w:val="16"/>
                <w:szCs w:val="16"/>
                <w:u w:val="none"/>
              </w:rPr>
            </w:pP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其他</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三、目标完成情况</w:t>
            </w:r>
          </w:p>
        </w:tc>
        <w:tc>
          <w:tcPr>
            <w:tcW w:w="325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年度预期目标</w:t>
            </w:r>
          </w:p>
        </w:tc>
        <w:tc>
          <w:tcPr>
            <w:tcW w:w="2939"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具体完成情况</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总体完成率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 w:hRule="atLeast"/>
        </w:trPr>
        <w:tc>
          <w:tcPr>
            <w:tcW w:w="1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3255"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举办科级干部农村两委干部、新发展党员培训班5期，培训人数1000人左右；“流动党校”下基层上党课做宣讲20次；党校教师下基层调研，形成调研报告3-5篇；加快信息化建设步伐，提高办公自动化，教学科研手段现代化，信息资源网络化，改善党校教学基础设施，着力提高资金利用率。</w:t>
            </w:r>
          </w:p>
        </w:tc>
        <w:tc>
          <w:tcPr>
            <w:tcW w:w="2939" w:type="dxa"/>
            <w:gridSpan w:val="3"/>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举办科级干部农村两委干部、新发展党员培训班5期，培训人数1000人左右；“流动党校”下基层上党课做宣讲20次；党校教师下基层调研，形成调研报告3-5篇；加快信息化建设步伐，提高办公自动化，教学科研手段现代化，信息资源网络化，改善党校教学基础设施，着力提高资金利用率。</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0" w:hRule="atLeast"/>
        </w:trPr>
        <w:tc>
          <w:tcPr>
            <w:tcW w:w="1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32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16"/>
                <w:szCs w:val="16"/>
                <w:u w:val="none"/>
              </w:rPr>
            </w:pPr>
          </w:p>
        </w:tc>
        <w:tc>
          <w:tcPr>
            <w:tcW w:w="29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00" w:hRule="atLeast"/>
        </w:trPr>
        <w:tc>
          <w:tcPr>
            <w:tcW w:w="162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3255"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16"/>
                <w:szCs w:val="16"/>
                <w:u w:val="none"/>
              </w:rPr>
            </w:pPr>
          </w:p>
        </w:tc>
        <w:tc>
          <w:tcPr>
            <w:tcW w:w="2939" w:type="dxa"/>
            <w:gridSpan w:val="3"/>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16"/>
                <w:szCs w:val="16"/>
                <w:u w:val="none"/>
              </w:rPr>
            </w:pP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restart"/>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四、</w:t>
            </w:r>
            <w:r>
              <w:rPr>
                <w:rFonts w:ascii="Calibri" w:hAnsi="Calibri" w:eastAsia="宋体" w:cs="Calibri"/>
                <w:i w:val="0"/>
                <w:iCs w:val="0"/>
                <w:color w:val="000000"/>
                <w:kern w:val="0"/>
                <w:sz w:val="16"/>
                <w:szCs w:val="16"/>
                <w:u w:val="none"/>
                <w:lang w:val="en-US" w:eastAsia="zh-CN" w:bidi="ar"/>
              </w:rPr>
              <w:t xml:space="preserve"> </w:t>
            </w:r>
            <w:r>
              <w:rPr>
                <w:rFonts w:hint="eastAsia" w:ascii="宋体" w:hAnsi="宋体" w:eastAsia="宋体" w:cs="宋体"/>
                <w:i w:val="0"/>
                <w:iCs w:val="0"/>
                <w:color w:val="000000"/>
                <w:kern w:val="0"/>
                <w:sz w:val="16"/>
                <w:szCs w:val="16"/>
                <w:u w:val="none"/>
                <w:lang w:val="en-US" w:eastAsia="zh-CN" w:bidi="ar"/>
              </w:rPr>
              <w:t>年度绩效指标完成情况</w:t>
            </w: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一级指标</w:t>
            </w: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二级指标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三级指标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预期指标值</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实际完成值</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自评得分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产出指标（40）</w:t>
            </w:r>
          </w:p>
        </w:tc>
        <w:tc>
          <w:tcPr>
            <w:tcW w:w="69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数量指标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举办培训班期数</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5期</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5期</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培训人数</w:t>
            </w:r>
          </w:p>
        </w:tc>
        <w:tc>
          <w:tcPr>
            <w:tcW w:w="1380" w:type="dxa"/>
            <w:tcBorders>
              <w:top w:val="nil"/>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≥1000人</w:t>
            </w:r>
          </w:p>
        </w:tc>
        <w:tc>
          <w:tcPr>
            <w:tcW w:w="704" w:type="dxa"/>
            <w:tcBorders>
              <w:top w:val="nil"/>
              <w:left w:val="single" w:color="000000" w:sz="4" w:space="0"/>
              <w:bottom w:val="single" w:color="000000" w:sz="4" w:space="0"/>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≥1000人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调研报告数</w:t>
            </w:r>
          </w:p>
        </w:tc>
        <w:tc>
          <w:tcPr>
            <w:tcW w:w="1380" w:type="dxa"/>
            <w:tcBorders>
              <w:top w:val="single" w:color="000000" w:sz="4" w:space="0"/>
              <w:left w:val="nil"/>
              <w:bottom w:val="single" w:color="000000" w:sz="4" w:space="0"/>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≥3篇</w:t>
            </w:r>
          </w:p>
        </w:tc>
        <w:tc>
          <w:tcPr>
            <w:tcW w:w="704"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≥3篇</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69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学习锻炼人数</w:t>
            </w:r>
          </w:p>
        </w:tc>
        <w:tc>
          <w:tcPr>
            <w:tcW w:w="1380" w:type="dxa"/>
            <w:tcBorders>
              <w:top w:val="single" w:color="000000" w:sz="4" w:space="0"/>
              <w:left w:val="nil"/>
              <w:bottom w:val="nil"/>
              <w:right w:val="single" w:color="000000" w:sz="4" w:space="0"/>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2人</w:t>
            </w:r>
          </w:p>
        </w:tc>
        <w:tc>
          <w:tcPr>
            <w:tcW w:w="704" w:type="dxa"/>
            <w:tcBorders>
              <w:top w:val="single" w:color="000000" w:sz="4" w:space="0"/>
              <w:left w:val="single" w:color="000000" w:sz="4" w:space="0"/>
              <w:bottom w:val="nil"/>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2人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质量指标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培训班、调研报告、学习锻炼教师</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时效指标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根据培训计划、调研安排、学习安排按时完成率</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vMerge w:val="continue"/>
            <w:tcBorders>
              <w:top w:val="single" w:color="000000" w:sz="4" w:space="0"/>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69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成本指标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项目完成控制预算成本</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控制在预算之内</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控制在预算之内</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预算执行率指标</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690" w:type="dxa"/>
            <w:tcBorders>
              <w:top w:val="nil"/>
              <w:left w:val="nil"/>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预算执行率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100%</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vMerge w:val="restart"/>
            <w:tcBorders>
              <w:top w:val="nil"/>
              <w:left w:val="single" w:color="000000" w:sz="4" w:space="0"/>
              <w:bottom w:val="nil"/>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效益指标（40）</w:t>
            </w:r>
          </w:p>
        </w:tc>
        <w:tc>
          <w:tcPr>
            <w:tcW w:w="690"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社会效益指标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参训人数</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w:t>
            </w:r>
            <w:r>
              <w:rPr>
                <w:rFonts w:hint="eastAsia" w:ascii="宋体" w:hAnsi="宋体" w:eastAsia="宋体" w:cs="宋体"/>
                <w:i w:val="0"/>
                <w:iCs w:val="0"/>
                <w:color w:val="000000"/>
                <w:kern w:val="0"/>
                <w:sz w:val="16"/>
                <w:szCs w:val="16"/>
                <w:u w:val="none"/>
                <w:lang w:val="en-US" w:eastAsia="zh-CN" w:bidi="ar"/>
              </w:rPr>
              <w:t>人</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1000</w:t>
            </w:r>
            <w:r>
              <w:rPr>
                <w:rFonts w:hint="eastAsia" w:ascii="宋体" w:hAnsi="宋体" w:eastAsia="宋体" w:cs="宋体"/>
                <w:i w:val="0"/>
                <w:iCs w:val="0"/>
                <w:color w:val="000000"/>
                <w:kern w:val="0"/>
                <w:sz w:val="16"/>
                <w:szCs w:val="16"/>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vMerge w:val="continue"/>
            <w:tcBorders>
              <w:top w:val="nil"/>
              <w:left w:val="single" w:color="000000" w:sz="4" w:space="0"/>
              <w:bottom w:val="nil"/>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690" w:type="dxa"/>
            <w:vMerge w:val="continue"/>
            <w:tcBorders>
              <w:top w:val="single" w:color="000000" w:sz="4" w:space="0"/>
              <w:left w:val="nil"/>
              <w:bottom w:val="single" w:color="000000" w:sz="4" w:space="0"/>
              <w:right w:val="single" w:color="000000" w:sz="4" w:space="0"/>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形成高质量调研报告数</w:t>
            </w:r>
          </w:p>
        </w:tc>
        <w:tc>
          <w:tcPr>
            <w:tcW w:w="138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70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16"/>
                <w:szCs w:val="16"/>
                <w:u w:val="none"/>
              </w:rPr>
            </w:pPr>
            <w:r>
              <w:rPr>
                <w:rFonts w:hint="default" w:ascii="Calibri" w:hAnsi="Calibri" w:eastAsia="宋体" w:cs="Calibri"/>
                <w:i w:val="0"/>
                <w:iCs w:val="0"/>
                <w:color w:val="000000"/>
                <w:kern w:val="0"/>
                <w:sz w:val="16"/>
                <w:szCs w:val="16"/>
                <w:u w:val="none"/>
                <w:lang w:val="en-US" w:eastAsia="zh-CN" w:bidi="ar"/>
              </w:rPr>
              <w:t>100%</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kern w:val="0"/>
                <w:sz w:val="16"/>
                <w:szCs w:val="16"/>
                <w:u w:val="none"/>
                <w:lang w:val="en-US" w:eastAsia="zh-CN" w:bidi="ar"/>
              </w:rPr>
            </w:pPr>
            <w:r>
              <w:rPr>
                <w:rFonts w:hint="eastAsia" w:ascii="宋体" w:hAnsi="宋体" w:eastAsia="宋体" w:cs="宋体"/>
                <w:i w:val="0"/>
                <w:iCs w:val="0"/>
                <w:color w:val="000000"/>
                <w:kern w:val="0"/>
                <w:sz w:val="16"/>
                <w:szCs w:val="16"/>
                <w:u w:val="none"/>
                <w:lang w:val="en-US" w:eastAsia="zh-CN" w:bidi="ar"/>
              </w:rPr>
              <w:t>满意度指标</w:t>
            </w:r>
          </w:p>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（10分）</w:t>
            </w:r>
          </w:p>
        </w:tc>
        <w:tc>
          <w:tcPr>
            <w:tcW w:w="690" w:type="dxa"/>
            <w:tcBorders>
              <w:top w:val="single" w:color="000000" w:sz="4" w:space="0"/>
              <w:left w:val="nil"/>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满意度指标</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参训人员满意率</w:t>
            </w:r>
          </w:p>
        </w:tc>
        <w:tc>
          <w:tcPr>
            <w:tcW w:w="1380" w:type="dxa"/>
            <w:tcBorders>
              <w:top w:val="nil"/>
              <w:left w:val="nil"/>
              <w:bottom w:val="nil"/>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≥90百分数</w:t>
            </w:r>
          </w:p>
        </w:tc>
        <w:tc>
          <w:tcPr>
            <w:tcW w:w="704" w:type="dxa"/>
            <w:tcBorders>
              <w:top w:val="nil"/>
              <w:left w:val="nil"/>
              <w:bottom w:val="nil"/>
              <w:right w:val="nil"/>
            </w:tcBorders>
            <w:shd w:val="clear" w:color="auto" w:fill="auto"/>
            <w:noWrap/>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方正书宋_GBK" w:hAnsi="方正书宋_GBK" w:eastAsia="方正书宋_GBK" w:cs="方正书宋_GBK"/>
                <w:i w:val="0"/>
                <w:iCs w:val="0"/>
                <w:color w:val="000000"/>
                <w:sz w:val="16"/>
                <w:szCs w:val="16"/>
                <w:u w:val="none"/>
              </w:rPr>
            </w:pPr>
            <w:r>
              <w:rPr>
                <w:rFonts w:hint="default" w:ascii="方正书宋_GBK" w:hAnsi="方正书宋_GBK" w:eastAsia="方正书宋_GBK" w:cs="方正书宋_GBK"/>
                <w:i w:val="0"/>
                <w:iCs w:val="0"/>
                <w:color w:val="000000"/>
                <w:kern w:val="0"/>
                <w:sz w:val="16"/>
                <w:szCs w:val="16"/>
                <w:u w:val="none"/>
                <w:lang w:val="en-US" w:eastAsia="zh-CN" w:bidi="ar"/>
              </w:rPr>
              <w:t>≥90百分数</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trPr>
        <w:tc>
          <w:tcPr>
            <w:tcW w:w="1625" w:type="dxa"/>
            <w:vMerge w:val="continue"/>
            <w:tcBorders>
              <w:top w:val="single" w:color="000000" w:sz="4" w:space="0"/>
              <w:left w:val="single" w:color="000000" w:sz="4" w:space="0"/>
              <w:bottom w:val="single" w:color="000000" w:sz="4" w:space="0"/>
              <w:right w:val="nil"/>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center"/>
              <w:rPr>
                <w:rFonts w:hint="eastAsia" w:ascii="宋体" w:hAnsi="宋体" w:eastAsia="宋体" w:cs="宋体"/>
                <w:i w:val="0"/>
                <w:iCs w:val="0"/>
                <w:color w:val="000000"/>
                <w:sz w:val="16"/>
                <w:szCs w:val="16"/>
                <w:u w:val="none"/>
              </w:rPr>
            </w:pPr>
          </w:p>
        </w:tc>
        <w:tc>
          <w:tcPr>
            <w:tcW w:w="619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6"/>
                <w:szCs w:val="16"/>
                <w:u w:val="none"/>
                <w:lang w:val="en-US" w:eastAsia="zh-CN" w:bidi="ar"/>
              </w:rPr>
              <w:t>总分</w:t>
            </w:r>
          </w:p>
        </w:tc>
        <w:tc>
          <w:tcPr>
            <w:tcW w:w="133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Calibri" w:hAnsi="Calibri" w:eastAsia="宋体" w:cs="Calibri"/>
                <w:i w:val="0"/>
                <w:iCs w:val="0"/>
                <w:color w:val="000000"/>
                <w:sz w:val="21"/>
                <w:szCs w:val="21"/>
                <w:u w:val="none"/>
              </w:rPr>
            </w:pPr>
            <w:r>
              <w:rPr>
                <w:rFonts w:hint="default" w:ascii="Calibri" w:hAnsi="Calibri" w:eastAsia="宋体" w:cs="Calibri"/>
                <w:i w:val="0"/>
                <w:iCs w:val="0"/>
                <w:color w:val="000000"/>
                <w:kern w:val="0"/>
                <w:sz w:val="21"/>
                <w:szCs w:val="21"/>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35" w:hRule="atLeast"/>
        </w:trPr>
        <w:tc>
          <w:tcPr>
            <w:tcW w:w="1625"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eastAsia" w:ascii="宋体" w:hAnsi="宋体" w:eastAsia="宋体" w:cs="宋体"/>
                <w:i w:val="0"/>
                <w:iCs w:val="0"/>
                <w:color w:val="000000"/>
                <w:sz w:val="16"/>
                <w:szCs w:val="16"/>
                <w:u w:val="none"/>
              </w:rPr>
            </w:pPr>
            <w:r>
              <w:rPr>
                <w:rFonts w:hint="eastAsia" w:ascii="宋体" w:hAnsi="宋体" w:eastAsia="宋体" w:cs="宋体"/>
                <w:i w:val="0"/>
                <w:iCs w:val="0"/>
                <w:color w:val="000000"/>
                <w:kern w:val="0"/>
                <w:sz w:val="15"/>
                <w:szCs w:val="15"/>
                <w:u w:val="none"/>
                <w:lang w:val="en-US" w:eastAsia="zh-CN" w:bidi="ar"/>
              </w:rPr>
              <w:t>五、</w:t>
            </w:r>
            <w:r>
              <w:rPr>
                <w:rFonts w:ascii="Calibri" w:hAnsi="Calibri" w:eastAsia="宋体" w:cs="Calibri"/>
                <w:i w:val="0"/>
                <w:iCs w:val="0"/>
                <w:color w:val="000000"/>
                <w:kern w:val="0"/>
                <w:sz w:val="15"/>
                <w:szCs w:val="15"/>
                <w:u w:val="none"/>
                <w:lang w:val="en-US" w:eastAsia="zh-CN" w:bidi="ar"/>
              </w:rPr>
              <w:t xml:space="preserve"> </w:t>
            </w:r>
            <w:r>
              <w:rPr>
                <w:rFonts w:hint="eastAsia" w:ascii="宋体" w:hAnsi="宋体" w:eastAsia="宋体" w:cs="宋体"/>
                <w:i w:val="0"/>
                <w:iCs w:val="0"/>
                <w:color w:val="000000"/>
                <w:kern w:val="0"/>
                <w:sz w:val="15"/>
                <w:szCs w:val="15"/>
                <w:u w:val="none"/>
                <w:lang w:val="en-US" w:eastAsia="zh-CN" w:bidi="ar"/>
              </w:rPr>
              <w:t>存在问题、原因及下一步整改措施</w:t>
            </w:r>
          </w:p>
        </w:tc>
        <w:tc>
          <w:tcPr>
            <w:tcW w:w="7530"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pageBreakBefore w:val="0"/>
              <w:kinsoku/>
              <w:wordWrap/>
              <w:overflowPunct/>
              <w:topLinePunct w:val="0"/>
              <w:autoSpaceDE/>
              <w:autoSpaceDN/>
              <w:bidi w:val="0"/>
              <w:adjustRightInd/>
              <w:snapToGrid/>
              <w:spacing w:line="240" w:lineRule="exact"/>
              <w:jc w:val="left"/>
              <w:rPr>
                <w:rFonts w:hint="eastAsia" w:ascii="宋体" w:hAnsi="宋体" w:eastAsia="宋体" w:cs="宋体"/>
                <w:i w:val="0"/>
                <w:iCs w:val="0"/>
                <w:color w:val="000000"/>
                <w:sz w:val="16"/>
                <w:szCs w:val="16"/>
                <w:u w:val="none"/>
              </w:rPr>
            </w:pPr>
          </w:p>
        </w:tc>
      </w:tr>
    </w:tbl>
    <w:p>
      <w:pPr>
        <w:numPr>
          <w:ilvl w:val="0"/>
          <w:numId w:val="0"/>
        </w:numPr>
        <w:adjustRightInd w:val="0"/>
        <w:snapToGrid w:val="0"/>
        <w:spacing w:after="0" w:line="580" w:lineRule="exact"/>
        <w:ind w:firstLine="643"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bCs/>
          <w:sz w:val="32"/>
          <w:szCs w:val="32"/>
          <w:lang w:eastAsia="zh-CN"/>
        </w:rPr>
        <w:t>（三）</w:t>
      </w:r>
      <w:r>
        <w:rPr>
          <w:rFonts w:hint="eastAsia" w:ascii="楷体_GB2312" w:hAnsi="楷体_GB2312" w:eastAsia="楷体_GB2312" w:cs="楷体_GB2312"/>
          <w:b/>
          <w:bCs/>
          <w:sz w:val="32"/>
          <w:szCs w:val="32"/>
        </w:rPr>
        <w:t>财政评价项目绩效评价结果</w:t>
      </w:r>
    </w:p>
    <w:p>
      <w:pPr>
        <w:numPr>
          <w:ilvl w:val="0"/>
          <w:numId w:val="0"/>
        </w:numPr>
        <w:adjustRightInd w:val="0"/>
        <w:snapToGrid w:val="0"/>
        <w:spacing w:after="0" w:line="580" w:lineRule="exact"/>
        <w:ind w:firstLine="640" w:firstLineChars="200"/>
        <w:rPr>
          <w:rFonts w:ascii="仿宋_GB2312" w:hAnsi="仿宋_GB2312" w:eastAsia="仿宋_GB2312" w:cs="仿宋_GB2312"/>
          <w:b/>
          <w:bCs/>
          <w:sz w:val="32"/>
          <w:szCs w:val="32"/>
        </w:rPr>
      </w:pPr>
      <w:r>
        <w:rPr>
          <w:rFonts w:hint="eastAsia" w:ascii="仿宋_GB2312" w:eastAsia="仿宋_GB2312" w:cs="DengXian-Regular"/>
          <w:sz w:val="32"/>
          <w:szCs w:val="32"/>
        </w:rPr>
        <w:t>本单位无民生项目和重点支出项目。</w:t>
      </w:r>
    </w:p>
    <w:p>
      <w:pPr>
        <w:adjustRightInd w:val="0"/>
        <w:snapToGrid w:val="0"/>
        <w:spacing w:line="600" w:lineRule="exact"/>
        <w:ind w:firstLine="640" w:firstLineChars="200"/>
        <w:rPr>
          <w:rFonts w:ascii="黑体" w:hAnsi="黑体" w:eastAsia="黑体" w:cs="黑体"/>
          <w:sz w:val="32"/>
          <w:szCs w:val="32"/>
        </w:rPr>
      </w:pPr>
      <w:r>
        <w:rPr>
          <w:rFonts w:hint="eastAsia" w:ascii="黑体" w:hAnsi="黑体" w:eastAsia="黑体" w:cs="黑体"/>
          <w:sz w:val="32"/>
          <w:szCs w:val="32"/>
        </w:rPr>
        <w:t>七、政府采购情况</w:t>
      </w:r>
    </w:p>
    <w:p>
      <w:pPr>
        <w:snapToGrid w:val="0"/>
        <w:spacing w:line="600" w:lineRule="exact"/>
        <w:ind w:firstLine="640" w:firstLineChars="200"/>
        <w:jc w:val="left"/>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rPr>
        <w:t>本部门2020年度政府采购支出总额</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lang w:bidi="ar"/>
        </w:rPr>
        <w:t>政府采购货物支出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万元、政府采购工程支出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万元、政府采购服务支出</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万元。授予中小企业合同金</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万元，占政府采购支出总额的</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%，其中授予小微企业合同金额</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 xml:space="preserve">万元，占政府采购支出总额的 </w:t>
      </w:r>
      <w:r>
        <w:rPr>
          <w:rFonts w:hint="eastAsia" w:ascii="仿宋_GB2312" w:hAnsi="仿宋_GB2312" w:eastAsia="仿宋_GB2312" w:cs="仿宋_GB2312"/>
          <w:color w:val="000000"/>
          <w:kern w:val="0"/>
          <w:sz w:val="32"/>
          <w:szCs w:val="32"/>
          <w:lang w:val="en-US" w:eastAsia="zh-CN" w:bidi="ar"/>
        </w:rPr>
        <w:t>0</w:t>
      </w:r>
      <w:r>
        <w:rPr>
          <w:rFonts w:hint="eastAsia" w:ascii="仿宋_GB2312" w:hAnsi="仿宋_GB2312" w:eastAsia="仿宋_GB2312" w:cs="仿宋_GB2312"/>
          <w:color w:val="000000"/>
          <w:kern w:val="0"/>
          <w:sz w:val="32"/>
          <w:szCs w:val="32"/>
          <w:lang w:bidi="ar"/>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八、国有资产占用情况</w:t>
      </w:r>
    </w:p>
    <w:p>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截至2020年12月31日，本部门共有车辆</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w:t>
      </w:r>
      <w:r>
        <w:rPr>
          <w:rFonts w:hint="eastAsia" w:ascii="仿宋_GB2312" w:hAnsi="仿宋_GB2312" w:eastAsia="仿宋_GB2312" w:cs="仿宋_GB2312"/>
          <w:sz w:val="32"/>
          <w:szCs w:val="32"/>
          <w:lang w:eastAsia="zh-CN"/>
        </w:rPr>
        <w:t>与上年持平</w:t>
      </w:r>
      <w:r>
        <w:rPr>
          <w:rFonts w:hint="eastAsia" w:ascii="仿宋_GB2312" w:hAnsi="仿宋_GB2312" w:eastAsia="仿宋_GB2312" w:cs="仿宋_GB2312"/>
          <w:sz w:val="32"/>
          <w:szCs w:val="32"/>
        </w:rPr>
        <w:t>。其中，副部（省）级及以上领导用车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辆，主要领导干部用车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辆，机要通信用车</w:t>
      </w:r>
      <w:r>
        <w:rPr>
          <w:rFonts w:hint="eastAsia" w:ascii="仿宋_GB2312" w:hAnsi="仿宋_GB2312" w:eastAsia="仿宋_GB2312" w:cs="仿宋_GB2312"/>
          <w:sz w:val="32"/>
          <w:szCs w:val="32"/>
          <w:lang w:val="en-US" w:eastAsia="zh-CN"/>
        </w:rPr>
        <w:t>1</w:t>
      </w:r>
      <w:r>
        <w:rPr>
          <w:rFonts w:hint="eastAsia" w:ascii="仿宋_GB2312" w:hAnsi="仿宋_GB2312" w:eastAsia="仿宋_GB2312" w:cs="仿宋_GB2312"/>
          <w:sz w:val="32"/>
          <w:szCs w:val="32"/>
        </w:rPr>
        <w:t>辆，应急保障用车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辆，执法执勤用车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辆，特种专业技术用车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辆，离退休干部用车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辆，其他用车</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辆；</w:t>
      </w:r>
    </w:p>
    <w:p>
      <w:pPr>
        <w:adjustRightInd w:val="0"/>
        <w:snapToGrid w:val="0"/>
        <w:spacing w:line="600" w:lineRule="exact"/>
        <w:ind w:firstLine="640" w:firstLineChars="200"/>
        <w:rPr>
          <w:rFonts w:ascii="仿宋_GB2312" w:hAnsi="仿宋_GB2312" w:eastAsia="仿宋_GB2312" w:cs="仿宋_GB2312"/>
          <w:b/>
          <w:bCs/>
          <w:sz w:val="32"/>
          <w:szCs w:val="32"/>
        </w:rPr>
      </w:pPr>
      <w:r>
        <w:rPr>
          <w:rFonts w:hint="eastAsia" w:ascii="仿宋_GB2312" w:hAnsi="仿宋_GB2312" w:eastAsia="仿宋_GB2312" w:cs="仿宋_GB2312"/>
          <w:sz w:val="32"/>
          <w:szCs w:val="32"/>
        </w:rPr>
        <w:t>单位价值50万元以上通用设备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与上年持平；</w:t>
      </w:r>
      <w:r>
        <w:rPr>
          <w:rFonts w:hint="eastAsia" w:ascii="仿宋_GB2312" w:hAnsi="仿宋_GB2312" w:eastAsia="仿宋_GB2312" w:cs="仿宋_GB2312"/>
          <w:sz w:val="32"/>
          <w:szCs w:val="32"/>
        </w:rPr>
        <w:t>单位价值100万元以上专用设备</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台（套）</w:t>
      </w:r>
      <w:r>
        <w:rPr>
          <w:rFonts w:hint="eastAsia" w:ascii="仿宋_GB2312" w:hAnsi="仿宋_GB2312" w:eastAsia="仿宋_GB2312" w:cs="仿宋_GB2312"/>
          <w:sz w:val="32"/>
          <w:szCs w:val="32"/>
          <w:lang w:eastAsia="zh-CN"/>
        </w:rPr>
        <w:t>，与上年持平</w:t>
      </w:r>
      <w:r>
        <w:rPr>
          <w:rFonts w:hint="eastAsia" w:ascii="仿宋_GB2312" w:hAnsi="仿宋_GB2312" w:eastAsia="仿宋_GB2312" w:cs="仿宋_GB2312"/>
          <w:sz w:val="32"/>
          <w:szCs w:val="32"/>
        </w:rPr>
        <w:t>。</w:t>
      </w:r>
    </w:p>
    <w:p>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lang w:eastAsia="zh-CN"/>
        </w:rPr>
        <w:t>九</w:t>
      </w:r>
      <w:r>
        <w:rPr>
          <w:rFonts w:hint="eastAsia" w:ascii="黑体" w:hAnsi="黑体" w:eastAsia="黑体" w:cs="黑体"/>
          <w:sz w:val="32"/>
          <w:szCs w:val="32"/>
        </w:rPr>
        <w:t>、其他需要说明的情况</w:t>
      </w:r>
    </w:p>
    <w:p>
      <w:pPr>
        <w:adjustRightInd w:val="0"/>
        <w:snapToGrid w:val="0"/>
        <w:spacing w:after="0" w:line="580" w:lineRule="exact"/>
        <w:ind w:firstLine="640" w:firstLineChars="200"/>
        <w:rPr>
          <w:rFonts w:hint="default" w:ascii="仿宋_GB2312" w:eastAsia="仿宋_GB2312" w:cs="DengXian-Regular"/>
          <w:sz w:val="32"/>
          <w:szCs w:val="32"/>
          <w:lang w:val="en-US" w:eastAsia="zh-CN"/>
        </w:rPr>
      </w:pPr>
      <w:r>
        <w:rPr>
          <w:rFonts w:hint="eastAsia" w:ascii="仿宋_GB2312" w:eastAsia="仿宋_GB2312" w:cs="DengXian-Regular"/>
          <w:sz w:val="32"/>
          <w:szCs w:val="32"/>
        </w:rPr>
        <w:t>1</w:t>
      </w:r>
      <w:r>
        <w:rPr>
          <w:rFonts w:hint="eastAsia" w:ascii="仿宋_GB2312" w:eastAsia="仿宋_GB2312" w:cs="DengXian-Regular"/>
          <w:sz w:val="32"/>
          <w:szCs w:val="32"/>
          <w:lang w:val="en-US" w:eastAsia="zh-CN"/>
        </w:rPr>
        <w:t>.</w:t>
      </w:r>
      <w:r>
        <w:rPr>
          <w:rFonts w:hint="eastAsia" w:ascii="仿宋_GB2312" w:eastAsia="仿宋_GB2312" w:cs="DengXian-Regular"/>
          <w:sz w:val="32"/>
          <w:szCs w:val="32"/>
        </w:rPr>
        <w:t>本部门20</w:t>
      </w:r>
      <w:r>
        <w:rPr>
          <w:rFonts w:hint="eastAsia" w:ascii="仿宋_GB2312" w:eastAsia="仿宋_GB2312" w:cs="DengXian-Regular"/>
          <w:sz w:val="32"/>
          <w:szCs w:val="32"/>
          <w:lang w:val="en-US" w:eastAsia="zh-CN"/>
        </w:rPr>
        <w:t>20</w:t>
      </w:r>
      <w:r>
        <w:rPr>
          <w:rFonts w:hint="eastAsia" w:ascii="仿宋_GB2312" w:eastAsia="仿宋_GB2312" w:cs="DengXian-Regular"/>
          <w:sz w:val="32"/>
          <w:szCs w:val="32"/>
        </w:rPr>
        <w:t>年度</w:t>
      </w:r>
      <w:r>
        <w:rPr>
          <w:rFonts w:hint="eastAsia" w:ascii="仿宋_GB2312" w:eastAsia="仿宋_GB2312" w:cs="DengXian-Regular"/>
          <w:sz w:val="32"/>
          <w:szCs w:val="32"/>
          <w:lang w:eastAsia="zh-CN"/>
        </w:rPr>
        <w:t>未发生政府性基金预算、</w:t>
      </w:r>
      <w:r>
        <w:rPr>
          <w:rFonts w:hint="eastAsia" w:ascii="仿宋_GB2312" w:eastAsia="仿宋_GB2312" w:cs="DengXian-Regular"/>
          <w:sz w:val="32"/>
          <w:szCs w:val="32"/>
          <w:lang w:val="en-US" w:eastAsia="zh-CN"/>
        </w:rPr>
        <w:t>国有资本经营预算</w:t>
      </w:r>
      <w:r>
        <w:rPr>
          <w:rFonts w:hint="eastAsia" w:ascii="仿宋_GB2312" w:eastAsia="仿宋_GB2312" w:cs="DengXian-Regular"/>
          <w:sz w:val="32"/>
          <w:szCs w:val="32"/>
        </w:rPr>
        <w:t>收支及结转结余情况，故</w:t>
      </w:r>
      <w:r>
        <w:rPr>
          <w:rFonts w:hint="eastAsia" w:ascii="仿宋_GB2312" w:eastAsia="仿宋_GB2312" w:cs="DengXian-Regular"/>
          <w:sz w:val="32"/>
          <w:szCs w:val="32"/>
          <w:lang w:eastAsia="zh-CN"/>
        </w:rPr>
        <w:t>政府性基金预算财政预算收入支出决算表、</w:t>
      </w:r>
      <w:r>
        <w:rPr>
          <w:rFonts w:hint="eastAsia" w:ascii="仿宋_GB2312" w:eastAsia="仿宋_GB2312" w:cs="DengXian-Regular"/>
          <w:sz w:val="32"/>
          <w:szCs w:val="32"/>
          <w:lang w:val="en-US" w:eastAsia="zh-CN"/>
        </w:rPr>
        <w:t>国有资本经营预算财政拨款支出决算表以空表列示。</w:t>
      </w:r>
    </w:p>
    <w:p>
      <w:pPr>
        <w:ind w:firstLine="640" w:firstLineChars="200"/>
        <w:jc w:val="both"/>
        <w:rPr>
          <w:rFonts w:ascii="黑体" w:hAnsi="黑体" w:eastAsia="黑体" w:cs="黑体"/>
          <w:sz w:val="56"/>
          <w:szCs w:val="72"/>
        </w:rPr>
        <w:sectPr>
          <w:pgSz w:w="11906" w:h="16838"/>
          <w:pgMar w:top="2041" w:right="1531" w:bottom="2041"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rFonts w:hint="eastAsia" w:ascii="仿宋_GB2312" w:eastAsia="仿宋_GB2312" w:cs="DengXian-Regular"/>
          <w:sz w:val="32"/>
          <w:szCs w:val="32"/>
          <w:lang w:val="en-US" w:eastAsia="zh-CN"/>
        </w:rPr>
        <w:t>2.</w:t>
      </w:r>
      <w:r>
        <w:rPr>
          <w:rFonts w:hint="eastAsia" w:ascii="仿宋_GB2312" w:eastAsia="仿宋_GB2312" w:cs="DengXian-Regular"/>
          <w:sz w:val="32"/>
          <w:szCs w:val="32"/>
        </w:rPr>
        <w:t>由于决算公开表格中金额数值应当保留两位小数，公开数据为四舍五入计算结果，个别数据合计项与分项之和存在小数点后差额，特此说明。</w:t>
      </w: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rPr>
      </w:pPr>
    </w:p>
    <w:p>
      <w:pPr>
        <w:rPr>
          <w:rFonts w:ascii="仿宋_GB2312" w:hAnsi="宋体" w:eastAsia="仿宋_GB2312" w:cs="Arial Black"/>
          <w:sz w:val="32"/>
          <w:szCs w:val="32"/>
          <w:highlight w:val="yellow"/>
        </w:rPr>
      </w:pPr>
      <w:r>
        <w:rPr>
          <w:sz w:val="72"/>
        </w:rPr>
        <mc:AlternateContent>
          <mc:Choice Requires="wps">
            <w:drawing>
              <wp:anchor distT="0" distB="0" distL="114300" distR="114300" simplePos="0" relativeHeight="251660288" behindDoc="0" locked="0" layoutInCell="1" allowOverlap="1">
                <wp:simplePos x="0" y="0"/>
                <wp:positionH relativeFrom="column">
                  <wp:posOffset>-1040130</wp:posOffset>
                </wp:positionH>
                <wp:positionV relativeFrom="paragraph">
                  <wp:posOffset>26035</wp:posOffset>
                </wp:positionV>
                <wp:extent cx="7793355" cy="3341370"/>
                <wp:effectExtent l="4445" t="4445" r="508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chemeClr val="bg1">
                              <a:lumMod val="50000"/>
                            </a:schemeClr>
                          </a:fgClr>
                          <a:bgClr>
                            <a:schemeClr val="bg1"/>
                          </a:bgClr>
                        </a:pattFill>
                        <a:ln w="6350">
                          <a:solidFill>
                            <a:schemeClr val="bg1">
                              <a:lumMod val="50000"/>
                            </a:schemeClr>
                          </a:solidFill>
                        </a:ln>
                      </wps:spPr>
                      <wps:style>
                        <a:lnRef idx="0">
                          <a:schemeClr val="accent1"/>
                        </a:lnRef>
                        <a:fillRef idx="0">
                          <a:schemeClr val="accent1"/>
                        </a:fillRef>
                        <a:effectRef idx="0">
                          <a:schemeClr val="accent1"/>
                        </a:effectRef>
                        <a:fontRef idx="minor">
                          <a:schemeClr val="dk1"/>
                        </a:fontRef>
                      </wps:style>
                      <wps:txb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1.9pt;margin-top:2.05pt;height:263.1pt;width:613.65pt;z-index:251660288;v-text-anchor:middle;mso-width-relative:page;mso-height-relative:page;" fillcolor="#7F7F7F [1612]" filled="t" stroked="t" coordsize="21600,21600" o:gfxdata="UEsDBAoAAAAAAIdO4kAAAAAAAAAAAAAAAAAEAAAAZHJzL1BLAwQUAAAACACHTuJACXbtHtgAAAAL&#10;AQAADwAAAGRycy9kb3ducmV2LnhtbE2Py07DMBRE90j8g3WR2LV2CA0o5KaLitINLEjp3olvHsKP&#10;yHYf/D3uCpajGc2cqdYXo9mJfJicRciWAhjZzqnJDghf++3iGViI0iqpnSWEHwqwrm9vKlkqd7af&#10;dGriwFKJDaVEGGOcS85DN5KRYelmssnrnTcyJukHrrw8p3Kj+YMQBTdysmlhlDNtRuq+m6NB6Ld6&#10;3/avb4fdu+uf9MF/NJtdRLy/y8QLsEiX+BeGK35Chzoxte5oVWAaYZEVeWKPCI8ZsGtAFPkKWIuw&#10;ykUOvK74/w/1L1BLAwQUAAAACACHTuJA+DKZGGwCAAD+BAAADgAAAGRycy9lMm9Eb2MueG1srVTN&#10;bhMxEL4j8Q6W73STJmnaqJsqtApCKrRSQZwdr52s5D9sJ7vlAegbcOLCnefqc/DZ2aQR9ATsSt7x&#10;zLfjmflmfH7RakU2wofampL2j3qUCMNtVZtlST9+mL86pSREZiqmrBElvReBXkxfvjhv3EQc25VV&#10;lfAETkyYNK6kqxjdpCgCXwnNwpF1wsAordcsYuuXReVZA+9aFce93knRWF85b7kIAdqrrZFOs38p&#10;BY83UgYRiSopYot59XldpLWYnrPJ0jO3qnkXBvuLKDSrDQ7du7pikZG1r/9wpWvubbAyHnGrCytl&#10;zUXOAdn0e79lc7diTuRcUJzg9mUK/88tf7+59aSuwN0pqDJMg6THbw+P338+/vhKkhIlalyYAHnn&#10;gI3ta9sCvtMHKFPmrfQ6fZETgR3Fvt8XWLSRcCjH47PBYDSihMM2GAz7g3GmoHj63fkQ3wirSRJK&#10;6sFgLizbXIeIUADdQdJpjsU4r5Xq4I7HUYbL5aXKYQW/XEAkG4YOGM/TmwFqrd/Zaqse9fCkfOC8&#10;w2d572TxrLd5frr/OkgKrwsphacMaUp6Mhj18qHBqrpK4Sbbv0R24AgnKoNwE0dbLpIU20XbEbew&#10;1T1483bb/MHxeY3aXrMQb5lHt4MqTHC8wSKVRby2kyhZWf/lOX3CowlhpaTB9JQ0fF4zLyhRbw3a&#10;86w/HKZxy5vhaHyMjT+0LA4tZq0vLejp465wPIsJH9VOlN7qTxj0WToVJmY4zi4pj363uYzbqcZV&#10;wcVslmEYMZBxbe4cT85T0Y2draOVdW6lVKhtdbr6Ycgy8d2FkKb4cJ9RT9fW9Bd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dBAAAW0NvbnRlbnRf&#10;VHlwZXNdLnhtbFBLAQIUAAoAAAAAAIdO4kAAAAAAAAAAAAAAAAAGAAAAAAAAAAAAEAAAAL8DAABf&#10;cmVscy9QSwECFAAUAAAACACHTuJAihRmPNEAAACUAQAACwAAAAAAAAABACAAAADjAwAAX3JlbHMv&#10;LnJlbHNQSwECFAAKAAAAAACHTuJAAAAAAAAAAAAAAAAABAAAAAAAAAAAABAAAAAAAAAAZHJzL1BL&#10;AQIUABQAAAAIAIdO4kAJdu0e2AAAAAsBAAAPAAAAAAAAAAEAIAAAACIAAABkcnMvZG93bnJldi54&#10;bWxQSwECFAAUAAAACACHTuJA+DKZGGwCAAD+BAAADgAAAAAAAAABACAAAAAnAQAAZHJzL2Uyb0Rv&#10;Yy54bWxQSwUGAAAAAAYABgBZAQAABQYAAAAA&#10;">
                <v:fill type="pattern" on="t" color2="#FFFFFF [3212]" focussize="0,0" r:id="rId15"/>
                <v:stroke weight="0.5pt" color="#7F7F7F [1612]"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r>
        <w:rPr>
          <w:rFonts w:hint="eastAsia" w:ascii="仿宋_GB2312" w:hAnsi="宋体" w:eastAsia="仿宋_GB2312" w:cs="Arial Black"/>
          <w:sz w:val="32"/>
          <w:szCs w:val="32"/>
          <w:highlight w:val="yellow"/>
        </w:rPr>
        <w:br w:type="page"/>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（十五）经费形式: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tabs>
          <w:tab w:val="left" w:pos="235"/>
        </w:tabs>
        <w:spacing w:line="600" w:lineRule="exact"/>
        <w:ind w:firstLine="640" w:firstLineChars="200"/>
        <w:jc w:val="left"/>
        <w:rPr>
          <w:rFonts w:ascii="仿宋_GB2312" w:hAnsi="Cambria" w:eastAsia="仿宋_GB2312" w:cs="Arial Black"/>
          <w:kern w:val="0"/>
          <w:sz w:val="32"/>
          <w:szCs w:val="32"/>
        </w:rPr>
      </w:pPr>
    </w:p>
    <w:p>
      <w:pPr>
        <w:widowControl/>
        <w:spacing w:after="160" w:line="580" w:lineRule="exact"/>
        <w:rPr>
          <w:rFonts w:ascii="Times New Roman" w:hAnsi="Times New Roman" w:eastAsia="黑体" w:cs="Times New Roman"/>
          <w:sz w:val="32"/>
          <w:szCs w:val="32"/>
        </w:rPr>
        <w:sectPr>
          <w:headerReference r:id="rId12" w:type="default"/>
          <w:pgSz w:w="11906" w:h="16838"/>
          <w:pgMar w:top="2098" w:right="1531" w:bottom="198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p>
    <w:p>
      <w:pPr>
        <w:rPr>
          <w:rFonts w:ascii="黑体" w:hAnsi="黑体" w:eastAsia="黑体" w:cs="黑体"/>
          <w:sz w:val="56"/>
          <w:szCs w:val="72"/>
          <w:shd w:val="clear" w:color="auto" w:fill="auto"/>
        </w:rPr>
        <w:sectPr>
          <w:type w:val="continuous"/>
          <w:pgSz w:w="11906" w:h="16838"/>
          <w:pgMar w:top="2098" w:right="1531" w:bottom="1984" w:left="1531" w:header="851" w:footer="992" w:gutter="0"/>
          <w:pgBorders>
            <w:top w:val="none" w:sz="0" w:space="0"/>
            <w:left w:val="none" w:sz="0" w:space="0"/>
            <w:bottom w:val="none" w:sz="0" w:space="0"/>
            <w:right w:val="none" w:sz="0" w:space="0"/>
          </w:pgBorders>
          <w:pgNumType w:fmt="numberInDash"/>
          <w:cols w:space="0" w:num="1"/>
          <w:titlePg/>
          <w:docGrid w:type="lines" w:linePitch="312" w:charSpace="0"/>
        </w:sectPr>
      </w:pPr>
      <w:r>
        <w:rPr>
          <w:sz w:val="72"/>
          <w:shd w:val="clear" w:color="auto" w:fill="auto"/>
        </w:rPr>
        <mc:AlternateContent>
          <mc:Choice Requires="wps">
            <w:drawing>
              <wp:anchor distT="0" distB="0" distL="114300" distR="114300" simplePos="0" relativeHeight="251664384" behindDoc="0" locked="0" layoutInCell="1" allowOverlap="1">
                <wp:simplePos x="0" y="0"/>
                <wp:positionH relativeFrom="column">
                  <wp:posOffset>-1027430</wp:posOffset>
                </wp:positionH>
                <wp:positionV relativeFrom="paragraph">
                  <wp:posOffset>1151255</wp:posOffset>
                </wp:positionV>
                <wp:extent cx="7793355" cy="3341370"/>
                <wp:effectExtent l="6350" t="6350" r="18415" b="20320"/>
                <wp:wrapNone/>
                <wp:docPr id="1" name="文本框 1"/>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ysClr val="window" lastClr="FFFFFF">
                              <a:lumMod val="50000"/>
                            </a:sysClr>
                          </a:fgClr>
                          <a:bgClr>
                            <a:sysClr val="window" lastClr="FFFFFF"/>
                          </a:bgClr>
                        </a:pattFill>
                        <a:ln w="12700" cmpd="sng">
                          <a:solidFill>
                            <a:sysClr val="window" lastClr="FFFFFF">
                              <a:lumMod val="65000"/>
                            </a:sysClr>
                          </a:solidFill>
                          <a:prstDash val="solid"/>
                        </a:ln>
                        <a:effectLst/>
                      </wps:spPr>
                      <wps:txb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202" type="#_x0000_t202" style="position:absolute;left:0pt;margin-left:-80.9pt;margin-top:90.65pt;height:263.1pt;width:613.65pt;z-index:251664384;v-text-anchor:middle;mso-width-relative:page;mso-height-relative:page;" fillcolor="#7F7F7F" filled="t" stroked="t" coordsize="21600,21600" o:gfxdata="UEsDBAoAAAAAAIdO4kAAAAAAAAAAAAAAAAAEAAAAZHJzL1BLAwQUAAAACACHTuJAA2EG49wAAAAN&#10;AQAADwAAAGRycy9kb3ducmV2LnhtbE2PPU/DMBiEdyT+g/UisaDWNihplMbpgADRqWqJBKMTu3FE&#10;/Dqy3a9/jzuV8XSnu+eq1dmO5Kh9GBwK4HMGRGPn1IC9gObrfVYACVGikqNDLeCiA6zq+7tKlsqd&#10;cKuPu9iTVIKhlAJMjFNJaeiMtjLM3aQxeXvnrYxJ+p4qL0+p3I70mbGcWjlgWjBy0q9Gd7+7gxXw&#10;/Tk1P0+b4mNtNtvmbV2E9uKDEI8PnC2BRH2OtzBc8RM61ImpdQdUgYwCZjzniT0mp+AvQK4RlmcZ&#10;kFbAgi0yoHVF/7+o/wBQSwMEFAAAAAgAh07iQMtdjk+LAgAAWwUAAA4AAABkcnMvZTJvRG9jLnht&#10;bK1UzW7UMBC+I/EOlu80+9ulq2arpdUipEIrFcTZ6zibSP7D9m6yPAC8AScu3HmuPgefnXRbKBcq&#10;cnDGnvHMfN/M+PSsVZLshPO10TkdHg0oEZqbotabnH54v3rxkhIfmC6YNFrkdC88PVs8f3ba2LkY&#10;mcrIQjgCJ9rPG5vTKgQ7zzLPK6GYPzJWaChL4xQL2LpNVjjWwLuS2WgwOM4a4wrrDBfe4/SiU9JF&#10;8l+WgoersvQiEJlT5BbS6tK6jmu2OGXzjWO2qnmfBntCForVGkEPri5YYGTr6keuVM2d8aYMR9yo&#10;zJRlzUXCADTDwR9obipmRcICcrw90OT/n1v+bnftSF2gdpRoplCi229fb7//vP3xhQwjPY31c1jd&#10;WNiF9pVpo2l/7nEYUbelU/EPPAR6EL0/kCvaQDgOZ7OT8Xg6pYRDNx5PhuNZoj+7v26dD6+FUSQK&#10;OXWoXiKV7S59QEiY3pnEaJaFsKql7M0tD9NkXm7OZUrL7z0ksmMoPnqmMA0lkvmAw5yu0pcuyK16&#10;a4rObjrAF/EhWHc/iQef639x3rnpr8Ts+4xj9lKTBlSOZghHuLIogdeblI83si4ismj3FBDHEcVj&#10;EL/5jUxeMF91sJOqvyF1jCvS9PTExyboih2l0K7bvgPWptijMZzpJstbvqrh+BIsXzOHUQI4PA/h&#10;CkspDRCbXqKkMu7z386jPTocWkoajCaI+bRlTqB4bzR6/2Q4mcRZTpvJdDbCxj3UrB9q9FadGzQA&#10;+hvZJTHaB3knls6oj3hFljEqVExzxM4pD+5ucx66JwPvEBfLZTLD/KKcl/rG8ug8UqbNchtMWade&#10;jUR17KCB4gYTnFqpf23iE/Fwn6zu38TFL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AAFAABbQ29udGVudF9UeXBlc10ueG1sUEsBAhQACgAAAAAA&#10;h07iQAAAAAAAAAAAAAAAAAYAAAAAAAAAAAAQAAAA4gMAAF9yZWxzL1BLAQIUABQAAAAIAIdO4kCK&#10;FGY80QAAAJQBAAALAAAAAAAAAAEAIAAAAAYEAABfcmVscy8ucmVsc1BLAQIUAAoAAAAAAIdO4kAA&#10;AAAAAAAAAAAAAAAEAAAAAAAAAAAAEAAAAAAAAABkcnMvUEsBAhQAFAAAAAgAh07iQANhBuPcAAAA&#10;DQEAAA8AAAAAAAAAAQAgAAAAIgAAAGRycy9kb3ducmV2LnhtbFBLAQIUABQAAAAIAIdO4kDLXY5P&#10;iwIAAFsFAAAOAAAAAAAAAAEAIAAAACsBAABkcnMvZTJvRG9jLnhtbFBLBQYAAAAABgAGAFkBAAAo&#10;BgAAAAA=&#10;">
                <v:fill type="pattern" on="t" color2="#FFFFFF" focussize="0,0" r:id="rId15"/>
                <v:stroke weight="1pt" color="#A6A6A6"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2020年度部门决算报表</w:t>
                      </w:r>
                    </w:p>
                    <w:p/>
                  </w:txbxContent>
                </v:textbox>
              </v:shape>
            </w:pict>
          </mc:Fallback>
        </mc:AlternateContent>
      </w:r>
    </w:p>
    <w:tbl>
      <w:tblPr>
        <w:tblStyle w:val="6"/>
        <w:tblW w:w="9252" w:type="dxa"/>
        <w:tblInd w:w="0" w:type="dxa"/>
        <w:tblLayout w:type="fixed"/>
        <w:tblCellMar>
          <w:top w:w="15" w:type="dxa"/>
          <w:left w:w="15" w:type="dxa"/>
          <w:bottom w:w="15" w:type="dxa"/>
          <w:right w:w="15" w:type="dxa"/>
        </w:tblCellMar>
      </w:tblPr>
      <w:tblGrid>
        <w:gridCol w:w="2356"/>
        <w:gridCol w:w="353"/>
        <w:gridCol w:w="79"/>
        <w:gridCol w:w="346"/>
        <w:gridCol w:w="1417"/>
        <w:gridCol w:w="2665"/>
        <w:gridCol w:w="432"/>
        <w:gridCol w:w="1604"/>
      </w:tblGrid>
      <w:tr>
        <w:tblPrEx>
          <w:tblCellMar>
            <w:top w:w="15" w:type="dxa"/>
            <w:left w:w="15" w:type="dxa"/>
            <w:bottom w:w="15" w:type="dxa"/>
            <w:right w:w="15" w:type="dxa"/>
          </w:tblCellMar>
        </w:tblPrEx>
        <w:trPr>
          <w:trHeight w:val="227" w:hRule="atLeast"/>
        </w:trPr>
        <w:tc>
          <w:tcPr>
            <w:tcW w:w="9252" w:type="dxa"/>
            <w:gridSpan w:val="8"/>
            <w:tcBorders>
              <w:right w:val="single" w:color="808080" w:sz="4" w:space="0"/>
            </w:tcBorders>
            <w:shd w:val="clear" w:color="auto" w:fill="auto"/>
            <w:vAlign w:val="center"/>
          </w:tcPr>
          <w:p>
            <w:pPr>
              <w:widowControl/>
              <w:jc w:val="center"/>
              <w:textAlignment w:val="center"/>
              <w:rPr>
                <w:rFonts w:ascii="黑体" w:hAnsi="宋体" w:eastAsia="黑体" w:cs="黑体"/>
                <w:color w:val="000000"/>
                <w:sz w:val="30"/>
                <w:szCs w:val="30"/>
                <w:shd w:val="clear" w:color="auto" w:fill="auto"/>
              </w:rPr>
            </w:pPr>
            <w:r>
              <w:rPr>
                <w:rFonts w:hint="eastAsia" w:ascii="黑体" w:hAnsi="宋体" w:eastAsia="黑体" w:cs="黑体"/>
                <w:color w:val="000000"/>
                <w:kern w:val="0"/>
                <w:sz w:val="30"/>
                <w:szCs w:val="30"/>
                <w:shd w:val="clear" w:color="auto" w:fill="auto"/>
                <w:lang w:bidi="ar"/>
              </w:rPr>
              <w:t>收入支出决算总表</w:t>
            </w:r>
          </w:p>
        </w:tc>
      </w:tr>
      <w:tr>
        <w:tblPrEx>
          <w:tblCellMar>
            <w:top w:w="15" w:type="dxa"/>
            <w:left w:w="15" w:type="dxa"/>
            <w:bottom w:w="15" w:type="dxa"/>
            <w:right w:w="15" w:type="dxa"/>
          </w:tblCellMar>
        </w:tblPrEx>
        <w:trPr>
          <w:trHeight w:val="227" w:hRule="atLeast"/>
        </w:trPr>
        <w:tc>
          <w:tcPr>
            <w:tcW w:w="2356" w:type="dxa"/>
            <w:shd w:val="clear" w:color="auto" w:fill="auto"/>
            <w:vAlign w:val="center"/>
          </w:tcPr>
          <w:p>
            <w:pPr>
              <w:jc w:val="left"/>
              <w:rPr>
                <w:rFonts w:ascii="宋体" w:hAnsi="宋体" w:eastAsia="宋体" w:cs="宋体"/>
                <w:color w:val="000000"/>
                <w:sz w:val="18"/>
                <w:szCs w:val="18"/>
                <w:shd w:val="clear" w:color="auto" w:fill="auto"/>
              </w:rPr>
            </w:pPr>
          </w:p>
        </w:tc>
        <w:tc>
          <w:tcPr>
            <w:tcW w:w="432" w:type="dxa"/>
            <w:gridSpan w:val="2"/>
            <w:shd w:val="clear" w:color="auto" w:fill="auto"/>
            <w:vAlign w:val="center"/>
          </w:tcPr>
          <w:p>
            <w:pPr>
              <w:jc w:val="left"/>
              <w:rPr>
                <w:rFonts w:ascii="宋体" w:hAnsi="宋体" w:eastAsia="宋体" w:cs="宋体"/>
                <w:color w:val="000000"/>
                <w:sz w:val="18"/>
                <w:szCs w:val="18"/>
                <w:shd w:val="clear" w:color="auto" w:fill="auto"/>
              </w:rPr>
            </w:pPr>
          </w:p>
        </w:tc>
        <w:tc>
          <w:tcPr>
            <w:tcW w:w="1763" w:type="dxa"/>
            <w:gridSpan w:val="2"/>
            <w:shd w:val="clear" w:color="auto" w:fill="auto"/>
            <w:vAlign w:val="center"/>
          </w:tcPr>
          <w:p>
            <w:pPr>
              <w:jc w:val="left"/>
              <w:rPr>
                <w:rFonts w:ascii="宋体" w:hAnsi="宋体" w:eastAsia="宋体" w:cs="宋体"/>
                <w:color w:val="000000"/>
                <w:sz w:val="18"/>
                <w:szCs w:val="18"/>
                <w:shd w:val="clear" w:color="auto" w:fill="auto"/>
              </w:rPr>
            </w:pPr>
          </w:p>
        </w:tc>
        <w:tc>
          <w:tcPr>
            <w:tcW w:w="2665" w:type="dxa"/>
            <w:shd w:val="clear" w:color="auto" w:fill="auto"/>
            <w:vAlign w:val="center"/>
          </w:tcPr>
          <w:p>
            <w:pPr>
              <w:jc w:val="left"/>
              <w:rPr>
                <w:rFonts w:ascii="宋体" w:hAnsi="宋体" w:eastAsia="宋体" w:cs="宋体"/>
                <w:color w:val="000000"/>
                <w:sz w:val="18"/>
                <w:szCs w:val="18"/>
                <w:shd w:val="clear" w:color="auto" w:fill="auto"/>
              </w:rPr>
            </w:pPr>
          </w:p>
        </w:tc>
        <w:tc>
          <w:tcPr>
            <w:tcW w:w="432" w:type="dxa"/>
            <w:shd w:val="clear" w:color="auto" w:fill="auto"/>
            <w:vAlign w:val="center"/>
          </w:tcPr>
          <w:p>
            <w:pPr>
              <w:jc w:val="left"/>
              <w:rPr>
                <w:rFonts w:ascii="宋体" w:hAnsi="宋体" w:eastAsia="宋体" w:cs="宋体"/>
                <w:color w:val="000000"/>
                <w:sz w:val="18"/>
                <w:szCs w:val="18"/>
                <w:shd w:val="clear" w:color="auto" w:fill="auto"/>
              </w:rPr>
            </w:pPr>
          </w:p>
        </w:tc>
        <w:tc>
          <w:tcPr>
            <w:tcW w:w="1604" w:type="dxa"/>
            <w:tcBorders>
              <w:right w:val="single" w:color="808080" w:sz="4" w:space="0"/>
            </w:tcBorders>
            <w:shd w:val="clear" w:color="auto" w:fill="auto"/>
            <w:vAlign w:val="center"/>
          </w:tcPr>
          <w:p>
            <w:pPr>
              <w:widowControl/>
              <w:jc w:val="right"/>
              <w:textAlignment w:val="center"/>
              <w:rPr>
                <w:rFonts w:ascii="宋体" w:hAnsi="宋体" w:eastAsia="宋体" w:cs="宋体"/>
                <w:color w:val="000000"/>
                <w:sz w:val="22"/>
                <w:szCs w:val="22"/>
                <w:shd w:val="clear" w:color="auto" w:fill="auto"/>
              </w:rPr>
            </w:pPr>
            <w:r>
              <w:rPr>
                <w:rFonts w:hint="eastAsia" w:ascii="宋体" w:hAnsi="宋体" w:eastAsia="宋体" w:cs="宋体"/>
                <w:color w:val="000000"/>
                <w:kern w:val="0"/>
                <w:sz w:val="22"/>
                <w:szCs w:val="22"/>
                <w:shd w:val="clear" w:color="auto" w:fill="auto"/>
                <w:lang w:bidi="ar"/>
              </w:rPr>
              <w:t>公开01表</w:t>
            </w:r>
          </w:p>
        </w:tc>
      </w:tr>
      <w:tr>
        <w:tblPrEx>
          <w:tblCellMar>
            <w:top w:w="15" w:type="dxa"/>
            <w:left w:w="15" w:type="dxa"/>
            <w:bottom w:w="15" w:type="dxa"/>
            <w:right w:w="15" w:type="dxa"/>
          </w:tblCellMar>
        </w:tblPrEx>
        <w:trPr>
          <w:trHeight w:val="227" w:hRule="atLeast"/>
        </w:trPr>
        <w:tc>
          <w:tcPr>
            <w:tcW w:w="4551" w:type="dxa"/>
            <w:gridSpan w:val="5"/>
            <w:tcBorders>
              <w:bottom w:val="single" w:color="808080" w:sz="4" w:space="0"/>
            </w:tcBorders>
            <w:shd w:val="clear" w:color="auto" w:fill="auto"/>
            <w:vAlign w:val="center"/>
          </w:tcPr>
          <w:p>
            <w:pPr>
              <w:jc w:val="center"/>
              <w:rPr>
                <w:rFonts w:ascii="宋体" w:hAnsi="宋体" w:eastAsia="宋体" w:cs="宋体"/>
                <w:color w:val="000000"/>
                <w:sz w:val="24"/>
                <w:shd w:val="clear" w:color="auto" w:fill="auto"/>
              </w:rPr>
            </w:pPr>
            <w:r>
              <w:rPr>
                <w:rFonts w:hint="eastAsia" w:ascii="宋体" w:hAnsi="宋体" w:eastAsia="宋体" w:cs="宋体"/>
                <w:color w:val="000000"/>
                <w:kern w:val="0"/>
                <w:sz w:val="22"/>
                <w:szCs w:val="22"/>
                <w:shd w:val="clear" w:color="auto" w:fill="auto"/>
                <w:lang w:bidi="ar"/>
              </w:rPr>
              <w:t>部门：</w:t>
            </w:r>
            <w:r>
              <w:rPr>
                <w:rFonts w:hint="eastAsia" w:ascii="宋体" w:hAnsi="宋体" w:eastAsia="宋体" w:cs="宋体"/>
                <w:color w:val="000000"/>
                <w:kern w:val="0"/>
                <w:sz w:val="22"/>
                <w:szCs w:val="22"/>
                <w:shd w:val="clear" w:color="auto" w:fill="auto"/>
                <w:lang w:eastAsia="zh-CN" w:bidi="ar"/>
              </w:rPr>
              <w:t>中国共产党石家庄市鹿泉区委员会党校</w:t>
            </w:r>
          </w:p>
        </w:tc>
        <w:tc>
          <w:tcPr>
            <w:tcW w:w="2665" w:type="dxa"/>
            <w:tcBorders>
              <w:bottom w:val="single" w:color="808080" w:sz="4" w:space="0"/>
            </w:tcBorders>
            <w:shd w:val="clear" w:color="auto" w:fill="auto"/>
            <w:vAlign w:val="center"/>
          </w:tcPr>
          <w:p>
            <w:pPr>
              <w:jc w:val="left"/>
              <w:rPr>
                <w:rFonts w:ascii="宋体" w:hAnsi="宋体" w:eastAsia="宋体" w:cs="宋体"/>
                <w:color w:val="000000"/>
                <w:sz w:val="18"/>
                <w:szCs w:val="18"/>
                <w:shd w:val="clear" w:color="auto" w:fill="auto"/>
              </w:rPr>
            </w:pPr>
          </w:p>
        </w:tc>
        <w:tc>
          <w:tcPr>
            <w:tcW w:w="432" w:type="dxa"/>
            <w:tcBorders>
              <w:bottom w:val="single" w:color="808080" w:sz="4" w:space="0"/>
            </w:tcBorders>
            <w:shd w:val="clear" w:color="auto" w:fill="auto"/>
            <w:vAlign w:val="center"/>
          </w:tcPr>
          <w:p>
            <w:pPr>
              <w:jc w:val="left"/>
              <w:rPr>
                <w:rFonts w:ascii="宋体" w:hAnsi="宋体" w:eastAsia="宋体" w:cs="宋体"/>
                <w:color w:val="000000"/>
                <w:sz w:val="18"/>
                <w:szCs w:val="18"/>
                <w:shd w:val="clear" w:color="auto" w:fill="auto"/>
              </w:rPr>
            </w:pPr>
          </w:p>
        </w:tc>
        <w:tc>
          <w:tcPr>
            <w:tcW w:w="1604" w:type="dxa"/>
            <w:tcBorders>
              <w:bottom w:val="single" w:color="808080" w:sz="4" w:space="0"/>
              <w:right w:val="single" w:color="808080" w:sz="4" w:space="0"/>
            </w:tcBorders>
            <w:shd w:val="clear" w:color="auto" w:fill="auto"/>
            <w:vAlign w:val="center"/>
          </w:tcPr>
          <w:p>
            <w:pPr>
              <w:widowControl/>
              <w:jc w:val="right"/>
              <w:textAlignment w:val="center"/>
              <w:rPr>
                <w:rFonts w:ascii="宋体" w:hAnsi="宋体" w:eastAsia="宋体" w:cs="宋体"/>
                <w:color w:val="000000"/>
                <w:sz w:val="22"/>
                <w:szCs w:val="22"/>
                <w:shd w:val="clear" w:color="auto" w:fill="auto"/>
              </w:rPr>
            </w:pPr>
            <w:r>
              <w:rPr>
                <w:rFonts w:hint="eastAsia" w:ascii="宋体" w:hAnsi="宋体" w:eastAsia="宋体" w:cs="宋体"/>
                <w:color w:val="000000"/>
                <w:kern w:val="0"/>
                <w:sz w:val="22"/>
                <w:szCs w:val="22"/>
                <w:shd w:val="clear" w:color="auto" w:fill="auto"/>
                <w:lang w:bidi="ar"/>
              </w:rPr>
              <w:t>金额单位：万元</w:t>
            </w:r>
          </w:p>
        </w:tc>
      </w:tr>
      <w:tr>
        <w:tblPrEx>
          <w:tblCellMar>
            <w:top w:w="15" w:type="dxa"/>
            <w:left w:w="15" w:type="dxa"/>
            <w:bottom w:w="15" w:type="dxa"/>
            <w:right w:w="15" w:type="dxa"/>
          </w:tblCellMar>
        </w:tblPrEx>
        <w:trPr>
          <w:trHeight w:val="284" w:hRule="exact"/>
        </w:trPr>
        <w:tc>
          <w:tcPr>
            <w:tcW w:w="4551" w:type="dxa"/>
            <w:gridSpan w:val="5"/>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收入</w:t>
            </w:r>
          </w:p>
        </w:tc>
        <w:tc>
          <w:tcPr>
            <w:tcW w:w="4701" w:type="dxa"/>
            <w:gridSpan w:val="3"/>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支出</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项目</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行次</w:t>
            </w:r>
          </w:p>
        </w:tc>
        <w:tc>
          <w:tcPr>
            <w:tcW w:w="1417"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金额</w:t>
            </w:r>
          </w:p>
        </w:tc>
        <w:tc>
          <w:tcPr>
            <w:tcW w:w="2665"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项目</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行次</w:t>
            </w:r>
          </w:p>
        </w:tc>
        <w:tc>
          <w:tcPr>
            <w:tcW w:w="1604"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金额</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栏次</w:t>
            </w:r>
          </w:p>
        </w:tc>
        <w:tc>
          <w:tcPr>
            <w:tcW w:w="425" w:type="dxa"/>
            <w:gridSpan w:val="2"/>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15"/>
                <w:szCs w:val="16"/>
                <w:shd w:val="clear" w:color="auto" w:fill="auto"/>
              </w:rPr>
            </w:pPr>
          </w:p>
        </w:tc>
        <w:tc>
          <w:tcPr>
            <w:tcW w:w="1417"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w:t>
            </w:r>
          </w:p>
        </w:tc>
        <w:tc>
          <w:tcPr>
            <w:tcW w:w="2665"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栏次</w:t>
            </w:r>
          </w:p>
        </w:tc>
        <w:tc>
          <w:tcPr>
            <w:tcW w:w="432" w:type="dxa"/>
            <w:tcBorders>
              <w:bottom w:val="single" w:color="000000" w:sz="4" w:space="0"/>
              <w:right w:val="single" w:color="000000" w:sz="4" w:space="0"/>
            </w:tcBorders>
            <w:shd w:val="clear" w:color="auto" w:fill="auto"/>
            <w:vAlign w:val="center"/>
          </w:tcPr>
          <w:p>
            <w:pPr>
              <w:jc w:val="center"/>
              <w:rPr>
                <w:rFonts w:ascii="宋体" w:hAnsi="宋体" w:eastAsia="宋体" w:cs="宋体"/>
                <w:color w:val="000000"/>
                <w:sz w:val="15"/>
                <w:szCs w:val="16"/>
                <w:shd w:val="clear" w:color="auto" w:fill="auto"/>
              </w:rPr>
            </w:pPr>
          </w:p>
        </w:tc>
        <w:tc>
          <w:tcPr>
            <w:tcW w:w="1604"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一、一般公共预算财政拨款收入</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w:t>
            </w:r>
          </w:p>
        </w:tc>
        <w:tc>
          <w:tcPr>
            <w:tcW w:w="1417"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412.4</w:t>
            </w: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一、一般公共服务支出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32</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二、政府性基金预算财政拨款收入</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二、外交支出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33</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三、国有资本经营预算财政拨款收入</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三、国防支出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34</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四、上级补助收入</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四、公共安全支出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35</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五、事业收入</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五、教育支出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36</w:t>
            </w:r>
          </w:p>
        </w:tc>
        <w:tc>
          <w:tcPr>
            <w:tcW w:w="1604"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374.26</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六、经营收入</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6</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六、科学技术支出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37</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七、附属单位上缴收入</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7</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七、文化旅游体育与传媒支出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38</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八、其他收入</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8</w:t>
            </w:r>
          </w:p>
        </w:tc>
        <w:tc>
          <w:tcPr>
            <w:tcW w:w="1417"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39.86</w:t>
            </w: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八、社会保障和就业支出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39</w:t>
            </w:r>
          </w:p>
        </w:tc>
        <w:tc>
          <w:tcPr>
            <w:tcW w:w="1604"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29.42</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9</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九、卫生健康支出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40</w:t>
            </w:r>
          </w:p>
        </w:tc>
        <w:tc>
          <w:tcPr>
            <w:tcW w:w="1604"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23.59</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10</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十、节能环保支出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41</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11</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十一、城乡社区支出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42</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12</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十二、农林水支出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43</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13</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十三、交通运输支出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44</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14</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十四、资源勘探工业信息等支出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45</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15</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十五、商业服务业等支出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46</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16</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十六、金融支出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47</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17</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十七、援助其他地区支出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48</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18</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十八、自然资源海洋气象等支出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49</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19</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十九、住房保障支出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50</w:t>
            </w:r>
          </w:p>
        </w:tc>
        <w:tc>
          <w:tcPr>
            <w:tcW w:w="1604"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21.52</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20</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二十、粮油物资储备支出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51</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21</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二十一、国有资本经营预算支出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52</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22</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二十二、灾害防治及应急管理支出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53</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23</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二十三、其他支出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54</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center"/>
              <w:rPr>
                <w:rFonts w:ascii="宋体" w:hAnsi="宋体" w:eastAsia="宋体" w:cs="宋体"/>
                <w:b/>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24</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二十四、债务还本支出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55</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25</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二十五、债务付息支出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56</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26</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二十六、抗疫特别国债安排的支出</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57</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15"/>
                <w:szCs w:val="16"/>
                <w:shd w:val="clear" w:color="auto" w:fill="auto"/>
              </w:rPr>
            </w:pPr>
            <w:r>
              <w:rPr>
                <w:rFonts w:hint="eastAsia" w:ascii="宋体" w:hAnsi="宋体" w:eastAsia="宋体" w:cs="宋体"/>
                <w:b/>
                <w:color w:val="000000"/>
                <w:kern w:val="0"/>
                <w:sz w:val="15"/>
                <w:szCs w:val="16"/>
                <w:shd w:val="clear" w:color="auto" w:fill="auto"/>
                <w:lang w:bidi="ar"/>
              </w:rPr>
              <w:t>本年收入合计</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27</w:t>
            </w:r>
          </w:p>
        </w:tc>
        <w:tc>
          <w:tcPr>
            <w:tcW w:w="1417"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452.26</w:t>
            </w:r>
          </w:p>
        </w:tc>
        <w:tc>
          <w:tcPr>
            <w:tcW w:w="2665"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b/>
                <w:color w:val="000000"/>
                <w:sz w:val="15"/>
                <w:szCs w:val="16"/>
                <w:shd w:val="clear" w:color="auto" w:fill="auto"/>
              </w:rPr>
            </w:pPr>
            <w:r>
              <w:rPr>
                <w:rFonts w:hint="eastAsia" w:ascii="宋体" w:hAnsi="宋体" w:eastAsia="宋体" w:cs="宋体"/>
                <w:b/>
                <w:color w:val="000000"/>
                <w:kern w:val="0"/>
                <w:sz w:val="15"/>
                <w:szCs w:val="16"/>
                <w:shd w:val="clear" w:color="auto" w:fill="auto"/>
                <w:lang w:bidi="ar"/>
              </w:rPr>
              <w:t>本年支出合计</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58</w:t>
            </w:r>
          </w:p>
        </w:tc>
        <w:tc>
          <w:tcPr>
            <w:tcW w:w="1604"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448.79</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使用非财政拨款结余</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28</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结余分配</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59</w:t>
            </w:r>
          </w:p>
        </w:tc>
        <w:tc>
          <w:tcPr>
            <w:tcW w:w="1604"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年初结转和结余</w:t>
            </w: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29</w:t>
            </w:r>
          </w:p>
        </w:tc>
        <w:tc>
          <w:tcPr>
            <w:tcW w:w="1417"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7.66</w:t>
            </w:r>
          </w:p>
        </w:tc>
        <w:tc>
          <w:tcPr>
            <w:tcW w:w="2665" w:type="dxa"/>
            <w:tcBorders>
              <w:bottom w:val="single" w:color="000000" w:sz="4" w:space="0"/>
              <w:right w:val="single" w:color="000000" w:sz="4" w:space="0"/>
            </w:tcBorders>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年末结转和结余</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60</w:t>
            </w:r>
          </w:p>
        </w:tc>
        <w:tc>
          <w:tcPr>
            <w:tcW w:w="1604"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11.13</w:t>
            </w: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25" w:type="dxa"/>
            <w:gridSpan w:val="2"/>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30</w:t>
            </w:r>
          </w:p>
        </w:tc>
        <w:tc>
          <w:tcPr>
            <w:tcW w:w="1417" w:type="dxa"/>
            <w:tcBorders>
              <w:bottom w:val="single" w:color="000000" w:sz="4" w:space="0"/>
              <w:right w:val="single" w:color="000000" w:sz="4" w:space="0"/>
            </w:tcBorders>
            <w:shd w:val="clear" w:color="auto" w:fill="auto"/>
            <w:vAlign w:val="center"/>
          </w:tcPr>
          <w:p>
            <w:pPr>
              <w:jc w:val="right"/>
              <w:rPr>
                <w:rFonts w:ascii="宋体" w:hAnsi="宋体" w:eastAsia="宋体" w:cs="宋体"/>
                <w:color w:val="000000"/>
                <w:sz w:val="15"/>
                <w:szCs w:val="16"/>
                <w:shd w:val="clear" w:color="auto" w:fill="auto"/>
              </w:rPr>
            </w:pPr>
          </w:p>
        </w:tc>
        <w:tc>
          <w:tcPr>
            <w:tcW w:w="2665"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61</w:t>
            </w:r>
          </w:p>
        </w:tc>
        <w:tc>
          <w:tcPr>
            <w:tcW w:w="1604" w:type="dxa"/>
            <w:tcBorders>
              <w:bottom w:val="single" w:color="000000" w:sz="4" w:space="0"/>
              <w:right w:val="single" w:color="000000" w:sz="4" w:space="0"/>
            </w:tcBorders>
            <w:shd w:val="clear" w:color="auto" w:fill="auto"/>
            <w:vAlign w:val="center"/>
          </w:tcPr>
          <w:p>
            <w:pPr>
              <w:jc w:val="left"/>
              <w:rPr>
                <w:rFonts w:ascii="宋体" w:hAnsi="宋体" w:eastAsia="宋体" w:cs="宋体"/>
                <w:color w:val="000000"/>
                <w:sz w:val="15"/>
                <w:szCs w:val="16"/>
                <w:shd w:val="clear" w:color="auto" w:fill="auto"/>
              </w:rPr>
            </w:pPr>
          </w:p>
        </w:tc>
      </w:tr>
      <w:tr>
        <w:tblPrEx>
          <w:tblCellMar>
            <w:top w:w="15" w:type="dxa"/>
            <w:left w:w="15" w:type="dxa"/>
            <w:bottom w:w="15" w:type="dxa"/>
            <w:right w:w="15" w:type="dxa"/>
          </w:tblCellMar>
        </w:tblPrEx>
        <w:trPr>
          <w:trHeight w:val="284" w:hRule="exact"/>
        </w:trPr>
        <w:tc>
          <w:tcPr>
            <w:tcW w:w="2709" w:type="dxa"/>
            <w:gridSpan w:val="2"/>
            <w:tcBorders>
              <w:left w:val="single" w:color="000000" w:sz="4" w:space="0"/>
              <w:bottom w:val="single" w:color="000000" w:sz="4" w:space="0"/>
              <w:right w:val="single" w:color="000000" w:sz="4" w:space="0"/>
            </w:tcBorders>
            <w:shd w:val="clear" w:color="auto" w:fill="auto"/>
            <w:vAlign w:val="center"/>
          </w:tcPr>
          <w:p>
            <w:pPr>
              <w:widowControl/>
              <w:textAlignment w:val="center"/>
              <w:rPr>
                <w:rFonts w:ascii="宋体" w:hAnsi="宋体" w:eastAsia="宋体" w:cs="宋体"/>
                <w:b/>
                <w:color w:val="000000"/>
                <w:sz w:val="15"/>
                <w:szCs w:val="16"/>
                <w:shd w:val="clear" w:color="auto" w:fill="auto"/>
              </w:rPr>
            </w:pPr>
            <w:r>
              <w:rPr>
                <w:rFonts w:hint="eastAsia" w:ascii="宋体" w:hAnsi="宋体" w:eastAsia="宋体" w:cs="宋体"/>
                <w:b/>
                <w:color w:val="000000"/>
                <w:kern w:val="0"/>
                <w:sz w:val="15"/>
                <w:szCs w:val="16"/>
                <w:shd w:val="clear" w:color="auto" w:fill="auto"/>
                <w:lang w:bidi="ar"/>
              </w:rPr>
              <w:t>总计</w:t>
            </w:r>
          </w:p>
        </w:tc>
        <w:tc>
          <w:tcPr>
            <w:tcW w:w="425" w:type="dxa"/>
            <w:gridSpan w:val="2"/>
            <w:tcBorders>
              <w:bottom w:val="single" w:color="000000" w:sz="18"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31</w:t>
            </w:r>
          </w:p>
        </w:tc>
        <w:tc>
          <w:tcPr>
            <w:tcW w:w="1417"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459.92</w:t>
            </w:r>
          </w:p>
        </w:tc>
        <w:tc>
          <w:tcPr>
            <w:tcW w:w="2665" w:type="dxa"/>
            <w:tcBorders>
              <w:bottom w:val="single" w:color="000000" w:sz="4" w:space="0"/>
              <w:right w:val="single" w:color="000000" w:sz="4" w:space="0"/>
            </w:tcBorders>
            <w:shd w:val="clear" w:color="auto" w:fill="auto"/>
            <w:vAlign w:val="center"/>
          </w:tcPr>
          <w:p>
            <w:pPr>
              <w:widowControl/>
              <w:textAlignment w:val="center"/>
              <w:rPr>
                <w:rFonts w:ascii="宋体" w:hAnsi="宋体" w:eastAsia="宋体" w:cs="宋体"/>
                <w:b/>
                <w:color w:val="000000"/>
                <w:sz w:val="15"/>
                <w:szCs w:val="16"/>
                <w:shd w:val="clear" w:color="auto" w:fill="auto"/>
              </w:rPr>
            </w:pPr>
            <w:r>
              <w:rPr>
                <w:rFonts w:hint="eastAsia" w:ascii="宋体" w:hAnsi="宋体" w:eastAsia="宋体" w:cs="宋体"/>
                <w:b/>
                <w:color w:val="000000"/>
                <w:kern w:val="0"/>
                <w:sz w:val="15"/>
                <w:szCs w:val="16"/>
                <w:shd w:val="clear" w:color="auto" w:fill="auto"/>
                <w:lang w:bidi="ar"/>
              </w:rPr>
              <w:t>总计</w:t>
            </w:r>
          </w:p>
        </w:tc>
        <w:tc>
          <w:tcPr>
            <w:tcW w:w="432" w:type="dxa"/>
            <w:tcBorders>
              <w:bottom w:val="single" w:color="000000" w:sz="4" w:space="0"/>
              <w:right w:val="single" w:color="000000" w:sz="4" w:space="0"/>
            </w:tcBorders>
            <w:shd w:val="clear" w:color="auto" w:fill="auto"/>
            <w:vAlign w:val="center"/>
          </w:tcPr>
          <w:p>
            <w:pPr>
              <w:widowControl/>
              <w:jc w:val="center"/>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62</w:t>
            </w:r>
          </w:p>
        </w:tc>
        <w:tc>
          <w:tcPr>
            <w:tcW w:w="1604" w:type="dxa"/>
            <w:tcBorders>
              <w:bottom w:val="single" w:color="000000" w:sz="4" w:space="0"/>
              <w:right w:val="single" w:color="000000" w:sz="4" w:space="0"/>
            </w:tcBorders>
            <w:shd w:val="clear" w:color="auto" w:fill="auto"/>
            <w:vAlign w:val="center"/>
          </w:tcPr>
          <w:p>
            <w:pPr>
              <w:jc w:val="right"/>
              <w:rPr>
                <w:rFonts w:hint="default" w:ascii="宋体" w:hAnsi="宋体" w:eastAsia="宋体" w:cs="宋体"/>
                <w:color w:val="000000"/>
                <w:sz w:val="15"/>
                <w:szCs w:val="16"/>
                <w:shd w:val="clear" w:color="auto" w:fill="auto"/>
                <w:lang w:val="en-US" w:eastAsia="zh-CN"/>
              </w:rPr>
            </w:pPr>
            <w:r>
              <w:rPr>
                <w:rFonts w:hint="eastAsia" w:ascii="宋体" w:hAnsi="宋体" w:eastAsia="宋体" w:cs="宋体"/>
                <w:color w:val="000000"/>
                <w:sz w:val="15"/>
                <w:szCs w:val="16"/>
                <w:shd w:val="clear" w:color="auto" w:fill="auto"/>
                <w:lang w:val="en-US" w:eastAsia="zh-CN"/>
              </w:rPr>
              <w:t>459.92</w:t>
            </w:r>
          </w:p>
        </w:tc>
      </w:tr>
      <w:tr>
        <w:tblPrEx>
          <w:tblCellMar>
            <w:top w:w="15" w:type="dxa"/>
            <w:left w:w="15" w:type="dxa"/>
            <w:bottom w:w="15" w:type="dxa"/>
            <w:right w:w="15" w:type="dxa"/>
          </w:tblCellMar>
        </w:tblPrEx>
        <w:trPr>
          <w:trHeight w:val="340" w:hRule="exact"/>
        </w:trPr>
        <w:tc>
          <w:tcPr>
            <w:tcW w:w="9252" w:type="dxa"/>
            <w:gridSpan w:val="8"/>
            <w:shd w:val="clear" w:color="auto" w:fill="auto"/>
            <w:vAlign w:val="center"/>
          </w:tcPr>
          <w:p>
            <w:pPr>
              <w:widowControl/>
              <w:jc w:val="left"/>
              <w:textAlignment w:val="center"/>
              <w:rPr>
                <w:rFonts w:ascii="宋体" w:hAnsi="宋体" w:eastAsia="宋体" w:cs="宋体"/>
                <w:color w:val="000000"/>
                <w:sz w:val="15"/>
                <w:szCs w:val="16"/>
                <w:shd w:val="clear" w:color="auto" w:fill="auto"/>
              </w:rPr>
            </w:pPr>
            <w:r>
              <w:rPr>
                <w:rFonts w:hint="eastAsia" w:ascii="宋体" w:hAnsi="宋体" w:eastAsia="宋体" w:cs="宋体"/>
                <w:color w:val="000000"/>
                <w:kern w:val="0"/>
                <w:sz w:val="15"/>
                <w:szCs w:val="16"/>
                <w:shd w:val="clear" w:color="auto" w:fill="auto"/>
                <w:lang w:bidi="ar"/>
              </w:rPr>
              <w:t>注：本表反映部门本年度的总收支和年末结转结余情况。本套报表金额单位转换时可能存在尾数误差。</w:t>
            </w:r>
          </w:p>
        </w:tc>
      </w:tr>
    </w:tbl>
    <w:p>
      <w:pPr>
        <w:spacing w:line="400" w:lineRule="exact"/>
        <w:jc w:val="center"/>
        <w:rPr>
          <w:rFonts w:ascii="黑体" w:hAnsi="宋体" w:eastAsia="黑体" w:cs="黑体"/>
          <w:color w:val="000000"/>
          <w:kern w:val="0"/>
          <w:sz w:val="28"/>
          <w:szCs w:val="28"/>
          <w:lang w:bidi="ar"/>
        </w:rPr>
        <w:sectPr>
          <w:pgSz w:w="11906" w:h="16838"/>
          <w:pgMar w:top="2098" w:right="1531" w:bottom="1984" w:left="1531" w:header="851" w:footer="992" w:gutter="0"/>
          <w:pgBorders>
            <w:top w:val="none" w:sz="0" w:space="0"/>
            <w:left w:val="none" w:sz="0" w:space="0"/>
            <w:bottom w:val="none" w:sz="0" w:space="0"/>
            <w:right w:val="none" w:sz="0" w:space="0"/>
          </w:pgBorders>
          <w:cols w:space="425" w:num="1"/>
          <w:docGrid w:type="lines" w:linePitch="312" w:charSpace="0"/>
        </w:sectPr>
      </w:pPr>
    </w:p>
    <w:tbl>
      <w:tblPr>
        <w:tblStyle w:val="6"/>
        <w:tblW w:w="9582" w:type="dxa"/>
        <w:jc w:val="center"/>
        <w:tblLayout w:type="fixed"/>
        <w:tblCellMar>
          <w:top w:w="0" w:type="dxa"/>
          <w:left w:w="0" w:type="dxa"/>
          <w:bottom w:w="0" w:type="dxa"/>
          <w:right w:w="0" w:type="dxa"/>
        </w:tblCellMar>
      </w:tblPr>
      <w:tblGrid>
        <w:gridCol w:w="1034"/>
        <w:gridCol w:w="59"/>
        <w:gridCol w:w="59"/>
        <w:gridCol w:w="1362"/>
        <w:gridCol w:w="1009"/>
        <w:gridCol w:w="1009"/>
        <w:gridCol w:w="1009"/>
        <w:gridCol w:w="1009"/>
        <w:gridCol w:w="1009"/>
        <w:gridCol w:w="1009"/>
        <w:gridCol w:w="1014"/>
      </w:tblGrid>
      <w:tr>
        <w:tblPrEx>
          <w:tblCellMar>
            <w:top w:w="0" w:type="dxa"/>
            <w:left w:w="0" w:type="dxa"/>
            <w:bottom w:w="0" w:type="dxa"/>
            <w:right w:w="0" w:type="dxa"/>
          </w:tblCellMar>
        </w:tblPrEx>
        <w:trPr>
          <w:trHeight w:val="670"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28"/>
                <w:szCs w:val="28"/>
              </w:rPr>
            </w:pPr>
            <w:r>
              <w:rPr>
                <w:rFonts w:hint="eastAsia" w:ascii="黑体" w:hAnsi="宋体" w:eastAsia="黑体" w:cs="黑体"/>
                <w:color w:val="000000"/>
                <w:kern w:val="0"/>
                <w:sz w:val="28"/>
                <w:szCs w:val="28"/>
                <w:lang w:bidi="ar"/>
              </w:rPr>
              <w:t>收入决算表</w:t>
            </w:r>
          </w:p>
        </w:tc>
      </w:tr>
      <w:tr>
        <w:tblPrEx>
          <w:tblCellMar>
            <w:top w:w="0" w:type="dxa"/>
            <w:left w:w="0" w:type="dxa"/>
            <w:bottom w:w="0" w:type="dxa"/>
            <w:right w:w="0" w:type="dxa"/>
          </w:tblCellMar>
        </w:tblPrEx>
        <w:trPr>
          <w:trHeight w:val="357" w:hRule="atLeast"/>
          <w:jc w:val="center"/>
        </w:trPr>
        <w:tc>
          <w:tcPr>
            <w:tcW w:w="103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362"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2023"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公开02表</w:t>
            </w:r>
          </w:p>
        </w:tc>
      </w:tr>
      <w:tr>
        <w:tblPrEx>
          <w:tblCellMar>
            <w:top w:w="0" w:type="dxa"/>
            <w:left w:w="0" w:type="dxa"/>
            <w:bottom w:w="0" w:type="dxa"/>
            <w:right w:w="0" w:type="dxa"/>
          </w:tblCellMar>
        </w:tblPrEx>
        <w:trPr>
          <w:trHeight w:val="357" w:hRule="atLeast"/>
          <w:jc w:val="center"/>
        </w:trPr>
        <w:tc>
          <w:tcPr>
            <w:tcW w:w="4532" w:type="dxa"/>
            <w:gridSpan w:val="6"/>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中国共产党石家庄市鹿泉区委员会党校</w:t>
            </w: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00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032"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385" w:hRule="atLeast"/>
          <w:jc w:val="center"/>
        </w:trPr>
        <w:tc>
          <w:tcPr>
            <w:tcW w:w="251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本年收入合计</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财政拨款收入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上级补助收入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事业收入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经营收入</w:t>
            </w:r>
          </w:p>
        </w:tc>
        <w:tc>
          <w:tcPr>
            <w:tcW w:w="100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附属单位上缴收入</w:t>
            </w:r>
          </w:p>
        </w:tc>
        <w:tc>
          <w:tcPr>
            <w:tcW w:w="1014"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其他收入</w:t>
            </w:r>
          </w:p>
        </w:tc>
      </w:tr>
      <w:tr>
        <w:tblPrEx>
          <w:tblCellMar>
            <w:top w:w="0" w:type="dxa"/>
            <w:left w:w="0" w:type="dxa"/>
            <w:bottom w:w="0" w:type="dxa"/>
            <w:right w:w="0" w:type="dxa"/>
          </w:tblCellMar>
        </w:tblPrEx>
        <w:trPr>
          <w:trHeight w:val="380" w:hRule="atLeast"/>
          <w:jc w:val="center"/>
        </w:trPr>
        <w:tc>
          <w:tcPr>
            <w:tcW w:w="1152"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136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c>
          <w:tcPr>
            <w:tcW w:w="10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1"/>
              </w:rPr>
            </w:pPr>
          </w:p>
        </w:tc>
      </w:tr>
      <w:tr>
        <w:tblPrEx>
          <w:tblCellMar>
            <w:top w:w="0" w:type="dxa"/>
            <w:left w:w="0" w:type="dxa"/>
            <w:bottom w:w="0" w:type="dxa"/>
            <w:right w:w="0" w:type="dxa"/>
          </w:tblCellMar>
        </w:tblPrEx>
        <w:trPr>
          <w:trHeight w:val="380"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0" w:hRule="atLeast"/>
          <w:jc w:val="center"/>
        </w:trPr>
        <w:tc>
          <w:tcPr>
            <w:tcW w:w="1152"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36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0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c>
          <w:tcPr>
            <w:tcW w:w="1014"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22"/>
              </w:rPr>
            </w:pPr>
          </w:p>
        </w:tc>
      </w:tr>
      <w:tr>
        <w:tblPrEx>
          <w:tblCellMar>
            <w:top w:w="0" w:type="dxa"/>
            <w:left w:w="0" w:type="dxa"/>
            <w:bottom w:w="0" w:type="dxa"/>
            <w:right w:w="0" w:type="dxa"/>
          </w:tblCellMar>
        </w:tblPrEx>
        <w:trPr>
          <w:trHeight w:val="385" w:hRule="atLeast"/>
          <w:jc w:val="center"/>
        </w:trPr>
        <w:tc>
          <w:tcPr>
            <w:tcW w:w="251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栏次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1</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5</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6</w:t>
            </w: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7</w:t>
            </w:r>
          </w:p>
        </w:tc>
      </w:tr>
      <w:tr>
        <w:tblPrEx>
          <w:tblCellMar>
            <w:top w:w="0" w:type="dxa"/>
            <w:left w:w="0" w:type="dxa"/>
            <w:bottom w:w="0" w:type="dxa"/>
            <w:right w:w="0" w:type="dxa"/>
          </w:tblCellMar>
        </w:tblPrEx>
        <w:trPr>
          <w:trHeight w:val="385" w:hRule="atLeast"/>
          <w:jc w:val="center"/>
        </w:trPr>
        <w:tc>
          <w:tcPr>
            <w:tcW w:w="251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合计</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r>
              <w:rPr>
                <w:rFonts w:hint="eastAsia" w:ascii="宋体" w:hAnsi="宋体" w:eastAsia="宋体" w:cs="宋体"/>
                <w:b/>
                <w:bCs/>
                <w:i w:val="0"/>
                <w:iCs w:val="0"/>
                <w:color w:val="000000"/>
                <w:kern w:val="0"/>
                <w:sz w:val="15"/>
                <w:szCs w:val="15"/>
                <w:u w:val="none"/>
                <w:lang w:val="en-US" w:eastAsia="zh-CN" w:bidi="ar"/>
              </w:rPr>
              <w:t>452.26</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r>
              <w:rPr>
                <w:rFonts w:hint="eastAsia" w:ascii="宋体" w:hAnsi="宋体" w:eastAsia="宋体" w:cs="宋体"/>
                <w:b/>
                <w:bCs/>
                <w:i w:val="0"/>
                <w:iCs w:val="0"/>
                <w:color w:val="000000"/>
                <w:kern w:val="0"/>
                <w:sz w:val="15"/>
                <w:szCs w:val="15"/>
                <w:u w:val="none"/>
                <w:lang w:val="en-US" w:eastAsia="zh-CN" w:bidi="ar"/>
              </w:rPr>
              <w:t>412.40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r>
              <w:rPr>
                <w:rFonts w:hint="eastAsia" w:ascii="宋体" w:hAnsi="宋体" w:eastAsia="宋体" w:cs="宋体"/>
                <w:b/>
                <w:bCs/>
                <w:i w:val="0"/>
                <w:iCs w:val="0"/>
                <w:color w:val="000000"/>
                <w:kern w:val="0"/>
                <w:sz w:val="15"/>
                <w:szCs w:val="15"/>
                <w:u w:val="none"/>
                <w:lang w:val="en-US" w:eastAsia="zh-CN" w:bidi="ar"/>
              </w:rPr>
              <w:t>39.86</w:t>
            </w: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205</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教育支出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372.55</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332.68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39.86</w:t>
            </w: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20508</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进修及培训</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372.55</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332.68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39.86</w:t>
            </w: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2050802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干部教育</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372.55</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332.68</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39.86</w:t>
            </w: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社会保障和就业支出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29.42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29.42</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20805</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行政事业单位养老支出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26.50</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2080502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事业单位离退休</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0.36</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0.36</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2080505</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机关事业单位基本养老保险缴费支出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26.14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26.14</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20809</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退役安置</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2080901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退役士兵安置</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210</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卫生健康支出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23.69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23.69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21011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行政事业单位医疗</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23.69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23.69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2101101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行政单位医疗</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23.69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23.69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221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住房保障支出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22102</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住房改革支出</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115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iCs w:val="0"/>
                <w:color w:val="000000"/>
                <w:kern w:val="0"/>
                <w:sz w:val="15"/>
                <w:szCs w:val="15"/>
                <w:u w:val="none"/>
                <w:lang w:val="en-US" w:eastAsia="zh-CN" w:bidi="ar"/>
              </w:rPr>
            </w:pPr>
            <w:r>
              <w:rPr>
                <w:rFonts w:hint="eastAsia" w:ascii="宋体" w:hAnsi="宋体" w:eastAsia="宋体" w:cs="宋体"/>
                <w:i w:val="0"/>
                <w:iCs w:val="0"/>
                <w:color w:val="000000"/>
                <w:kern w:val="0"/>
                <w:sz w:val="15"/>
                <w:szCs w:val="15"/>
                <w:u w:val="none"/>
                <w:lang w:val="en-US" w:eastAsia="zh-CN" w:bidi="ar"/>
              </w:rPr>
              <w:t>2210201</w:t>
            </w:r>
          </w:p>
        </w:tc>
        <w:tc>
          <w:tcPr>
            <w:tcW w:w="136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住房公积金</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26.59</w:t>
            </w: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01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85" w:hRule="atLeast"/>
          <w:jc w:val="center"/>
        </w:trPr>
        <w:tc>
          <w:tcPr>
            <w:tcW w:w="9582" w:type="dxa"/>
            <w:gridSpan w:val="11"/>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22"/>
              </w:rPr>
            </w:pPr>
            <w:r>
              <w:rPr>
                <w:rFonts w:hint="eastAsia" w:ascii="宋体" w:hAnsi="宋体" w:eastAsia="宋体" w:cs="宋体"/>
                <w:color w:val="000000"/>
                <w:kern w:val="0"/>
                <w:sz w:val="22"/>
                <w:lang w:bidi="ar"/>
              </w:rPr>
              <w:t>注：本表反映部门本年度取得的各项收入情况。</w:t>
            </w:r>
          </w:p>
        </w:tc>
      </w:tr>
    </w:tbl>
    <w:p>
      <w:pPr>
        <w:jc w:val="left"/>
      </w:pPr>
    </w:p>
    <w:p>
      <w:r>
        <w:br w:type="page"/>
      </w:r>
    </w:p>
    <w:tbl>
      <w:tblPr>
        <w:tblStyle w:val="6"/>
        <w:tblW w:w="9680" w:type="dxa"/>
        <w:jc w:val="center"/>
        <w:tblLayout w:type="fixed"/>
        <w:tblCellMar>
          <w:top w:w="0" w:type="dxa"/>
          <w:left w:w="0" w:type="dxa"/>
          <w:bottom w:w="0" w:type="dxa"/>
          <w:right w:w="0" w:type="dxa"/>
        </w:tblCellMar>
      </w:tblPr>
      <w:tblGrid>
        <w:gridCol w:w="941"/>
        <w:gridCol w:w="53"/>
        <w:gridCol w:w="111"/>
        <w:gridCol w:w="1359"/>
        <w:gridCol w:w="1161"/>
        <w:gridCol w:w="1161"/>
        <w:gridCol w:w="1161"/>
        <w:gridCol w:w="1161"/>
        <w:gridCol w:w="1161"/>
        <w:gridCol w:w="1411"/>
      </w:tblGrid>
      <w:tr>
        <w:tblPrEx>
          <w:tblCellMar>
            <w:top w:w="0" w:type="dxa"/>
            <w:left w:w="0" w:type="dxa"/>
            <w:bottom w:w="0" w:type="dxa"/>
            <w:right w:w="0" w:type="dxa"/>
          </w:tblCellMar>
        </w:tblPrEx>
        <w:trPr>
          <w:trHeight w:val="612"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支出决算表</w:t>
            </w:r>
          </w:p>
        </w:tc>
      </w:tr>
      <w:tr>
        <w:tblPrEx>
          <w:tblCellMar>
            <w:top w:w="0" w:type="dxa"/>
            <w:left w:w="0" w:type="dxa"/>
            <w:bottom w:w="0" w:type="dxa"/>
            <w:right w:w="0" w:type="dxa"/>
          </w:tblCellMar>
        </w:tblPrEx>
        <w:trPr>
          <w:trHeight w:val="313" w:hRule="atLeast"/>
          <w:jc w:val="center"/>
        </w:trPr>
        <w:tc>
          <w:tcPr>
            <w:tcW w:w="94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53"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35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411" w:type="dxa"/>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公开03表</w:t>
            </w:r>
          </w:p>
        </w:tc>
      </w:tr>
      <w:tr>
        <w:tblPrEx>
          <w:tblCellMar>
            <w:top w:w="0" w:type="dxa"/>
            <w:left w:w="0" w:type="dxa"/>
            <w:bottom w:w="0" w:type="dxa"/>
            <w:right w:w="0" w:type="dxa"/>
          </w:tblCellMar>
        </w:tblPrEx>
        <w:trPr>
          <w:trHeight w:val="313" w:hRule="atLeast"/>
          <w:jc w:val="center"/>
        </w:trPr>
        <w:tc>
          <w:tcPr>
            <w:tcW w:w="3625"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r>
              <w:rPr>
                <w:rFonts w:hint="eastAsia" w:ascii="宋体" w:hAnsi="宋体" w:eastAsia="宋体" w:cs="宋体"/>
                <w:color w:val="000000"/>
                <w:kern w:val="0"/>
                <w:sz w:val="18"/>
                <w:szCs w:val="18"/>
                <w:lang w:bidi="ar"/>
              </w:rPr>
              <w:t>部门：</w:t>
            </w:r>
            <w:r>
              <w:rPr>
                <w:rFonts w:hint="eastAsia" w:ascii="宋体" w:hAnsi="宋体" w:eastAsia="宋体" w:cs="宋体"/>
                <w:color w:val="000000"/>
                <w:kern w:val="0"/>
                <w:sz w:val="18"/>
                <w:szCs w:val="18"/>
                <w:lang w:eastAsia="zh-CN" w:bidi="ar"/>
              </w:rPr>
              <w:t>中国共产党石家庄市鹿泉区委员会党校</w:t>
            </w: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1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2572" w:type="dxa"/>
            <w:gridSpan w:val="2"/>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23" w:hRule="atLeast"/>
          <w:jc w:val="center"/>
        </w:trPr>
        <w:tc>
          <w:tcPr>
            <w:tcW w:w="2464"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本年支出合计</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基本支出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上缴上级支出</w:t>
            </w:r>
          </w:p>
        </w:tc>
        <w:tc>
          <w:tcPr>
            <w:tcW w:w="116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经营支出</w:t>
            </w:r>
          </w:p>
        </w:tc>
        <w:tc>
          <w:tcPr>
            <w:tcW w:w="1411"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对附属单位补助支出</w:t>
            </w:r>
          </w:p>
        </w:tc>
      </w:tr>
      <w:tr>
        <w:tblPrEx>
          <w:tblCellMar>
            <w:top w:w="0" w:type="dxa"/>
            <w:left w:w="0" w:type="dxa"/>
            <w:bottom w:w="0" w:type="dxa"/>
            <w:right w:w="0" w:type="dxa"/>
          </w:tblCellMar>
        </w:tblPrEx>
        <w:trPr>
          <w:trHeight w:val="319" w:hRule="atLeast"/>
          <w:jc w:val="center"/>
        </w:trPr>
        <w:tc>
          <w:tcPr>
            <w:tcW w:w="1105"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功能分类科目编码</w:t>
            </w:r>
          </w:p>
        </w:tc>
        <w:tc>
          <w:tcPr>
            <w:tcW w:w="135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科目名称</w:t>
            </w: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 w:val="20"/>
                <w:szCs w:val="20"/>
              </w:rPr>
            </w:pPr>
          </w:p>
        </w:tc>
      </w:tr>
      <w:tr>
        <w:tblPrEx>
          <w:tblCellMar>
            <w:top w:w="0" w:type="dxa"/>
            <w:left w:w="0" w:type="dxa"/>
            <w:bottom w:w="0" w:type="dxa"/>
            <w:right w:w="0" w:type="dxa"/>
          </w:tblCellMar>
        </w:tblPrEx>
        <w:trPr>
          <w:trHeight w:val="319"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12" w:hRule="atLeast"/>
          <w:jc w:val="center"/>
        </w:trPr>
        <w:tc>
          <w:tcPr>
            <w:tcW w:w="1105"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35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16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411"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23"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栏次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1</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5</w:t>
            </w: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6</w:t>
            </w:r>
          </w:p>
        </w:tc>
      </w:tr>
      <w:tr>
        <w:tblPrEx>
          <w:tblCellMar>
            <w:top w:w="0" w:type="dxa"/>
            <w:left w:w="0" w:type="dxa"/>
            <w:bottom w:w="0" w:type="dxa"/>
            <w:right w:w="0" w:type="dxa"/>
          </w:tblCellMar>
        </w:tblPrEx>
        <w:trPr>
          <w:trHeight w:val="298" w:hRule="atLeast"/>
          <w:jc w:val="center"/>
        </w:trPr>
        <w:tc>
          <w:tcPr>
            <w:tcW w:w="2464"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合计</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r>
              <w:rPr>
                <w:rFonts w:hint="eastAsia" w:ascii="宋体" w:hAnsi="宋体" w:eastAsia="宋体" w:cs="宋体"/>
                <w:b/>
                <w:bCs/>
                <w:i w:val="0"/>
                <w:iCs w:val="0"/>
                <w:color w:val="000000"/>
                <w:kern w:val="0"/>
                <w:sz w:val="15"/>
                <w:szCs w:val="15"/>
                <w:u w:val="none"/>
                <w:lang w:val="en-US" w:eastAsia="zh-CN" w:bidi="ar"/>
              </w:rPr>
              <w:t>448.79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r>
              <w:rPr>
                <w:rFonts w:hint="eastAsia" w:ascii="宋体" w:hAnsi="宋体" w:eastAsia="宋体" w:cs="宋体"/>
                <w:b/>
                <w:bCs/>
                <w:i w:val="0"/>
                <w:iCs w:val="0"/>
                <w:color w:val="000000"/>
                <w:kern w:val="0"/>
                <w:sz w:val="15"/>
                <w:szCs w:val="15"/>
                <w:u w:val="none"/>
                <w:lang w:val="en-US" w:eastAsia="zh-CN" w:bidi="ar"/>
              </w:rPr>
              <w:t>418.79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r>
              <w:rPr>
                <w:rFonts w:hint="eastAsia" w:ascii="宋体" w:hAnsi="宋体" w:eastAsia="宋体" w:cs="宋体"/>
                <w:b/>
                <w:bCs/>
                <w:i w:val="0"/>
                <w:iCs w:val="0"/>
                <w:color w:val="000000"/>
                <w:kern w:val="0"/>
                <w:sz w:val="15"/>
                <w:szCs w:val="15"/>
                <w:u w:val="none"/>
                <w:lang w:val="en-US" w:eastAsia="zh-CN" w:bidi="ar"/>
              </w:rPr>
              <w:t>30.00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教育支出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374.26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344.26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48"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20508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进修及培训</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374.26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344.26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2050802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干部教育</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374.26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344.26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30.00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社会保障和就业支出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29.42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29.42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行政事业单位养老支出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26.50</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2080502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事业单位离退休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0.36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0.36</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2080505</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机关事业单位基本养老保险缴费支出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26.14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26.14</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20809</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退役安置</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2080901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退役士兵安置</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210</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卫生健康支出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21011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行政事业单位医疗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2101101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行政单位医疗</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221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住房保障支出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1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22102</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住房改革支出</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2210201</w:t>
            </w: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住房公积金</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1105"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5"/>
                <w:szCs w:val="15"/>
              </w:rPr>
            </w:pPr>
          </w:p>
        </w:tc>
        <w:tc>
          <w:tcPr>
            <w:tcW w:w="135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11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141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23" w:hRule="atLeast"/>
          <w:jc w:val="center"/>
        </w:trPr>
        <w:tc>
          <w:tcPr>
            <w:tcW w:w="9680" w:type="dxa"/>
            <w:gridSpan w:val="10"/>
            <w:tcBorders>
              <w:top w:val="nil"/>
              <w:left w:val="nil"/>
              <w:bottom w:val="nil"/>
              <w:right w:val="nil"/>
            </w:tcBorders>
            <w:shd w:val="clear" w:color="auto" w:fill="auto"/>
            <w:tcMar>
              <w:top w:w="15" w:type="dxa"/>
              <w:left w:w="15" w:type="dxa"/>
              <w:right w:w="15" w:type="dxa"/>
            </w:tcMar>
            <w:vAlign w:val="center"/>
          </w:tcPr>
          <w:p>
            <w:pPr>
              <w:widowControl/>
              <w:jc w:val="left"/>
              <w:textAlignment w:val="center"/>
              <w:rPr>
                <w:rFonts w:ascii="宋体" w:hAnsi="宋体" w:eastAsia="宋体" w:cs="宋体"/>
                <w:color w:val="000000"/>
                <w:sz w:val="18"/>
                <w:szCs w:val="18"/>
              </w:rPr>
            </w:pPr>
            <w:r>
              <w:rPr>
                <w:rFonts w:hint="eastAsia" w:ascii="宋体" w:hAnsi="宋体" w:eastAsia="宋体" w:cs="宋体"/>
                <w:color w:val="000000"/>
                <w:kern w:val="0"/>
                <w:sz w:val="18"/>
                <w:szCs w:val="18"/>
                <w:lang w:bidi="ar"/>
              </w:rPr>
              <w:t>注：本表反映部门本年度各项支出情况。</w:t>
            </w:r>
          </w:p>
        </w:tc>
      </w:tr>
    </w:tbl>
    <w:p>
      <w:r>
        <w:br w:type="page"/>
      </w:r>
    </w:p>
    <w:tbl>
      <w:tblPr>
        <w:tblStyle w:val="6"/>
        <w:tblW w:w="9990" w:type="dxa"/>
        <w:jc w:val="center"/>
        <w:tblLayout w:type="fixed"/>
        <w:tblCellMar>
          <w:top w:w="0" w:type="dxa"/>
          <w:left w:w="0" w:type="dxa"/>
          <w:bottom w:w="0" w:type="dxa"/>
          <w:right w:w="0" w:type="dxa"/>
        </w:tblCellMar>
      </w:tblPr>
      <w:tblGrid>
        <w:gridCol w:w="1174"/>
        <w:gridCol w:w="67"/>
        <w:gridCol w:w="67"/>
        <w:gridCol w:w="1695"/>
        <w:gridCol w:w="2329"/>
        <w:gridCol w:w="2329"/>
        <w:gridCol w:w="1859"/>
        <w:gridCol w:w="470"/>
      </w:tblGrid>
      <w:tr>
        <w:tblPrEx>
          <w:tblCellMar>
            <w:top w:w="0" w:type="dxa"/>
            <w:left w:w="0" w:type="dxa"/>
            <w:bottom w:w="0" w:type="dxa"/>
            <w:right w:w="0" w:type="dxa"/>
          </w:tblCellMar>
        </w:tblPrEx>
        <w:trPr>
          <w:gridAfter w:val="1"/>
          <w:wAfter w:w="470" w:type="dxa"/>
          <w:trHeight w:val="406" w:hRule="atLeast"/>
          <w:jc w:val="center"/>
        </w:trPr>
        <w:tc>
          <w:tcPr>
            <w:tcW w:w="9520" w:type="dxa"/>
            <w:gridSpan w:val="7"/>
            <w:tcBorders>
              <w:top w:val="nil"/>
              <w:left w:val="nil"/>
              <w:bottom w:val="nil"/>
              <w:right w:val="nil"/>
            </w:tcBorders>
            <w:shd w:val="clear" w:color="auto" w:fill="auto"/>
            <w:tcMar>
              <w:top w:w="15" w:type="dxa"/>
              <w:left w:w="15" w:type="dxa"/>
              <w:right w:w="15" w:type="dxa"/>
            </w:tcMar>
            <w:vAlign w:val="bottom"/>
          </w:tcPr>
          <w:p>
            <w:pPr>
              <w:spacing w:line="320" w:lineRule="exact"/>
              <w:jc w:val="center"/>
              <w:rPr>
                <w:rFonts w:ascii="黑体" w:hAnsi="宋体" w:eastAsia="黑体" w:cs="黑体"/>
                <w:color w:val="000000"/>
                <w:sz w:val="32"/>
                <w:szCs w:val="32"/>
              </w:rPr>
            </w:pPr>
            <w:r>
              <w:rPr>
                <w:rFonts w:hint="eastAsia" w:ascii="黑体" w:hAnsi="宋体" w:eastAsia="黑体" w:cs="黑体"/>
                <w:color w:val="000000"/>
                <w:kern w:val="0"/>
                <w:sz w:val="32"/>
                <w:szCs w:val="32"/>
                <w:lang w:bidi="ar"/>
              </w:rPr>
              <w:t>财政拨款收入支出决算总表</w:t>
            </w:r>
          </w:p>
        </w:tc>
      </w:tr>
      <w:tr>
        <w:tblPrEx>
          <w:tblCellMar>
            <w:top w:w="0" w:type="dxa"/>
            <w:left w:w="0" w:type="dxa"/>
            <w:bottom w:w="0" w:type="dxa"/>
            <w:right w:w="0" w:type="dxa"/>
          </w:tblCellMar>
        </w:tblPrEx>
        <w:trPr>
          <w:trHeight w:val="600" w:hRule="atLeast"/>
          <w:jc w:val="center"/>
        </w:trPr>
        <w:tc>
          <w:tcPr>
            <w:tcW w:w="9990" w:type="dxa"/>
            <w:gridSpan w:val="8"/>
            <w:tcBorders>
              <w:top w:val="nil"/>
              <w:left w:val="nil"/>
              <w:bottom w:val="nil"/>
              <w:right w:val="nil"/>
            </w:tcBorders>
            <w:shd w:val="clear" w:color="auto" w:fill="auto"/>
            <w:tcMar>
              <w:top w:w="15" w:type="dxa"/>
              <w:left w:w="15" w:type="dxa"/>
              <w:right w:w="15" w:type="dxa"/>
            </w:tcMar>
            <w:vAlign w:val="center"/>
          </w:tcPr>
          <w:tbl>
            <w:tblPr>
              <w:tblStyle w:val="6"/>
              <w:tblW w:w="9736" w:type="dxa"/>
              <w:tblInd w:w="0" w:type="dxa"/>
              <w:tblLayout w:type="fixed"/>
              <w:tblCellMar>
                <w:top w:w="0" w:type="dxa"/>
                <w:left w:w="108" w:type="dxa"/>
                <w:bottom w:w="0" w:type="dxa"/>
                <w:right w:w="108" w:type="dxa"/>
              </w:tblCellMar>
            </w:tblPr>
            <w:tblGrid>
              <w:gridCol w:w="2317"/>
              <w:gridCol w:w="465"/>
              <w:gridCol w:w="748"/>
              <w:gridCol w:w="2456"/>
              <w:gridCol w:w="446"/>
              <w:gridCol w:w="791"/>
              <w:gridCol w:w="735"/>
              <w:gridCol w:w="765"/>
              <w:gridCol w:w="761"/>
              <w:gridCol w:w="252"/>
            </w:tblGrid>
            <w:tr>
              <w:tblPrEx>
                <w:tblCellMar>
                  <w:top w:w="0" w:type="dxa"/>
                  <w:left w:w="108" w:type="dxa"/>
                  <w:bottom w:w="0" w:type="dxa"/>
                  <w:right w:w="108" w:type="dxa"/>
                </w:tblCellMar>
              </w:tblPrEx>
              <w:trPr>
                <w:gridAfter w:val="1"/>
                <w:wAfter w:w="252" w:type="dxa"/>
                <w:trHeight w:val="90" w:hRule="atLeast"/>
              </w:trPr>
              <w:tc>
                <w:tcPr>
                  <w:tcW w:w="2317" w:type="dxa"/>
                  <w:tcBorders>
                    <w:top w:val="nil"/>
                    <w:left w:val="nil"/>
                    <w:bottom w:val="nil"/>
                    <w:right w:val="nil"/>
                  </w:tcBorders>
                  <w:shd w:val="clear" w:color="auto" w:fill="auto"/>
                  <w:vAlign w:val="bottom"/>
                </w:tcPr>
                <w:p>
                  <w:pPr>
                    <w:widowControl/>
                    <w:spacing w:line="240" w:lineRule="exact"/>
                    <w:jc w:val="left"/>
                    <w:rPr>
                      <w:rFonts w:ascii="宋体" w:hAnsi="宋体" w:eastAsia="宋体" w:cs="宋体"/>
                      <w:kern w:val="0"/>
                      <w:sz w:val="15"/>
                      <w:szCs w:val="15"/>
                    </w:rPr>
                  </w:pPr>
                </w:p>
              </w:tc>
              <w:tc>
                <w:tcPr>
                  <w:tcW w:w="465"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748"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245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4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791"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2261" w:type="dxa"/>
                  <w:gridSpan w:val="3"/>
                  <w:tcBorders>
                    <w:top w:val="nil"/>
                    <w:left w:val="nil"/>
                    <w:bottom w:val="nil"/>
                    <w:right w:val="nil"/>
                  </w:tcBorders>
                  <w:shd w:val="clear" w:color="auto" w:fill="auto"/>
                  <w:vAlign w:val="bottom"/>
                </w:tcPr>
                <w:p>
                  <w:pPr>
                    <w:widowControl/>
                    <w:spacing w:line="240" w:lineRule="exact"/>
                    <w:ind w:right="300"/>
                    <w:jc w:val="right"/>
                    <w:rPr>
                      <w:rFonts w:ascii="宋体" w:hAnsi="宋体" w:eastAsia="宋体" w:cs="Arial"/>
                      <w:color w:val="000000"/>
                      <w:kern w:val="0"/>
                      <w:sz w:val="15"/>
                      <w:szCs w:val="15"/>
                    </w:rPr>
                  </w:pPr>
                  <w:r>
                    <w:rPr>
                      <w:rFonts w:hint="eastAsia" w:ascii="宋体" w:hAnsi="宋体" w:eastAsia="宋体" w:cs="Arial"/>
                      <w:color w:val="000000"/>
                      <w:kern w:val="0"/>
                      <w:sz w:val="15"/>
                      <w:szCs w:val="15"/>
                    </w:rPr>
                    <w:t>公开04表</w:t>
                  </w:r>
                </w:p>
              </w:tc>
            </w:tr>
            <w:tr>
              <w:tblPrEx>
                <w:tblCellMar>
                  <w:top w:w="0" w:type="dxa"/>
                  <w:left w:w="108" w:type="dxa"/>
                  <w:bottom w:w="0" w:type="dxa"/>
                  <w:right w:w="108" w:type="dxa"/>
                </w:tblCellMar>
              </w:tblPrEx>
              <w:trPr>
                <w:gridAfter w:val="1"/>
                <w:wAfter w:w="252" w:type="dxa"/>
                <w:trHeight w:val="90" w:hRule="atLeast"/>
              </w:trPr>
              <w:tc>
                <w:tcPr>
                  <w:tcW w:w="3530" w:type="dxa"/>
                  <w:gridSpan w:val="3"/>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r>
                    <w:rPr>
                      <w:rFonts w:hint="eastAsia" w:ascii="宋体" w:hAnsi="宋体" w:eastAsia="宋体" w:cs="Arial"/>
                      <w:color w:val="000000"/>
                      <w:kern w:val="0"/>
                      <w:sz w:val="15"/>
                      <w:szCs w:val="15"/>
                    </w:rPr>
                    <w:t>部门：</w:t>
                  </w:r>
                  <w:r>
                    <w:rPr>
                      <w:rFonts w:hint="eastAsia" w:ascii="宋体" w:hAnsi="宋体" w:eastAsia="宋体" w:cs="Arial"/>
                      <w:color w:val="000000"/>
                      <w:kern w:val="0"/>
                      <w:sz w:val="15"/>
                      <w:szCs w:val="15"/>
                      <w:lang w:eastAsia="zh-CN"/>
                    </w:rPr>
                    <w:t>中国共产党石家庄市鹿泉区委员会党校</w:t>
                  </w:r>
                </w:p>
              </w:tc>
              <w:tc>
                <w:tcPr>
                  <w:tcW w:w="245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446"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791"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735" w:type="dxa"/>
                  <w:tcBorders>
                    <w:top w:val="nil"/>
                    <w:left w:val="nil"/>
                    <w:bottom w:val="nil"/>
                    <w:right w:val="nil"/>
                  </w:tcBorders>
                  <w:shd w:val="clear" w:color="auto" w:fill="auto"/>
                  <w:vAlign w:val="bottom"/>
                </w:tcPr>
                <w:p>
                  <w:pPr>
                    <w:widowControl/>
                    <w:spacing w:line="240" w:lineRule="exact"/>
                    <w:jc w:val="left"/>
                    <w:rPr>
                      <w:rFonts w:ascii="Times New Roman" w:hAnsi="Times New Roman" w:eastAsia="Times New Roman" w:cs="Times New Roman"/>
                      <w:kern w:val="0"/>
                      <w:sz w:val="15"/>
                      <w:szCs w:val="15"/>
                    </w:rPr>
                  </w:pPr>
                </w:p>
              </w:tc>
              <w:tc>
                <w:tcPr>
                  <w:tcW w:w="1526" w:type="dxa"/>
                  <w:gridSpan w:val="2"/>
                  <w:tcBorders>
                    <w:top w:val="nil"/>
                    <w:left w:val="nil"/>
                    <w:bottom w:val="nil"/>
                    <w:right w:val="nil"/>
                  </w:tcBorders>
                  <w:shd w:val="clear" w:color="auto" w:fill="auto"/>
                  <w:vAlign w:val="bottom"/>
                </w:tcPr>
                <w:p>
                  <w:pPr>
                    <w:widowControl/>
                    <w:spacing w:line="24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金额单位：万元</w:t>
                  </w:r>
                </w:p>
              </w:tc>
            </w:tr>
            <w:tr>
              <w:tblPrEx>
                <w:tblCellMar>
                  <w:top w:w="0" w:type="dxa"/>
                  <w:left w:w="108" w:type="dxa"/>
                  <w:bottom w:w="0" w:type="dxa"/>
                  <w:right w:w="108" w:type="dxa"/>
                </w:tblCellMar>
              </w:tblPrEx>
              <w:trPr>
                <w:gridAfter w:val="1"/>
                <w:wAfter w:w="252" w:type="dxa"/>
                <w:trHeight w:val="90" w:hRule="atLeast"/>
              </w:trPr>
              <w:tc>
                <w:tcPr>
                  <w:tcW w:w="353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收     入</w:t>
                  </w:r>
                </w:p>
              </w:tc>
              <w:tc>
                <w:tcPr>
                  <w:tcW w:w="5954" w:type="dxa"/>
                  <w:gridSpan w:val="6"/>
                  <w:tcBorders>
                    <w:top w:val="single" w:color="000000" w:sz="4" w:space="0"/>
                    <w:left w:val="nil"/>
                    <w:bottom w:val="single" w:color="000000" w:sz="4" w:space="0"/>
                    <w:right w:val="single" w:color="000000" w:sz="4" w:space="0"/>
                  </w:tcBorders>
                  <w:shd w:val="clear" w:color="auto" w:fill="auto"/>
                  <w:vAlign w:val="center"/>
                </w:tcPr>
                <w:p>
                  <w:pPr>
                    <w:widowControl/>
                    <w:jc w:val="center"/>
                    <w:rPr>
                      <w:rFonts w:ascii="黑体" w:hAnsi="黑体" w:eastAsia="黑体" w:cs="Arial"/>
                      <w:color w:val="000000"/>
                      <w:kern w:val="0"/>
                      <w:sz w:val="20"/>
                      <w:szCs w:val="20"/>
                    </w:rPr>
                  </w:pPr>
                  <w:r>
                    <w:rPr>
                      <w:rFonts w:hint="eastAsia" w:ascii="黑体" w:hAnsi="黑体" w:eastAsia="黑体" w:cs="Arial"/>
                      <w:color w:val="000000"/>
                      <w:kern w:val="0"/>
                      <w:sz w:val="20"/>
                      <w:szCs w:val="20"/>
                    </w:rPr>
                    <w:t>支     出</w:t>
                  </w:r>
                </w:p>
              </w:tc>
            </w:tr>
            <w:tr>
              <w:tblPrEx>
                <w:tblCellMar>
                  <w:top w:w="0" w:type="dxa"/>
                  <w:left w:w="108" w:type="dxa"/>
                  <w:bottom w:w="0" w:type="dxa"/>
                  <w:right w:w="108" w:type="dxa"/>
                </w:tblCellMar>
              </w:tblPrEx>
              <w:trPr>
                <w:gridAfter w:val="1"/>
                <w:wAfter w:w="252" w:type="dxa"/>
                <w:trHeight w:val="312" w:hRule="atLeast"/>
              </w:trPr>
              <w:tc>
                <w:tcPr>
                  <w:tcW w:w="2317" w:type="dxa"/>
                  <w:vMerge w:val="restart"/>
                  <w:tcBorders>
                    <w:top w:val="nil"/>
                    <w:left w:val="single" w:color="000000" w:sz="4" w:space="0"/>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65"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48"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金额</w:t>
                  </w:r>
                </w:p>
              </w:tc>
              <w:tc>
                <w:tcPr>
                  <w:tcW w:w="2456"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项目</w:t>
                  </w:r>
                </w:p>
              </w:tc>
              <w:tc>
                <w:tcPr>
                  <w:tcW w:w="446"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行次</w:t>
                  </w:r>
                </w:p>
              </w:tc>
              <w:tc>
                <w:tcPr>
                  <w:tcW w:w="791"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合计</w:t>
                  </w:r>
                </w:p>
              </w:tc>
              <w:tc>
                <w:tcPr>
                  <w:tcW w:w="735"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一般公共预算财政拨款</w:t>
                  </w:r>
                </w:p>
              </w:tc>
              <w:tc>
                <w:tcPr>
                  <w:tcW w:w="765"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政府性基金预算财政拨款</w:t>
                  </w:r>
                </w:p>
              </w:tc>
              <w:tc>
                <w:tcPr>
                  <w:tcW w:w="761" w:type="dxa"/>
                  <w:vMerge w:val="restart"/>
                  <w:tcBorders>
                    <w:top w:val="nil"/>
                    <w:left w:val="nil"/>
                    <w:bottom w:val="single" w:color="000000" w:sz="4" w:space="0"/>
                    <w:right w:val="single" w:color="000000" w:sz="4" w:space="0"/>
                  </w:tcBorders>
                  <w:shd w:val="clear" w:color="auto" w:fill="auto"/>
                  <w:vAlign w:val="center"/>
                </w:tcPr>
                <w:p>
                  <w:pPr>
                    <w:widowControl/>
                    <w:spacing w:line="180" w:lineRule="exact"/>
                    <w:jc w:val="center"/>
                    <w:rPr>
                      <w:rFonts w:ascii="黑体" w:hAnsi="黑体" w:eastAsia="黑体" w:cs="Arial"/>
                      <w:color w:val="000000"/>
                      <w:kern w:val="0"/>
                      <w:sz w:val="15"/>
                      <w:szCs w:val="15"/>
                    </w:rPr>
                  </w:pPr>
                  <w:r>
                    <w:rPr>
                      <w:rFonts w:hint="eastAsia" w:ascii="黑体" w:hAnsi="黑体" w:eastAsia="黑体" w:cs="Arial"/>
                      <w:color w:val="000000"/>
                      <w:kern w:val="0"/>
                      <w:sz w:val="15"/>
                      <w:szCs w:val="15"/>
                    </w:rPr>
                    <w:t>国有资本经营预算财政拨款</w:t>
                  </w:r>
                </w:p>
              </w:tc>
            </w:tr>
            <w:tr>
              <w:tblPrEx>
                <w:tblCellMar>
                  <w:top w:w="0" w:type="dxa"/>
                  <w:left w:w="108" w:type="dxa"/>
                  <w:bottom w:w="0" w:type="dxa"/>
                  <w:right w:w="108" w:type="dxa"/>
                </w:tblCellMar>
              </w:tblPrEx>
              <w:trPr>
                <w:trHeight w:val="90" w:hRule="atLeast"/>
              </w:trPr>
              <w:tc>
                <w:tcPr>
                  <w:tcW w:w="2317" w:type="dxa"/>
                  <w:vMerge w:val="continue"/>
                  <w:tcBorders>
                    <w:top w:val="nil"/>
                    <w:left w:val="single" w:color="000000" w:sz="4" w:space="0"/>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465"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748"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2456"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446"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791"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735"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765"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761" w:type="dxa"/>
                  <w:vMerge w:val="continue"/>
                  <w:tcBorders>
                    <w:top w:val="nil"/>
                    <w:left w:val="nil"/>
                    <w:bottom w:val="single" w:color="000000" w:sz="4" w:space="0"/>
                    <w:right w:val="single" w:color="000000" w:sz="4" w:space="0"/>
                  </w:tcBorders>
                  <w:vAlign w:val="center"/>
                </w:tcPr>
                <w:p>
                  <w:pPr>
                    <w:widowControl/>
                    <w:spacing w:line="240" w:lineRule="exact"/>
                    <w:jc w:val="left"/>
                    <w:rPr>
                      <w:rFonts w:ascii="宋体" w:hAnsi="宋体" w:eastAsia="宋体" w:cs="Arial"/>
                      <w:color w:val="000000"/>
                      <w:kern w:val="0"/>
                      <w:sz w:val="15"/>
                      <w:szCs w:val="15"/>
                    </w:rPr>
                  </w:pPr>
                </w:p>
              </w:tc>
              <w:tc>
                <w:tcPr>
                  <w:tcW w:w="252" w:type="dxa"/>
                  <w:tcBorders>
                    <w:top w:val="nil"/>
                    <w:left w:val="nil"/>
                    <w:bottom w:val="nil"/>
                    <w:right w:val="nil"/>
                  </w:tcBorders>
                  <w:shd w:val="clear" w:color="auto" w:fill="auto"/>
                  <w:vAlign w:val="bottom"/>
                </w:tcPr>
                <w:p>
                  <w:pPr>
                    <w:widowControl/>
                    <w:jc w:val="center"/>
                    <w:rPr>
                      <w:rFonts w:ascii="宋体" w:hAnsi="宋体" w:eastAsia="宋体" w:cs="Arial"/>
                      <w:color w:val="000000"/>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栏次</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412.4</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一、一般公共服务支出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33</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二、政府性基金预算财政拨款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二、外交支出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34</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三、国有资本经营财政拨款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三、国防支出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35</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四、公共安全支出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36</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五、教育支出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37</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334.39</w:t>
                  </w: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334.39</w:t>
                  </w: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六、科学技术支出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38</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7</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七、文化旅游体育与传媒支出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39</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8</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八、社会保障和就业支出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40</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29.42</w:t>
                  </w: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29.42</w:t>
                  </w: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9</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九、卫生健康支出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41</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23.59</w:t>
                  </w: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23.59</w:t>
                  </w: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10</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十、节能环保支出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42</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十一、城乡社区支出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43</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十二、农林水支出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44</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13</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十三、交通运输支出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45</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14</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十四、资源勘探工业信息等支出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46</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15</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十五、商业服务业等支出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47</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16</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十六、金融支出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48</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17</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十七、援助其他地区支出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49</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18</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十八、自然资源海洋气象等支出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50</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19</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十九、住房保障支出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51</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21.52</w:t>
                  </w: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21.52</w:t>
                  </w: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20</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二十、粮油物资储备支出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52</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二十一、国有资本经营预算支出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53</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3"/>
                      <w:szCs w:val="13"/>
                    </w:rPr>
                    <w:t>二十二、灾害防治及应急管理支出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54</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23</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二十三、其他支出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55</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25</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二十五、债务付息支出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57</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26</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二十六、抗疫特别国债安排的支出</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58</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本年收入合计</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27</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412.4</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本年支出合计</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59</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408.93</w:t>
                  </w: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408.93</w:t>
                  </w: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年初财政拨款结转和结余</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28</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7.66</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b/>
                      <w:bCs/>
                      <w:color w:val="000000"/>
                      <w:kern w:val="0"/>
                      <w:sz w:val="15"/>
                      <w:szCs w:val="15"/>
                    </w:rPr>
                  </w:pPr>
                  <w:r>
                    <w:rPr>
                      <w:rFonts w:hint="eastAsia" w:ascii="宋体" w:hAnsi="宋体" w:eastAsia="宋体" w:cs="Arial"/>
                      <w:color w:val="000000"/>
                      <w:kern w:val="0"/>
                      <w:sz w:val="15"/>
                      <w:szCs w:val="15"/>
                    </w:rPr>
                    <w:t>年末财政拨款结转和结余</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60</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11.13</w:t>
                  </w: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11.13</w:t>
                  </w: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一般公共预算财政拨款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29</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7.66</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宋体" w:hAnsi="宋体" w:eastAsia="宋体" w:cs="Arial"/>
                      <w:color w:val="000000"/>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61</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政府性基金预算财政拨款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30</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62</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left"/>
                    <w:rPr>
                      <w:rFonts w:ascii="宋体" w:hAnsi="宋体" w:eastAsia="宋体" w:cs="Arial"/>
                      <w:color w:val="000000"/>
                      <w:kern w:val="0"/>
                      <w:sz w:val="15"/>
                      <w:szCs w:val="15"/>
                    </w:rPr>
                  </w:pPr>
                  <w:r>
                    <w:rPr>
                      <w:rFonts w:hint="eastAsia" w:ascii="宋体" w:hAnsi="宋体" w:eastAsia="宋体" w:cs="Arial"/>
                      <w:color w:val="000000"/>
                      <w:kern w:val="0"/>
                      <w:sz w:val="15"/>
                      <w:szCs w:val="15"/>
                    </w:rPr>
                    <w:t xml:space="preserve">  国有资本经营预算财政拨款</w:t>
                  </w:r>
                </w:p>
              </w:tc>
              <w:tc>
                <w:tcPr>
                  <w:tcW w:w="465"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31</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63</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2317" w:type="dxa"/>
                  <w:tcBorders>
                    <w:top w:val="nil"/>
                    <w:left w:val="single" w:color="000000" w:sz="4" w:space="0"/>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b/>
                      <w:bCs/>
                      <w:color w:val="000000"/>
                      <w:kern w:val="0"/>
                      <w:sz w:val="15"/>
                      <w:szCs w:val="15"/>
                    </w:rPr>
                    <w:t>总计</w:t>
                  </w:r>
                </w:p>
              </w:tc>
              <w:tc>
                <w:tcPr>
                  <w:tcW w:w="465" w:type="dxa"/>
                  <w:tcBorders>
                    <w:top w:val="nil"/>
                    <w:left w:val="nil"/>
                    <w:bottom w:val="single" w:color="000000" w:sz="8"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32</w:t>
                  </w:r>
                </w:p>
              </w:tc>
              <w:tc>
                <w:tcPr>
                  <w:tcW w:w="748"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420.06</w:t>
                  </w:r>
                </w:p>
              </w:tc>
              <w:tc>
                <w:tcPr>
                  <w:tcW w:w="245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Times New Roman" w:hAnsi="Times New Roman" w:eastAsia="Times New Roman" w:cs="Times New Roman"/>
                      <w:kern w:val="0"/>
                      <w:sz w:val="15"/>
                      <w:szCs w:val="15"/>
                    </w:rPr>
                  </w:pPr>
                  <w:r>
                    <w:rPr>
                      <w:rFonts w:hint="eastAsia" w:ascii="宋体" w:hAnsi="宋体" w:eastAsia="宋体" w:cs="Arial"/>
                      <w:b/>
                      <w:bCs/>
                      <w:color w:val="000000"/>
                      <w:kern w:val="0"/>
                      <w:sz w:val="15"/>
                      <w:szCs w:val="15"/>
                    </w:rPr>
                    <w:t>总计</w:t>
                  </w:r>
                </w:p>
              </w:tc>
              <w:tc>
                <w:tcPr>
                  <w:tcW w:w="446"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ascii="宋体" w:hAnsi="宋体" w:eastAsia="宋体" w:cs="Arial"/>
                      <w:color w:val="000000"/>
                      <w:kern w:val="0"/>
                      <w:sz w:val="15"/>
                      <w:szCs w:val="15"/>
                    </w:rPr>
                  </w:pPr>
                  <w:r>
                    <w:rPr>
                      <w:rFonts w:hint="eastAsia" w:ascii="宋体" w:hAnsi="宋体" w:eastAsia="宋体" w:cs="Arial"/>
                      <w:color w:val="000000"/>
                      <w:kern w:val="0"/>
                      <w:sz w:val="15"/>
                      <w:szCs w:val="15"/>
                    </w:rPr>
                    <w:t>64</w:t>
                  </w:r>
                </w:p>
              </w:tc>
              <w:tc>
                <w:tcPr>
                  <w:tcW w:w="791" w:type="dxa"/>
                  <w:tcBorders>
                    <w:top w:val="nil"/>
                    <w:left w:val="nil"/>
                    <w:bottom w:val="single" w:color="000000" w:sz="4" w:space="0"/>
                    <w:right w:val="single" w:color="000000" w:sz="4" w:space="0"/>
                  </w:tcBorders>
                  <w:shd w:val="clear" w:color="auto" w:fill="auto"/>
                  <w:vAlign w:val="center"/>
                </w:tcPr>
                <w:p>
                  <w:pPr>
                    <w:widowControl/>
                    <w:spacing w:line="200" w:lineRule="exact"/>
                    <w:jc w:val="center"/>
                    <w:rPr>
                      <w:rFonts w:hint="default" w:ascii="宋体" w:hAnsi="宋体" w:eastAsia="宋体" w:cs="Arial"/>
                      <w:color w:val="000000"/>
                      <w:kern w:val="0"/>
                      <w:sz w:val="15"/>
                      <w:szCs w:val="15"/>
                      <w:lang w:val="en-US" w:eastAsia="zh-CN"/>
                    </w:rPr>
                  </w:pPr>
                  <w:r>
                    <w:rPr>
                      <w:rFonts w:hint="eastAsia" w:ascii="宋体" w:hAnsi="宋体" w:eastAsia="宋体" w:cs="Arial"/>
                      <w:color w:val="000000"/>
                      <w:kern w:val="0"/>
                      <w:sz w:val="15"/>
                      <w:szCs w:val="15"/>
                      <w:lang w:val="en-US" w:eastAsia="zh-CN"/>
                    </w:rPr>
                    <w:t>420.06</w:t>
                  </w:r>
                </w:p>
              </w:tc>
              <w:tc>
                <w:tcPr>
                  <w:tcW w:w="73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hint="default" w:ascii="Times New Roman" w:hAnsi="Times New Roman" w:eastAsia="宋体" w:cs="Times New Roman"/>
                      <w:kern w:val="0"/>
                      <w:sz w:val="15"/>
                      <w:szCs w:val="15"/>
                      <w:lang w:val="en-US" w:eastAsia="zh-CN"/>
                    </w:rPr>
                  </w:pPr>
                  <w:r>
                    <w:rPr>
                      <w:rFonts w:hint="eastAsia" w:ascii="Times New Roman" w:hAnsi="Times New Roman" w:eastAsia="宋体" w:cs="Times New Roman"/>
                      <w:kern w:val="0"/>
                      <w:sz w:val="15"/>
                      <w:szCs w:val="15"/>
                      <w:lang w:val="en-US" w:eastAsia="zh-CN"/>
                    </w:rPr>
                    <w:t>420.06</w:t>
                  </w:r>
                </w:p>
              </w:tc>
              <w:tc>
                <w:tcPr>
                  <w:tcW w:w="765"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761" w:type="dxa"/>
                  <w:tcBorders>
                    <w:top w:val="nil"/>
                    <w:left w:val="nil"/>
                    <w:bottom w:val="single" w:color="000000" w:sz="4" w:space="0"/>
                    <w:right w:val="single" w:color="000000" w:sz="4" w:space="0"/>
                  </w:tcBorders>
                  <w:shd w:val="clear" w:color="auto" w:fill="auto"/>
                  <w:vAlign w:val="center"/>
                </w:tcPr>
                <w:p>
                  <w:pPr>
                    <w:widowControl/>
                    <w:spacing w:line="200" w:lineRule="exact"/>
                    <w:jc w:val="right"/>
                    <w:rPr>
                      <w:rFonts w:ascii="Times New Roman" w:hAnsi="Times New Roman" w:eastAsia="Times New Roman" w:cs="Times New Roman"/>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single" w:color="000000" w:sz="4" w:space="0"/>
                  </w:tcBorders>
                  <w:shd w:val="clear" w:color="auto" w:fill="auto"/>
                  <w:vAlign w:val="center"/>
                </w:tcPr>
                <w:p>
                  <w:pPr>
                    <w:widowControl/>
                    <w:spacing w:line="200" w:lineRule="exact"/>
                    <w:jc w:val="left"/>
                    <w:rPr>
                      <w:rFonts w:ascii="Times New Roman" w:hAnsi="Times New Roman" w:eastAsia="Times New Roman" w:cs="Times New Roman"/>
                      <w:kern w:val="0"/>
                      <w:sz w:val="15"/>
                      <w:szCs w:val="15"/>
                    </w:rPr>
                  </w:pPr>
                  <w:r>
                    <w:rPr>
                      <w:rFonts w:hint="eastAsia" w:ascii="宋体" w:hAnsi="宋体" w:eastAsia="宋体" w:cs="Arial"/>
                      <w:color w:val="000000"/>
                      <w:kern w:val="0"/>
                      <w:sz w:val="15"/>
                      <w:szCs w:val="15"/>
                    </w:rPr>
                    <w:t>注：本表反映部门本年度一般公共预算财政拨款、政府性基金预算财政拨款和国有资本经营预算财政拨款的总收支和年末结转结余情况。</w:t>
                  </w:r>
                </w:p>
              </w:tc>
              <w:tc>
                <w:tcPr>
                  <w:tcW w:w="252" w:type="dxa"/>
                  <w:vAlign w:val="center"/>
                </w:tcPr>
                <w:p>
                  <w:pPr>
                    <w:widowControl/>
                    <w:jc w:val="left"/>
                    <w:rPr>
                      <w:rFonts w:ascii="Times New Roman" w:hAnsi="Times New Roman" w:eastAsia="Times New Roman" w:cs="Times New Roman"/>
                      <w:kern w:val="0"/>
                      <w:sz w:val="15"/>
                      <w:szCs w:val="15"/>
                    </w:rPr>
                  </w:pPr>
                </w:p>
              </w:tc>
            </w:tr>
            <w:tr>
              <w:tblPrEx>
                <w:tblCellMar>
                  <w:top w:w="0" w:type="dxa"/>
                  <w:left w:w="108" w:type="dxa"/>
                  <w:bottom w:w="0" w:type="dxa"/>
                  <w:right w:w="108" w:type="dxa"/>
                </w:tblCellMar>
              </w:tblPrEx>
              <w:trPr>
                <w:trHeight w:val="90" w:hRule="atLeast"/>
              </w:trPr>
              <w:tc>
                <w:tcPr>
                  <w:tcW w:w="9484" w:type="dxa"/>
                  <w:gridSpan w:val="9"/>
                  <w:tcBorders>
                    <w:top w:val="nil"/>
                    <w:left w:val="nil"/>
                    <w:bottom w:val="nil"/>
                    <w:right w:val="nil"/>
                  </w:tcBorders>
                  <w:shd w:val="clear" w:color="auto" w:fill="auto"/>
                  <w:vAlign w:val="center"/>
                </w:tcPr>
                <w:p>
                  <w:pPr>
                    <w:widowControl/>
                    <w:spacing w:line="240" w:lineRule="exact"/>
                    <w:jc w:val="left"/>
                    <w:rPr>
                      <w:rFonts w:ascii="宋体" w:hAnsi="宋体" w:eastAsia="宋体" w:cs="Arial"/>
                      <w:color w:val="000000"/>
                      <w:kern w:val="0"/>
                      <w:sz w:val="15"/>
                      <w:szCs w:val="15"/>
                    </w:rPr>
                  </w:pPr>
                </w:p>
              </w:tc>
              <w:tc>
                <w:tcPr>
                  <w:tcW w:w="252" w:type="dxa"/>
                  <w:vAlign w:val="center"/>
                </w:tcPr>
                <w:p>
                  <w:pPr>
                    <w:widowControl/>
                    <w:jc w:val="left"/>
                    <w:rPr>
                      <w:rFonts w:ascii="Times New Roman" w:hAnsi="Times New Roman" w:eastAsia="Times New Roman" w:cs="Times New Roman"/>
                      <w:kern w:val="0"/>
                      <w:sz w:val="15"/>
                      <w:szCs w:val="15"/>
                    </w:rPr>
                  </w:pPr>
                </w:p>
              </w:tc>
            </w:tr>
          </w:tbl>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一般公共预算财政拨款支出决算表</w:t>
            </w:r>
          </w:p>
        </w:tc>
      </w:tr>
      <w:tr>
        <w:tblPrEx>
          <w:tblCellMar>
            <w:top w:w="0" w:type="dxa"/>
            <w:left w:w="0" w:type="dxa"/>
            <w:bottom w:w="0" w:type="dxa"/>
            <w:right w:w="0" w:type="dxa"/>
          </w:tblCellMar>
        </w:tblPrEx>
        <w:trPr>
          <w:trHeight w:val="255" w:hRule="atLeast"/>
          <w:jc w:val="center"/>
        </w:trPr>
        <w:tc>
          <w:tcPr>
            <w:tcW w:w="1174"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6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1695"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2329"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公开05表</w:t>
            </w:r>
          </w:p>
        </w:tc>
      </w:tr>
      <w:tr>
        <w:tblPrEx>
          <w:tblCellMar>
            <w:top w:w="0" w:type="dxa"/>
            <w:left w:w="0" w:type="dxa"/>
            <w:bottom w:w="0" w:type="dxa"/>
            <w:right w:w="0" w:type="dxa"/>
          </w:tblCellMar>
        </w:tblPrEx>
        <w:trPr>
          <w:trHeight w:val="255" w:hRule="atLeast"/>
          <w:jc w:val="center"/>
        </w:trPr>
        <w:tc>
          <w:tcPr>
            <w:tcW w:w="5332"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18"/>
                <w:szCs w:val="18"/>
              </w:rPr>
            </w:pPr>
            <w:r>
              <w:rPr>
                <w:rFonts w:hint="eastAsia" w:ascii="宋体" w:hAnsi="宋体" w:eastAsia="宋体" w:cs="宋体"/>
                <w:color w:val="000000"/>
                <w:kern w:val="0"/>
                <w:sz w:val="18"/>
                <w:szCs w:val="18"/>
                <w:lang w:bidi="ar"/>
              </w:rPr>
              <w:t>部门：</w:t>
            </w:r>
            <w:r>
              <w:rPr>
                <w:rFonts w:hint="eastAsia" w:ascii="宋体" w:hAnsi="宋体" w:eastAsia="宋体" w:cs="宋体"/>
                <w:color w:val="000000"/>
                <w:kern w:val="0"/>
                <w:sz w:val="18"/>
                <w:szCs w:val="18"/>
                <w:lang w:eastAsia="zh-CN" w:bidi="ar"/>
              </w:rPr>
              <w:t>中国共产党石家庄市鹿泉区委员会党校</w:t>
            </w:r>
          </w:p>
        </w:tc>
        <w:tc>
          <w:tcPr>
            <w:tcW w:w="4658" w:type="dxa"/>
            <w:gridSpan w:val="3"/>
            <w:tcBorders>
              <w:top w:val="nil"/>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08" w:hRule="atLeast"/>
          <w:jc w:val="center"/>
        </w:trPr>
        <w:tc>
          <w:tcPr>
            <w:tcW w:w="3003"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w:t>
            </w:r>
          </w:p>
        </w:tc>
        <w:tc>
          <w:tcPr>
            <w:tcW w:w="6987"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本年支出</w:t>
            </w:r>
          </w:p>
        </w:tc>
      </w:tr>
      <w:tr>
        <w:tblPrEx>
          <w:tblCellMar>
            <w:top w:w="0" w:type="dxa"/>
            <w:left w:w="0" w:type="dxa"/>
            <w:bottom w:w="0" w:type="dxa"/>
            <w:right w:w="0" w:type="dxa"/>
          </w:tblCellMar>
        </w:tblPrEx>
        <w:trPr>
          <w:trHeight w:val="312" w:hRule="atLeast"/>
          <w:jc w:val="center"/>
        </w:trPr>
        <w:tc>
          <w:tcPr>
            <w:tcW w:w="1308"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功能分类科目编码</w:t>
            </w:r>
          </w:p>
        </w:tc>
        <w:tc>
          <w:tcPr>
            <w:tcW w:w="1695"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科目名称</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小计</w:t>
            </w:r>
          </w:p>
        </w:tc>
        <w:tc>
          <w:tcPr>
            <w:tcW w:w="232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基本支出</w:t>
            </w:r>
          </w:p>
        </w:tc>
        <w:tc>
          <w:tcPr>
            <w:tcW w:w="232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0"/>
              </w:rPr>
            </w:pPr>
            <w:r>
              <w:rPr>
                <w:rFonts w:hint="eastAsia" w:ascii="黑体" w:hAnsi="黑体" w:eastAsia="黑体" w:cs="宋体"/>
                <w:color w:val="000000"/>
                <w:kern w:val="0"/>
                <w:sz w:val="20"/>
                <w:szCs w:val="20"/>
                <w:lang w:bidi="ar"/>
              </w:rPr>
              <w:t>项目支出</w:t>
            </w: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12" w:hRule="atLeast"/>
          <w:jc w:val="center"/>
        </w:trPr>
        <w:tc>
          <w:tcPr>
            <w:tcW w:w="1308"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1695"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c>
          <w:tcPr>
            <w:tcW w:w="232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8"/>
                <w:szCs w:val="18"/>
              </w:rPr>
            </w:pP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栏次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1</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2</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3</w:t>
            </w:r>
          </w:p>
        </w:tc>
      </w:tr>
      <w:tr>
        <w:tblPrEx>
          <w:tblCellMar>
            <w:top w:w="0" w:type="dxa"/>
            <w:left w:w="0" w:type="dxa"/>
            <w:bottom w:w="0" w:type="dxa"/>
            <w:right w:w="0" w:type="dxa"/>
          </w:tblCellMar>
        </w:tblPrEx>
        <w:trPr>
          <w:trHeight w:val="308" w:hRule="atLeast"/>
          <w:jc w:val="center"/>
        </w:trPr>
        <w:tc>
          <w:tcPr>
            <w:tcW w:w="3003"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15"/>
                <w:szCs w:val="15"/>
              </w:rPr>
            </w:pPr>
            <w:r>
              <w:rPr>
                <w:rFonts w:hint="eastAsia" w:ascii="宋体" w:hAnsi="宋体" w:eastAsia="宋体" w:cs="宋体"/>
                <w:color w:val="000000"/>
                <w:kern w:val="0"/>
                <w:sz w:val="15"/>
                <w:szCs w:val="15"/>
                <w:lang w:bidi="ar"/>
              </w:rPr>
              <w:t>合计</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r>
              <w:rPr>
                <w:rFonts w:hint="eastAsia" w:ascii="宋体" w:hAnsi="宋体" w:eastAsia="宋体" w:cs="宋体"/>
                <w:b/>
                <w:bCs/>
                <w:i w:val="0"/>
                <w:iCs w:val="0"/>
                <w:color w:val="000000"/>
                <w:kern w:val="0"/>
                <w:sz w:val="15"/>
                <w:szCs w:val="15"/>
                <w:u w:val="none"/>
                <w:lang w:val="en-US" w:eastAsia="zh-CN" w:bidi="ar"/>
              </w:rPr>
              <w:t>408.93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r>
              <w:rPr>
                <w:rFonts w:hint="eastAsia" w:ascii="宋体" w:hAnsi="宋体" w:eastAsia="宋体" w:cs="宋体"/>
                <w:b/>
                <w:bCs/>
                <w:i w:val="0"/>
                <w:iCs w:val="0"/>
                <w:color w:val="000000"/>
                <w:kern w:val="0"/>
                <w:sz w:val="15"/>
                <w:szCs w:val="15"/>
                <w:u w:val="none"/>
                <w:lang w:val="en-US" w:eastAsia="zh-CN" w:bidi="ar"/>
              </w:rPr>
              <w:t>378.93</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b/>
                <w:color w:val="000000"/>
                <w:sz w:val="15"/>
                <w:szCs w:val="15"/>
              </w:rPr>
            </w:pPr>
            <w:r>
              <w:rPr>
                <w:rFonts w:hint="eastAsia" w:ascii="宋体" w:hAnsi="宋体" w:eastAsia="宋体" w:cs="宋体"/>
                <w:b/>
                <w:bCs/>
                <w:i w:val="0"/>
                <w:iCs w:val="0"/>
                <w:color w:val="000000"/>
                <w:kern w:val="0"/>
                <w:sz w:val="15"/>
                <w:szCs w:val="15"/>
                <w:u w:val="none"/>
                <w:lang w:val="en-US" w:eastAsia="zh-CN" w:bidi="ar"/>
              </w:rPr>
              <w:t>30.00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教育支出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334.39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304.39</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15"/>
                <w:szCs w:val="15"/>
                <w:lang w:val="en-US" w:eastAsia="zh-CN"/>
              </w:rPr>
            </w:pPr>
            <w:r>
              <w:rPr>
                <w:rFonts w:hint="eastAsia" w:ascii="宋体" w:hAnsi="宋体" w:eastAsia="宋体" w:cs="宋体"/>
                <w:i w:val="0"/>
                <w:iCs w:val="0"/>
                <w:color w:val="000000"/>
                <w:kern w:val="0"/>
                <w:sz w:val="15"/>
                <w:szCs w:val="15"/>
                <w:u w:val="none"/>
                <w:lang w:val="en-US" w:eastAsia="zh-CN" w:bidi="ar"/>
              </w:rPr>
              <w:t>30.00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20508</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进修及培训</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334.39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304.39</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hint="default" w:ascii="宋体" w:hAnsi="宋体" w:eastAsia="宋体" w:cs="宋体"/>
                <w:color w:val="000000"/>
                <w:sz w:val="15"/>
                <w:szCs w:val="15"/>
                <w:lang w:val="en-US" w:eastAsia="zh-CN"/>
              </w:rPr>
            </w:pPr>
            <w:r>
              <w:rPr>
                <w:rFonts w:hint="eastAsia" w:ascii="宋体" w:hAnsi="宋体" w:eastAsia="宋体" w:cs="宋体"/>
                <w:i w:val="0"/>
                <w:iCs w:val="0"/>
                <w:color w:val="000000"/>
                <w:kern w:val="0"/>
                <w:sz w:val="15"/>
                <w:szCs w:val="15"/>
                <w:u w:val="none"/>
                <w:lang w:val="en-US" w:eastAsia="zh-CN" w:bidi="ar"/>
              </w:rPr>
              <w:t>30.00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2050802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干部教育</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334.39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304.39</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30.00</w:t>
            </w: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社会保障和就业支出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29.42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29.42</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行政事业单位养老支出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26.50</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26.50</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2080502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事业单位离退休</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0.36</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0.36</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2080505</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机关事业单位基本养老保险缴费支出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26.14</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26.14</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20809</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退役安置</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2080901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退役士兵安置</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2.93</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210</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卫生健康支出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21011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行政事业单位医疗</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2101101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行政单位医疗</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23.59</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221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住房保障支出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22102</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住房改革支出</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308" w:hRule="atLeast"/>
          <w:jc w:val="center"/>
        </w:trPr>
        <w:tc>
          <w:tcPr>
            <w:tcW w:w="1308"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2210201</w:t>
            </w:r>
          </w:p>
        </w:tc>
        <w:tc>
          <w:tcPr>
            <w:tcW w:w="169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ind w:firstLine="150" w:firstLineChars="100"/>
              <w:jc w:val="lef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住房公积金</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232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5"/>
                <w:szCs w:val="15"/>
              </w:rPr>
            </w:pPr>
            <w:r>
              <w:rPr>
                <w:rFonts w:hint="eastAsia" w:ascii="宋体" w:hAnsi="宋体" w:eastAsia="宋体" w:cs="宋体"/>
                <w:i w:val="0"/>
                <w:iCs w:val="0"/>
                <w:color w:val="000000"/>
                <w:kern w:val="0"/>
                <w:sz w:val="15"/>
                <w:szCs w:val="15"/>
                <w:u w:val="none"/>
                <w:lang w:val="en-US" w:eastAsia="zh-CN" w:bidi="ar"/>
              </w:rPr>
              <w:t>21.52</w:t>
            </w:r>
          </w:p>
        </w:tc>
        <w:tc>
          <w:tcPr>
            <w:tcW w:w="232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bl>
    <w:p>
      <w:pPr>
        <w:keepNext w:val="0"/>
        <w:keepLines w:val="0"/>
        <w:pageBreakBefore w:val="0"/>
        <w:widowControl w:val="0"/>
        <w:kinsoku/>
        <w:wordWrap/>
        <w:overflowPunct/>
        <w:topLinePunct w:val="0"/>
        <w:autoSpaceDE/>
        <w:autoSpaceDN/>
        <w:bidi w:val="0"/>
        <w:adjustRightInd/>
        <w:snapToGrid/>
        <w:jc w:val="both"/>
        <w:textAlignment w:val="auto"/>
      </w:pPr>
      <w:r>
        <w:rPr>
          <w:rFonts w:hint="eastAsia"/>
          <w:lang w:eastAsia="zh-CN"/>
        </w:rPr>
        <w:t>注：本表反映部门本年度一般公共预算财政拨款支出情况。</w:t>
      </w:r>
      <w:r>
        <w:br w:type="page"/>
      </w:r>
    </w:p>
    <w:p>
      <w:pPr>
        <w:keepNext w:val="0"/>
        <w:keepLines w:val="0"/>
        <w:pageBreakBefore w:val="0"/>
        <w:widowControl/>
        <w:kinsoku/>
        <w:wordWrap/>
        <w:overflowPunct/>
        <w:topLinePunct w:val="0"/>
        <w:autoSpaceDE/>
        <w:autoSpaceDN/>
        <w:bidi w:val="0"/>
        <w:adjustRightInd/>
        <w:snapToGrid/>
        <w:jc w:val="center"/>
        <w:textAlignment w:val="center"/>
        <w:rPr>
          <w:rFonts w:ascii="黑体" w:hAnsi="宋体" w:eastAsia="黑体" w:cs="黑体"/>
          <w:color w:val="000000"/>
          <w:kern w:val="0"/>
          <w:sz w:val="28"/>
          <w:szCs w:val="28"/>
          <w:lang w:bidi="ar"/>
        </w:rPr>
        <w:sectPr>
          <w:pgSz w:w="11906" w:h="16838"/>
          <w:pgMar w:top="2098" w:right="1531" w:bottom="1984" w:left="1531" w:header="851" w:footer="992" w:gutter="0"/>
          <w:pgBorders>
            <w:top w:val="none" w:sz="0" w:space="0"/>
            <w:left w:val="none" w:sz="0" w:space="0"/>
            <w:bottom w:val="none" w:sz="0" w:space="0"/>
            <w:right w:val="none" w:sz="0" w:space="0"/>
          </w:pgBorders>
          <w:cols w:space="425" w:num="1"/>
          <w:docGrid w:type="lines" w:linePitch="312" w:charSpace="0"/>
        </w:sectPr>
      </w:pPr>
    </w:p>
    <w:tbl>
      <w:tblPr>
        <w:tblStyle w:val="6"/>
        <w:tblW w:w="14076" w:type="dxa"/>
        <w:jc w:val="center"/>
        <w:tblLayout w:type="fixed"/>
        <w:tblCellMar>
          <w:top w:w="0" w:type="dxa"/>
          <w:left w:w="0" w:type="dxa"/>
          <w:bottom w:w="0" w:type="dxa"/>
          <w:right w:w="0" w:type="dxa"/>
        </w:tblCellMar>
      </w:tblPr>
      <w:tblGrid>
        <w:gridCol w:w="1251"/>
        <w:gridCol w:w="2477"/>
        <w:gridCol w:w="1317"/>
        <w:gridCol w:w="913"/>
        <w:gridCol w:w="2463"/>
        <w:gridCol w:w="966"/>
        <w:gridCol w:w="861"/>
        <w:gridCol w:w="3028"/>
        <w:gridCol w:w="800"/>
      </w:tblGrid>
      <w:tr>
        <w:tblPrEx>
          <w:tblCellMar>
            <w:top w:w="0" w:type="dxa"/>
            <w:left w:w="0" w:type="dxa"/>
            <w:bottom w:w="0" w:type="dxa"/>
            <w:right w:w="0" w:type="dxa"/>
          </w:tblCellMar>
        </w:tblPrEx>
        <w:trPr>
          <w:trHeight w:val="404" w:hRule="atLeast"/>
          <w:jc w:val="center"/>
        </w:trPr>
        <w:tc>
          <w:tcPr>
            <w:tcW w:w="14076" w:type="dxa"/>
            <w:gridSpan w:val="9"/>
            <w:tcBorders>
              <w:top w:val="nil"/>
              <w:left w:val="nil"/>
              <w:bottom w:val="nil"/>
              <w:right w:val="nil"/>
            </w:tcBorders>
            <w:shd w:val="clear" w:color="auto" w:fill="auto"/>
            <w:tcMar>
              <w:top w:w="15" w:type="dxa"/>
              <w:left w:w="15" w:type="dxa"/>
              <w:right w:w="15" w:type="dxa"/>
            </w:tcMar>
            <w:vAlign w:val="center"/>
          </w:tcPr>
          <w:p>
            <w:pPr>
              <w:widowControl/>
              <w:spacing w:line="420" w:lineRule="exact"/>
              <w:jc w:val="center"/>
              <w:textAlignment w:val="center"/>
              <w:rPr>
                <w:rFonts w:ascii="黑体" w:hAnsi="宋体" w:eastAsia="黑体" w:cs="黑体"/>
                <w:color w:val="000000"/>
                <w:sz w:val="32"/>
                <w:szCs w:val="32"/>
              </w:rPr>
            </w:pPr>
            <w:r>
              <w:rPr>
                <w:rFonts w:hint="eastAsia" w:ascii="黑体" w:hAnsi="宋体" w:eastAsia="黑体" w:cs="黑体"/>
                <w:color w:val="000000"/>
                <w:kern w:val="0"/>
                <w:sz w:val="28"/>
                <w:szCs w:val="28"/>
                <w:lang w:bidi="ar"/>
              </w:rPr>
              <w:t>一般公共预算财政拨款基本支出决算表</w:t>
            </w:r>
          </w:p>
        </w:tc>
      </w:tr>
      <w:tr>
        <w:tblPrEx>
          <w:tblCellMar>
            <w:top w:w="0" w:type="dxa"/>
            <w:left w:w="0" w:type="dxa"/>
            <w:bottom w:w="0" w:type="dxa"/>
            <w:right w:w="0" w:type="dxa"/>
          </w:tblCellMar>
        </w:tblPrEx>
        <w:trPr>
          <w:trHeight w:val="66" w:hRule="atLeast"/>
          <w:jc w:val="center"/>
        </w:trPr>
        <w:tc>
          <w:tcPr>
            <w:tcW w:w="125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247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131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1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lang w:bidi="ar"/>
              </w:rPr>
              <w:t>公开06表</w:t>
            </w:r>
          </w:p>
        </w:tc>
      </w:tr>
      <w:tr>
        <w:tblPrEx>
          <w:tblCellMar>
            <w:top w:w="0" w:type="dxa"/>
            <w:left w:w="0" w:type="dxa"/>
            <w:bottom w:w="0" w:type="dxa"/>
            <w:right w:w="0" w:type="dxa"/>
          </w:tblCellMar>
        </w:tblPrEx>
        <w:trPr>
          <w:trHeight w:val="61" w:hRule="atLeast"/>
          <w:jc w:val="center"/>
        </w:trPr>
        <w:tc>
          <w:tcPr>
            <w:tcW w:w="5045" w:type="dxa"/>
            <w:gridSpan w:val="3"/>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r>
              <w:rPr>
                <w:rFonts w:hint="eastAsia" w:ascii="宋体" w:hAnsi="宋体" w:eastAsia="宋体" w:cs="宋体"/>
                <w:color w:val="000000"/>
                <w:kern w:val="0"/>
                <w:sz w:val="16"/>
                <w:szCs w:val="16"/>
                <w:lang w:bidi="ar"/>
              </w:rPr>
              <w:t>部门：</w:t>
            </w:r>
            <w:r>
              <w:rPr>
                <w:rFonts w:hint="eastAsia" w:ascii="宋体" w:hAnsi="宋体" w:eastAsia="宋体" w:cs="宋体"/>
                <w:color w:val="000000"/>
                <w:kern w:val="0"/>
                <w:sz w:val="16"/>
                <w:szCs w:val="16"/>
                <w:lang w:eastAsia="zh-CN" w:bidi="ar"/>
              </w:rPr>
              <w:t>中国共产党石家庄市鹿泉区委员会党校</w:t>
            </w:r>
          </w:p>
        </w:tc>
        <w:tc>
          <w:tcPr>
            <w:tcW w:w="91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2463"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96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8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6"/>
                <w:szCs w:val="16"/>
              </w:rPr>
            </w:pPr>
          </w:p>
        </w:tc>
        <w:tc>
          <w:tcPr>
            <w:tcW w:w="382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6"/>
                <w:szCs w:val="16"/>
              </w:rPr>
            </w:pPr>
            <w:r>
              <w:rPr>
                <w:rFonts w:hint="eastAsia" w:ascii="宋体" w:hAnsi="宋体" w:eastAsia="宋体" w:cs="宋体"/>
                <w:color w:val="000000"/>
                <w:kern w:val="0"/>
                <w:sz w:val="16"/>
                <w:szCs w:val="16"/>
                <w:lang w:bidi="ar"/>
              </w:rPr>
              <w:t>金额单位：万元</w:t>
            </w:r>
          </w:p>
        </w:tc>
      </w:tr>
      <w:tr>
        <w:tblPrEx>
          <w:tblCellMar>
            <w:top w:w="0" w:type="dxa"/>
            <w:left w:w="0" w:type="dxa"/>
            <w:bottom w:w="0" w:type="dxa"/>
            <w:right w:w="0" w:type="dxa"/>
          </w:tblCellMar>
        </w:tblPrEx>
        <w:trPr>
          <w:trHeight w:val="242" w:hRule="atLeast"/>
          <w:jc w:val="center"/>
        </w:trPr>
        <w:tc>
          <w:tcPr>
            <w:tcW w:w="504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人员经费</w:t>
            </w:r>
          </w:p>
        </w:tc>
        <w:tc>
          <w:tcPr>
            <w:tcW w:w="9031"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公用经费</w:t>
            </w:r>
          </w:p>
        </w:tc>
      </w:tr>
      <w:tr>
        <w:tblPrEx>
          <w:tblCellMar>
            <w:top w:w="0" w:type="dxa"/>
            <w:left w:w="0" w:type="dxa"/>
            <w:bottom w:w="0" w:type="dxa"/>
            <w:right w:w="0" w:type="dxa"/>
          </w:tblCellMar>
        </w:tblPrEx>
        <w:trPr>
          <w:trHeight w:val="240" w:hRule="atLeast"/>
          <w:jc w:val="center"/>
        </w:trPr>
        <w:tc>
          <w:tcPr>
            <w:tcW w:w="125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科目编码</w:t>
            </w:r>
          </w:p>
        </w:tc>
        <w:tc>
          <w:tcPr>
            <w:tcW w:w="2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科目名称</w:t>
            </w:r>
          </w:p>
        </w:tc>
        <w:tc>
          <w:tcPr>
            <w:tcW w:w="131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决算数</w:t>
            </w:r>
          </w:p>
        </w:tc>
        <w:tc>
          <w:tcPr>
            <w:tcW w:w="91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科目编码</w:t>
            </w:r>
          </w:p>
        </w:tc>
        <w:tc>
          <w:tcPr>
            <w:tcW w:w="24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科目名称</w:t>
            </w:r>
          </w:p>
        </w:tc>
        <w:tc>
          <w:tcPr>
            <w:tcW w:w="96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决算数</w:t>
            </w:r>
          </w:p>
        </w:tc>
        <w:tc>
          <w:tcPr>
            <w:tcW w:w="86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科目编码</w:t>
            </w:r>
          </w:p>
        </w:tc>
        <w:tc>
          <w:tcPr>
            <w:tcW w:w="302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科目名称</w:t>
            </w:r>
          </w:p>
        </w:tc>
        <w:tc>
          <w:tcPr>
            <w:tcW w:w="80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40" w:lineRule="exact"/>
              <w:jc w:val="center"/>
              <w:textAlignment w:val="center"/>
              <w:rPr>
                <w:rFonts w:ascii="黑体" w:hAnsi="黑体" w:eastAsia="黑体" w:cs="宋体"/>
                <w:color w:val="000000"/>
                <w:sz w:val="16"/>
                <w:szCs w:val="16"/>
              </w:rPr>
            </w:pPr>
            <w:r>
              <w:rPr>
                <w:rFonts w:hint="eastAsia" w:ascii="黑体" w:hAnsi="黑体" w:eastAsia="黑体" w:cs="宋体"/>
                <w:color w:val="000000"/>
                <w:kern w:val="0"/>
                <w:sz w:val="16"/>
                <w:szCs w:val="16"/>
                <w:lang w:bidi="ar"/>
              </w:rPr>
              <w:t>决算数</w:t>
            </w:r>
          </w:p>
        </w:tc>
      </w:tr>
      <w:tr>
        <w:tblPrEx>
          <w:tblCellMar>
            <w:top w:w="0" w:type="dxa"/>
            <w:left w:w="0" w:type="dxa"/>
            <w:bottom w:w="0" w:type="dxa"/>
            <w:right w:w="0" w:type="dxa"/>
          </w:tblCellMar>
        </w:tblPrEx>
        <w:trPr>
          <w:trHeight w:val="312" w:hRule="atLeast"/>
          <w:jc w:val="center"/>
        </w:trPr>
        <w:tc>
          <w:tcPr>
            <w:tcW w:w="125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131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1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24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96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86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302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c>
          <w:tcPr>
            <w:tcW w:w="80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307.90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45.92</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债务利息及费用支出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基本工资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93.50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办公费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5.83</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国内债务付息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津贴补贴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68.27</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印刷费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30702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国外债务付息</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奖金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63.90</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咨询费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3.17</w:t>
            </w: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伙食补助费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手续费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房屋建筑物购建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绩效工资</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9.36</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水费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1.51</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办公设备购置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3.17</w:t>
            </w: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机关事业单位基本养老保险缴费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26.82</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0.86</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专用设备购置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职业年金缴费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邮电费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10.82</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31005</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基础设施建设</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职工基本医疗保险缴费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23.59</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取暖费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7.65</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大型修缮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公务员医疗补助缴费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30209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物业管理费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信息网络及软件购置更新</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其他社会保障缴费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0.93</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差旅费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0.04</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物资储备</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住房公积金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21.52</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30212</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因公出国（境）费用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31009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土地补偿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30114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医疗费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30213</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维修（护）费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1.46</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31010</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安置补助</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30199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其他工资福利支出</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租赁费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地上附着物和青苗补偿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21.94</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会议费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拆迁补偿</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离休费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培训费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31013</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公务用车购置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30302</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退休费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1.73</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r>
              <w:rPr>
                <w:rFonts w:hint="eastAsia" w:ascii="宋体" w:hAnsi="宋体" w:eastAsia="宋体" w:cs="宋体"/>
                <w:color w:val="000000"/>
                <w:sz w:val="16"/>
                <w:szCs w:val="16"/>
              </w:rPr>
              <w:t>30217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公务接待费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31019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其他交通工具购置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30303</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退职（役）费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30218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专用材料费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31021</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文物和陈列品购置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30304</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抚恤金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30224</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被装购置费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31022</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无形资产购置</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30305</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生活补助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20.18</w:t>
            </w: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30225</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专用燃料费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31099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其他资本性支出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30306</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救济费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30226</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劳务费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5.02</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30307</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医疗费补助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30227</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委托业务费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39906</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赠与</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30308</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助学金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30228</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工会经费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1.80</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39907</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国家赔偿费用支出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30309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奖励金</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30229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福利费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2.55</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39908</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w:t>
            </w:r>
            <w:r>
              <w:rPr>
                <w:rFonts w:hint="eastAsia" w:ascii="宋体" w:hAnsi="宋体" w:eastAsia="宋体" w:cs="宋体"/>
                <w:color w:val="000000"/>
                <w:kern w:val="0"/>
                <w:sz w:val="15"/>
                <w:szCs w:val="15"/>
                <w:lang w:bidi="ar"/>
              </w:rPr>
              <w:t>对民间非营利组织和群众性自治组织补贴</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30310</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个人农业生产补贴</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30231</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公务用车运行维护费</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1.31</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39999</w:t>
            </w: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其他支出</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30311</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代缴社会保险费</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30239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其他交通费用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right"/>
              <w:textAlignment w:val="center"/>
              <w:rPr>
                <w:rFonts w:ascii="宋体" w:hAnsi="宋体" w:eastAsia="宋体" w:cs="宋体"/>
                <w:color w:val="000000"/>
                <w:sz w:val="16"/>
                <w:szCs w:val="16"/>
              </w:rPr>
            </w:pPr>
            <w:r>
              <w:rPr>
                <w:rFonts w:hint="eastAsia" w:ascii="宋体" w:hAnsi="宋体" w:eastAsia="宋体" w:cs="宋体"/>
                <w:i w:val="0"/>
                <w:iCs w:val="0"/>
                <w:color w:val="000000"/>
                <w:kern w:val="0"/>
                <w:sz w:val="16"/>
                <w:szCs w:val="16"/>
                <w:u w:val="none"/>
                <w:lang w:val="en-US" w:eastAsia="zh-CN" w:bidi="ar"/>
              </w:rPr>
              <w:t>7.08</w:t>
            </w: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30399</w:t>
            </w: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其他对个人和家庭的补助</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30240</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税金及附加费用</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125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2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91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30299</w:t>
            </w:r>
          </w:p>
        </w:tc>
        <w:tc>
          <w:tcPr>
            <w:tcW w:w="24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left"/>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 xml:space="preserve">  其他商品和服务支出</w:t>
            </w:r>
          </w:p>
        </w:tc>
        <w:tc>
          <w:tcPr>
            <w:tcW w:w="9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right"/>
              <w:rPr>
                <w:rFonts w:ascii="宋体" w:hAnsi="宋体" w:eastAsia="宋体" w:cs="宋体"/>
                <w:color w:val="000000"/>
                <w:sz w:val="16"/>
                <w:szCs w:val="16"/>
              </w:rPr>
            </w:pPr>
          </w:p>
        </w:tc>
        <w:tc>
          <w:tcPr>
            <w:tcW w:w="86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302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220" w:lineRule="exact"/>
              <w:jc w:val="left"/>
              <w:rPr>
                <w:rFonts w:ascii="宋体" w:hAnsi="宋体" w:eastAsia="宋体" w:cs="宋体"/>
                <w:color w:val="000000"/>
                <w:sz w:val="16"/>
                <w:szCs w:val="16"/>
              </w:rPr>
            </w:pP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spacing w:line="180" w:lineRule="exact"/>
              <w:jc w:val="right"/>
              <w:rPr>
                <w:rFonts w:ascii="宋体" w:hAnsi="宋体" w:eastAsia="宋体" w:cs="宋体"/>
                <w:color w:val="000000"/>
                <w:sz w:val="16"/>
                <w:szCs w:val="16"/>
              </w:rPr>
            </w:pPr>
          </w:p>
        </w:tc>
      </w:tr>
      <w:tr>
        <w:tblPrEx>
          <w:tblCellMar>
            <w:top w:w="0" w:type="dxa"/>
            <w:left w:w="0" w:type="dxa"/>
            <w:bottom w:w="0" w:type="dxa"/>
            <w:right w:w="0" w:type="dxa"/>
          </w:tblCellMar>
        </w:tblPrEx>
        <w:trPr>
          <w:trHeight w:val="177" w:hRule="atLeast"/>
          <w:jc w:val="center"/>
        </w:trPr>
        <w:tc>
          <w:tcPr>
            <w:tcW w:w="3728"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人员经费合计</w:t>
            </w:r>
          </w:p>
        </w:tc>
        <w:tc>
          <w:tcPr>
            <w:tcW w:w="13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tabs>
                <w:tab w:val="left" w:pos="210"/>
              </w:tabs>
              <w:spacing w:line="220" w:lineRule="exact"/>
              <w:jc w:val="lef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eastAsia="zh-CN"/>
              </w:rPr>
              <w:tab/>
            </w:r>
            <w:r>
              <w:rPr>
                <w:rFonts w:hint="eastAsia" w:ascii="宋体" w:hAnsi="宋体" w:eastAsia="宋体" w:cs="宋体"/>
                <w:color w:val="000000"/>
                <w:sz w:val="16"/>
                <w:szCs w:val="16"/>
                <w:lang w:val="en-US" w:eastAsia="zh-CN"/>
              </w:rPr>
              <w:t>329.84</w:t>
            </w:r>
          </w:p>
        </w:tc>
        <w:tc>
          <w:tcPr>
            <w:tcW w:w="8231"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line="220" w:lineRule="exact"/>
              <w:jc w:val="center"/>
              <w:textAlignment w:val="center"/>
              <w:rPr>
                <w:rFonts w:ascii="宋体" w:hAnsi="宋体" w:eastAsia="宋体" w:cs="宋体"/>
                <w:color w:val="000000"/>
                <w:sz w:val="16"/>
                <w:szCs w:val="16"/>
              </w:rPr>
            </w:pPr>
            <w:r>
              <w:rPr>
                <w:rFonts w:hint="eastAsia" w:ascii="宋体" w:hAnsi="宋体" w:eastAsia="宋体" w:cs="宋体"/>
                <w:color w:val="000000"/>
                <w:kern w:val="0"/>
                <w:sz w:val="16"/>
                <w:szCs w:val="16"/>
                <w:lang w:bidi="ar"/>
              </w:rPr>
              <w:t>公用经费合计</w:t>
            </w:r>
          </w:p>
        </w:tc>
        <w:tc>
          <w:tcPr>
            <w:tcW w:w="8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tabs>
                <w:tab w:val="left" w:pos="307"/>
              </w:tabs>
              <w:spacing w:line="180" w:lineRule="exact"/>
              <w:jc w:val="left"/>
              <w:rPr>
                <w:rFonts w:hint="default" w:ascii="宋体" w:hAnsi="宋体" w:eastAsia="宋体" w:cs="宋体"/>
                <w:color w:val="000000"/>
                <w:sz w:val="16"/>
                <w:szCs w:val="16"/>
                <w:lang w:val="en-US" w:eastAsia="zh-CN"/>
              </w:rPr>
            </w:pPr>
            <w:r>
              <w:rPr>
                <w:rFonts w:hint="eastAsia" w:ascii="宋体" w:hAnsi="宋体" w:eastAsia="宋体" w:cs="宋体"/>
                <w:color w:val="000000"/>
                <w:sz w:val="16"/>
                <w:szCs w:val="16"/>
                <w:lang w:eastAsia="zh-CN"/>
              </w:rPr>
              <w:tab/>
            </w:r>
            <w:r>
              <w:rPr>
                <w:rFonts w:hint="eastAsia" w:ascii="宋体" w:hAnsi="宋体" w:eastAsia="宋体" w:cs="宋体"/>
                <w:color w:val="000000"/>
                <w:sz w:val="16"/>
                <w:szCs w:val="16"/>
                <w:lang w:val="en-US" w:eastAsia="zh-CN"/>
              </w:rPr>
              <w:t>49.09</w:t>
            </w:r>
          </w:p>
        </w:tc>
      </w:tr>
    </w:tbl>
    <w:p>
      <w:pPr>
        <w:widowControl/>
        <w:jc w:val="both"/>
        <w:textAlignment w:val="center"/>
        <w:rPr>
          <w:rFonts w:hint="eastAsia" w:eastAsiaTheme="minorEastAsia"/>
          <w:lang w:eastAsia="zh-CN"/>
        </w:rPr>
        <w:sectPr>
          <w:pgSz w:w="16838" w:h="11906" w:orient="landscape"/>
          <w:pgMar w:top="1531" w:right="2098" w:bottom="1531" w:left="1984" w:header="851" w:footer="992" w:gutter="0"/>
          <w:pgBorders>
            <w:top w:val="none" w:sz="0" w:space="0"/>
            <w:left w:val="none" w:sz="0" w:space="0"/>
            <w:bottom w:val="none" w:sz="0" w:space="0"/>
            <w:right w:val="none" w:sz="0" w:space="0"/>
          </w:pgBorders>
          <w:cols w:space="425" w:num="1"/>
          <w:docGrid w:type="lines" w:linePitch="312" w:charSpace="0"/>
        </w:sectPr>
      </w:pPr>
      <w:r>
        <w:rPr>
          <w:rFonts w:hint="eastAsia"/>
          <w:lang w:eastAsia="zh-CN"/>
        </w:rPr>
        <w:t>注：本表反映部门本年度一般公共预算财政拨款基本支出明细情况。</w:t>
      </w:r>
    </w:p>
    <w:tbl>
      <w:tblPr>
        <w:tblStyle w:val="6"/>
        <w:tblW w:w="9220" w:type="dxa"/>
        <w:jc w:val="center"/>
        <w:tblLayout w:type="fixed"/>
        <w:tblCellMar>
          <w:top w:w="0" w:type="dxa"/>
          <w:left w:w="0" w:type="dxa"/>
          <w:bottom w:w="0" w:type="dxa"/>
          <w:right w:w="0" w:type="dxa"/>
        </w:tblCellMar>
      </w:tblPr>
      <w:tblGrid>
        <w:gridCol w:w="1267"/>
        <w:gridCol w:w="1686"/>
        <w:gridCol w:w="1565"/>
        <w:gridCol w:w="1565"/>
        <w:gridCol w:w="1565"/>
        <w:gridCol w:w="1572"/>
      </w:tblGrid>
      <w:tr>
        <w:tblPrEx>
          <w:tblCellMar>
            <w:top w:w="0" w:type="dxa"/>
            <w:left w:w="0" w:type="dxa"/>
            <w:bottom w:w="0" w:type="dxa"/>
            <w:right w:w="0" w:type="dxa"/>
          </w:tblCellMar>
        </w:tblPrEx>
        <w:trPr>
          <w:trHeight w:val="638" w:hRule="atLeast"/>
          <w:jc w:val="center"/>
        </w:trPr>
        <w:tc>
          <w:tcPr>
            <w:tcW w:w="9220" w:type="dxa"/>
            <w:gridSpan w:val="6"/>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sz w:val="28"/>
                <w:szCs w:val="28"/>
              </w:rPr>
              <w:br w:type="page"/>
            </w:r>
            <w:r>
              <w:rPr>
                <w:rFonts w:hint="eastAsia" w:ascii="黑体" w:hAnsi="宋体" w:eastAsia="黑体" w:cs="黑体"/>
                <w:color w:val="000000"/>
                <w:kern w:val="0"/>
                <w:sz w:val="28"/>
                <w:szCs w:val="28"/>
                <w:lang w:bidi="ar"/>
              </w:rPr>
              <w:t>一般公共预算财政拨款“三公”经费支出决算表</w:t>
            </w:r>
          </w:p>
        </w:tc>
      </w:tr>
      <w:tr>
        <w:tblPrEx>
          <w:tblCellMar>
            <w:top w:w="0" w:type="dxa"/>
            <w:left w:w="0" w:type="dxa"/>
            <w:bottom w:w="0" w:type="dxa"/>
            <w:right w:w="0" w:type="dxa"/>
          </w:tblCellMar>
        </w:tblPrEx>
        <w:trPr>
          <w:trHeight w:val="360" w:hRule="atLeast"/>
          <w:jc w:val="center"/>
        </w:trPr>
        <w:tc>
          <w:tcPr>
            <w:tcW w:w="126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686"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公开07表</w:t>
            </w:r>
          </w:p>
        </w:tc>
      </w:tr>
      <w:tr>
        <w:tblPrEx>
          <w:tblCellMar>
            <w:top w:w="0" w:type="dxa"/>
            <w:left w:w="0" w:type="dxa"/>
            <w:bottom w:w="0" w:type="dxa"/>
            <w:right w:w="0" w:type="dxa"/>
          </w:tblCellMar>
        </w:tblPrEx>
        <w:trPr>
          <w:trHeight w:val="360" w:hRule="atLeast"/>
          <w:jc w:val="center"/>
        </w:trPr>
        <w:tc>
          <w:tcPr>
            <w:tcW w:w="4518" w:type="dxa"/>
            <w:gridSpan w:val="3"/>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r>
              <w:rPr>
                <w:rFonts w:hint="eastAsia" w:ascii="宋体" w:hAnsi="宋体" w:eastAsia="宋体" w:cs="宋体"/>
                <w:color w:val="000000"/>
                <w:kern w:val="0"/>
                <w:sz w:val="18"/>
                <w:szCs w:val="18"/>
                <w:lang w:bidi="ar"/>
              </w:rPr>
              <w:t>部门：</w:t>
            </w:r>
            <w:r>
              <w:rPr>
                <w:rFonts w:hint="eastAsia" w:ascii="宋体" w:hAnsi="宋体" w:eastAsia="宋体" w:cs="宋体"/>
                <w:color w:val="000000"/>
                <w:kern w:val="0"/>
                <w:sz w:val="18"/>
                <w:szCs w:val="18"/>
                <w:lang w:eastAsia="zh-CN" w:bidi="ar"/>
              </w:rPr>
              <w:t>中国共产党石家庄市鹿泉区委员会党校</w:t>
            </w: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65"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572" w:type="dxa"/>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000000" w:sz="4" w:space="0"/>
              <w:bottom w:val="single" w:color="auto"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预算数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 w:val="20"/>
                <w:szCs w:val="21"/>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黑体" w:hAnsi="黑体" w:eastAsia="黑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黑体" w:hAnsi="黑体" w:eastAsia="黑体" w:cs="宋体"/>
                <w:color w:val="000000"/>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2</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3</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4</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5</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6</w:t>
            </w: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15"/>
                <w:szCs w:val="15"/>
                <w:lang w:val="en-US" w:eastAsia="zh-CN"/>
              </w:rPr>
            </w:pPr>
            <w:r>
              <w:rPr>
                <w:rFonts w:hint="eastAsia" w:ascii="宋体" w:hAnsi="宋体" w:eastAsia="宋体" w:cs="宋体"/>
                <w:color w:val="000000"/>
                <w:sz w:val="15"/>
                <w:szCs w:val="15"/>
                <w:lang w:val="en-US" w:eastAsia="zh-CN"/>
              </w:rPr>
              <w:t>2.70</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15"/>
                <w:szCs w:val="15"/>
                <w:lang w:val="en-US" w:eastAsia="zh-CN"/>
              </w:rPr>
            </w:pPr>
            <w:r>
              <w:rPr>
                <w:rFonts w:hint="eastAsia" w:ascii="宋体" w:hAnsi="宋体" w:eastAsia="宋体" w:cs="宋体"/>
                <w:color w:val="000000"/>
                <w:sz w:val="15"/>
                <w:szCs w:val="15"/>
                <w:lang w:val="en-US" w:eastAsia="zh-CN"/>
              </w:rPr>
              <w:t>2.70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15"/>
                <w:szCs w:val="15"/>
                <w:lang w:val="en-US" w:eastAsia="zh-CN"/>
              </w:rPr>
            </w:pPr>
            <w:r>
              <w:rPr>
                <w:rFonts w:hint="eastAsia" w:ascii="宋体" w:hAnsi="宋体" w:eastAsia="宋体" w:cs="宋体"/>
                <w:color w:val="000000"/>
                <w:sz w:val="15"/>
                <w:szCs w:val="15"/>
                <w:lang w:val="en-US" w:eastAsia="zh-CN"/>
              </w:rPr>
              <w:t>2.70</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r>
        <w:tblPrEx>
          <w:tblCellMar>
            <w:top w:w="0" w:type="dxa"/>
            <w:left w:w="0" w:type="dxa"/>
            <w:bottom w:w="0" w:type="dxa"/>
            <w:right w:w="0" w:type="dxa"/>
          </w:tblCellMar>
        </w:tblPrEx>
        <w:trPr>
          <w:trHeight w:val="417" w:hRule="atLeast"/>
          <w:jc w:val="center"/>
        </w:trPr>
        <w:tc>
          <w:tcPr>
            <w:tcW w:w="9220" w:type="dxa"/>
            <w:gridSpan w:val="6"/>
            <w:tcBorders>
              <w:top w:val="single" w:color="000000" w:sz="4" w:space="0"/>
              <w:left w:val="single" w:color="auto" w:sz="4" w:space="0"/>
              <w:bottom w:val="single" w:color="auto"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决算数</w:t>
            </w:r>
          </w:p>
        </w:tc>
      </w:tr>
      <w:tr>
        <w:tblPrEx>
          <w:tblCellMar>
            <w:top w:w="0" w:type="dxa"/>
            <w:left w:w="0" w:type="dxa"/>
            <w:bottom w:w="0" w:type="dxa"/>
            <w:right w:w="0" w:type="dxa"/>
          </w:tblCellMar>
        </w:tblPrEx>
        <w:trPr>
          <w:trHeight w:val="417" w:hRule="atLeast"/>
          <w:jc w:val="center"/>
        </w:trPr>
        <w:tc>
          <w:tcPr>
            <w:tcW w:w="1267" w:type="dxa"/>
            <w:vMerge w:val="restart"/>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合计</w:t>
            </w:r>
          </w:p>
        </w:tc>
        <w:tc>
          <w:tcPr>
            <w:tcW w:w="1686" w:type="dxa"/>
            <w:vMerge w:val="restart"/>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因公出国（境）费</w:t>
            </w:r>
          </w:p>
        </w:tc>
        <w:tc>
          <w:tcPr>
            <w:tcW w:w="4695" w:type="dxa"/>
            <w:gridSpan w:val="3"/>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公务用车购置及运行费</w:t>
            </w:r>
          </w:p>
        </w:tc>
        <w:tc>
          <w:tcPr>
            <w:tcW w:w="1572" w:type="dxa"/>
            <w:vMerge w:val="restart"/>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公务接待费</w:t>
            </w:r>
          </w:p>
        </w:tc>
      </w:tr>
      <w:tr>
        <w:tblPrEx>
          <w:tblCellMar>
            <w:top w:w="0" w:type="dxa"/>
            <w:left w:w="0" w:type="dxa"/>
            <w:bottom w:w="0" w:type="dxa"/>
            <w:right w:w="0" w:type="dxa"/>
          </w:tblCellMar>
        </w:tblPrEx>
        <w:trPr>
          <w:trHeight w:val="417" w:hRule="atLeast"/>
          <w:jc w:val="center"/>
        </w:trPr>
        <w:tc>
          <w:tcPr>
            <w:tcW w:w="1267" w:type="dxa"/>
            <w:vMerge w:val="continue"/>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68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lang w:bidi="ar"/>
              </w:rPr>
              <w:t>小计</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lang w:bidi="ar"/>
              </w:rPr>
              <w:t>公务用车购置费</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Cs w:val="22"/>
              </w:rPr>
            </w:pPr>
            <w:r>
              <w:rPr>
                <w:rFonts w:hint="eastAsia" w:ascii="黑体" w:hAnsi="黑体" w:eastAsia="黑体" w:cs="宋体"/>
                <w:color w:val="000000"/>
                <w:kern w:val="0"/>
                <w:szCs w:val="22"/>
                <w:lang w:bidi="ar"/>
              </w:rPr>
              <w:t>公务用车运行费</w:t>
            </w:r>
          </w:p>
        </w:tc>
        <w:tc>
          <w:tcPr>
            <w:tcW w:w="1572" w:type="dxa"/>
            <w:vMerge w:val="continue"/>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CellMar>
            <w:top w:w="0" w:type="dxa"/>
            <w:left w:w="0" w:type="dxa"/>
            <w:bottom w:w="0" w:type="dxa"/>
            <w:right w:w="0" w:type="dxa"/>
          </w:tblCellMar>
        </w:tblPrEx>
        <w:trPr>
          <w:trHeight w:val="417" w:hRule="atLeast"/>
          <w:jc w:val="center"/>
        </w:trPr>
        <w:tc>
          <w:tcPr>
            <w:tcW w:w="1267" w:type="dxa"/>
            <w:tcBorders>
              <w:top w:val="nil"/>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7</w:t>
            </w:r>
          </w:p>
        </w:tc>
        <w:tc>
          <w:tcPr>
            <w:tcW w:w="168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8</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9</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10</w:t>
            </w:r>
          </w:p>
        </w:tc>
        <w:tc>
          <w:tcPr>
            <w:tcW w:w="1565"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11</w:t>
            </w:r>
          </w:p>
        </w:tc>
        <w:tc>
          <w:tcPr>
            <w:tcW w:w="1572"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12</w:t>
            </w:r>
          </w:p>
        </w:tc>
      </w:tr>
      <w:tr>
        <w:tblPrEx>
          <w:tblCellMar>
            <w:top w:w="0" w:type="dxa"/>
            <w:left w:w="0" w:type="dxa"/>
            <w:bottom w:w="0" w:type="dxa"/>
            <w:right w:w="0" w:type="dxa"/>
          </w:tblCellMar>
        </w:tblPrEx>
        <w:trPr>
          <w:trHeight w:val="447" w:hRule="atLeast"/>
          <w:jc w:val="center"/>
        </w:trPr>
        <w:tc>
          <w:tcPr>
            <w:tcW w:w="1267" w:type="dxa"/>
            <w:tcBorders>
              <w:top w:val="nil"/>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15"/>
                <w:szCs w:val="15"/>
                <w:lang w:val="en-US" w:eastAsia="zh-CN"/>
              </w:rPr>
            </w:pPr>
            <w:r>
              <w:rPr>
                <w:rFonts w:hint="eastAsia" w:ascii="宋体" w:hAnsi="宋体" w:eastAsia="宋体" w:cs="宋体"/>
                <w:color w:val="000000"/>
                <w:sz w:val="15"/>
                <w:szCs w:val="15"/>
                <w:lang w:val="en-US" w:eastAsia="zh-CN"/>
              </w:rPr>
              <w:t>1.31</w:t>
            </w:r>
          </w:p>
        </w:tc>
        <w:tc>
          <w:tcPr>
            <w:tcW w:w="1686"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15"/>
                <w:szCs w:val="15"/>
                <w:lang w:val="en-US" w:eastAsia="zh-CN"/>
              </w:rPr>
            </w:pPr>
            <w:r>
              <w:rPr>
                <w:rFonts w:hint="eastAsia" w:ascii="宋体" w:hAnsi="宋体" w:eastAsia="宋体" w:cs="宋体"/>
                <w:color w:val="000000"/>
                <w:sz w:val="15"/>
                <w:szCs w:val="15"/>
                <w:lang w:val="en-US" w:eastAsia="zh-CN"/>
              </w:rPr>
              <w:t>1.31</w:t>
            </w: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c>
          <w:tcPr>
            <w:tcW w:w="1565" w:type="dxa"/>
            <w:tcBorders>
              <w:top w:val="nil"/>
              <w:left w:val="nil"/>
              <w:bottom w:val="single" w:color="auto" w:sz="4" w:space="0"/>
              <w:right w:val="single" w:color="000000" w:sz="4" w:space="0"/>
            </w:tcBorders>
            <w:shd w:val="clear" w:color="auto" w:fill="auto"/>
            <w:tcMar>
              <w:top w:w="15" w:type="dxa"/>
              <w:left w:w="15" w:type="dxa"/>
              <w:right w:w="15" w:type="dxa"/>
            </w:tcMar>
            <w:vAlign w:val="center"/>
          </w:tcPr>
          <w:p>
            <w:pPr>
              <w:jc w:val="right"/>
              <w:rPr>
                <w:rFonts w:hint="default" w:ascii="宋体" w:hAnsi="宋体" w:eastAsia="宋体" w:cs="宋体"/>
                <w:color w:val="000000"/>
                <w:sz w:val="15"/>
                <w:szCs w:val="15"/>
                <w:lang w:val="en-US" w:eastAsia="zh-CN"/>
              </w:rPr>
            </w:pPr>
            <w:r>
              <w:rPr>
                <w:rFonts w:hint="eastAsia" w:ascii="宋体" w:hAnsi="宋体" w:eastAsia="宋体" w:cs="宋体"/>
                <w:color w:val="000000"/>
                <w:sz w:val="15"/>
                <w:szCs w:val="15"/>
                <w:lang w:val="en-US" w:eastAsia="zh-CN"/>
              </w:rPr>
              <w:t>1.31</w:t>
            </w:r>
          </w:p>
        </w:tc>
        <w:tc>
          <w:tcPr>
            <w:tcW w:w="1572" w:type="dxa"/>
            <w:tcBorders>
              <w:top w:val="nil"/>
              <w:left w:val="nil"/>
              <w:bottom w:val="single" w:color="auto" w:sz="4" w:space="0"/>
              <w:right w:val="single" w:color="auto" w:sz="4" w:space="0"/>
            </w:tcBorders>
            <w:shd w:val="clear" w:color="auto" w:fill="auto"/>
            <w:tcMar>
              <w:top w:w="15" w:type="dxa"/>
              <w:left w:w="15" w:type="dxa"/>
              <w:right w:w="15" w:type="dxa"/>
            </w:tcMar>
            <w:vAlign w:val="center"/>
          </w:tcPr>
          <w:p>
            <w:pPr>
              <w:jc w:val="right"/>
              <w:rPr>
                <w:rFonts w:ascii="宋体" w:hAnsi="宋体" w:eastAsia="宋体" w:cs="宋体"/>
                <w:color w:val="000000"/>
                <w:sz w:val="15"/>
                <w:szCs w:val="15"/>
              </w:rPr>
            </w:pPr>
          </w:p>
        </w:tc>
      </w:tr>
    </w:tbl>
    <w:p>
      <w:r>
        <w:rPr>
          <w:rFonts w:hint="eastAsia" w:ascii="宋体" w:hAnsi="宋体" w:eastAsia="宋体" w:cs="宋体"/>
          <w:sz w:val="20"/>
          <w:szCs w:val="22"/>
        </w:rPr>
        <w:t>注：本表反映部门本年度“三公”经费支出预决算情况。其中：预算数为“三公”经费</w:t>
      </w:r>
      <w:r>
        <w:rPr>
          <w:rFonts w:hint="eastAsia" w:ascii="宋体" w:hAnsi="宋体" w:eastAsia="宋体" w:cs="宋体"/>
          <w:b w:val="0"/>
          <w:bCs/>
          <w:sz w:val="20"/>
          <w:szCs w:val="22"/>
        </w:rPr>
        <w:t>全年预算数</w:t>
      </w:r>
      <w:r>
        <w:rPr>
          <w:rFonts w:hint="eastAsia" w:ascii="宋体" w:hAnsi="宋体" w:eastAsia="宋体" w:cs="宋体"/>
          <w:sz w:val="20"/>
          <w:szCs w:val="22"/>
        </w:rPr>
        <w:t>，反映按规定程序调整后的预算数；决算数是包括当年一般公共预算财政拨款和以前年度结转资金安排的实际支出。</w:t>
      </w:r>
      <w:r>
        <w:rPr>
          <w:rFonts w:hint="eastAsia" w:ascii="仿宋_GB2312" w:hAnsi="仿宋_GB2312" w:eastAsia="仿宋_GB2312" w:cs="仿宋_GB2312"/>
          <w:sz w:val="20"/>
          <w:szCs w:val="22"/>
        </w:rPr>
        <w:tab/>
      </w:r>
      <w:r>
        <w:rPr>
          <w:sz w:val="20"/>
          <w:szCs w:val="22"/>
        </w:rPr>
        <w:tab/>
      </w:r>
      <w:r>
        <w:tab/>
      </w:r>
      <w:r>
        <w:tab/>
      </w:r>
      <w:r>
        <w:tab/>
      </w:r>
      <w:r>
        <w:tab/>
      </w:r>
      <w:r>
        <w:tab/>
      </w:r>
      <w:r>
        <w:tab/>
      </w:r>
      <w:r>
        <w:tab/>
      </w:r>
      <w:r>
        <w:tab/>
      </w:r>
      <w:r>
        <w:tab/>
      </w:r>
      <w:r>
        <w:br w:type="page"/>
      </w:r>
    </w:p>
    <w:tbl>
      <w:tblPr>
        <w:tblStyle w:val="6"/>
        <w:tblW w:w="9510" w:type="dxa"/>
        <w:jc w:val="center"/>
        <w:tblLayout w:type="fixed"/>
        <w:tblCellMar>
          <w:top w:w="0" w:type="dxa"/>
          <w:left w:w="0" w:type="dxa"/>
          <w:bottom w:w="0" w:type="dxa"/>
          <w:right w:w="0" w:type="dxa"/>
        </w:tblCellMar>
      </w:tblPr>
      <w:tblGrid>
        <w:gridCol w:w="967"/>
        <w:gridCol w:w="61"/>
        <w:gridCol w:w="61"/>
        <w:gridCol w:w="1407"/>
        <w:gridCol w:w="1169"/>
        <w:gridCol w:w="1169"/>
        <w:gridCol w:w="1169"/>
        <w:gridCol w:w="1169"/>
        <w:gridCol w:w="1169"/>
        <w:gridCol w:w="1169"/>
      </w:tblGrid>
      <w:tr>
        <w:tblPrEx>
          <w:tblCellMar>
            <w:top w:w="0" w:type="dxa"/>
            <w:left w:w="0" w:type="dxa"/>
            <w:bottom w:w="0" w:type="dxa"/>
            <w:right w:w="0" w:type="dxa"/>
          </w:tblCellMar>
        </w:tblPrEx>
        <w:trPr>
          <w:trHeight w:val="780" w:hRule="atLeast"/>
          <w:jc w:val="center"/>
        </w:trPr>
        <w:tc>
          <w:tcPr>
            <w:tcW w:w="9510" w:type="dxa"/>
            <w:gridSpan w:val="10"/>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政府性基金预算财政拨款收入支出决算表</w:t>
            </w:r>
          </w:p>
        </w:tc>
      </w:tr>
      <w:tr>
        <w:tblPrEx>
          <w:tblCellMar>
            <w:top w:w="0" w:type="dxa"/>
            <w:left w:w="0" w:type="dxa"/>
            <w:bottom w:w="0" w:type="dxa"/>
            <w:right w:w="0" w:type="dxa"/>
          </w:tblCellMar>
        </w:tblPrEx>
        <w:trPr>
          <w:trHeight w:val="255" w:hRule="atLeast"/>
          <w:jc w:val="center"/>
        </w:trPr>
        <w:tc>
          <w:tcPr>
            <w:tcW w:w="96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61"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407"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公开08表</w:t>
            </w:r>
          </w:p>
        </w:tc>
      </w:tr>
      <w:tr>
        <w:tblPrEx>
          <w:tblCellMar>
            <w:top w:w="0" w:type="dxa"/>
            <w:left w:w="0" w:type="dxa"/>
            <w:bottom w:w="0" w:type="dxa"/>
            <w:right w:w="0" w:type="dxa"/>
          </w:tblCellMar>
        </w:tblPrEx>
        <w:trPr>
          <w:trHeight w:val="255" w:hRule="atLeast"/>
          <w:jc w:val="center"/>
        </w:trPr>
        <w:tc>
          <w:tcPr>
            <w:tcW w:w="3665" w:type="dxa"/>
            <w:gridSpan w:val="5"/>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r>
              <w:rPr>
                <w:rFonts w:hint="eastAsia" w:ascii="宋体" w:hAnsi="宋体" w:eastAsia="宋体" w:cs="宋体"/>
                <w:color w:val="000000"/>
                <w:kern w:val="0"/>
                <w:sz w:val="18"/>
                <w:szCs w:val="18"/>
                <w:lang w:bidi="ar"/>
              </w:rPr>
              <w:t>部门：</w:t>
            </w:r>
            <w:r>
              <w:rPr>
                <w:rFonts w:hint="eastAsia" w:ascii="宋体" w:hAnsi="宋体" w:eastAsia="宋体" w:cs="宋体"/>
                <w:color w:val="000000"/>
                <w:kern w:val="0"/>
                <w:sz w:val="18"/>
                <w:szCs w:val="18"/>
                <w:lang w:eastAsia="zh-CN" w:bidi="ar"/>
              </w:rPr>
              <w:t>中国共产党石家庄市鹿泉区委员会党校</w:t>
            </w: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1169" w:type="dxa"/>
            <w:tcBorders>
              <w:top w:val="nil"/>
              <w:left w:val="nil"/>
              <w:bottom w:val="nil"/>
              <w:right w:val="nil"/>
            </w:tcBorders>
            <w:shd w:val="clear" w:color="auto" w:fill="auto"/>
            <w:tcMar>
              <w:top w:w="15" w:type="dxa"/>
              <w:left w:w="15" w:type="dxa"/>
              <w:right w:w="15" w:type="dxa"/>
            </w:tcMar>
            <w:vAlign w:val="bottom"/>
          </w:tcPr>
          <w:p>
            <w:pPr>
              <w:spacing w:line="240" w:lineRule="exact"/>
              <w:rPr>
                <w:rFonts w:ascii="Arial" w:hAnsi="Arial" w:cs="Arial"/>
                <w:color w:val="000000"/>
                <w:sz w:val="18"/>
                <w:szCs w:val="18"/>
              </w:rPr>
            </w:pPr>
          </w:p>
        </w:tc>
        <w:tc>
          <w:tcPr>
            <w:tcW w:w="2338" w:type="dxa"/>
            <w:gridSpan w:val="2"/>
            <w:tcBorders>
              <w:top w:val="nil"/>
              <w:left w:val="nil"/>
              <w:bottom w:val="nil"/>
              <w:right w:val="nil"/>
            </w:tcBorders>
            <w:shd w:val="clear" w:color="auto" w:fill="auto"/>
            <w:tcMar>
              <w:top w:w="15" w:type="dxa"/>
              <w:left w:w="15" w:type="dxa"/>
              <w:right w:w="15" w:type="dxa"/>
            </w:tcMar>
            <w:vAlign w:val="bottom"/>
          </w:tcPr>
          <w:p>
            <w:pPr>
              <w:widowControl/>
              <w:spacing w:line="240" w:lineRule="exact"/>
              <w:jc w:val="right"/>
              <w:textAlignment w:val="bottom"/>
              <w:rPr>
                <w:rFonts w:ascii="宋体" w:hAnsi="宋体" w:eastAsia="宋体" w:cs="宋体"/>
                <w:color w:val="000000"/>
                <w:sz w:val="18"/>
                <w:szCs w:val="18"/>
              </w:rPr>
            </w:pPr>
            <w:r>
              <w:rPr>
                <w:rFonts w:hint="eastAsia" w:ascii="宋体" w:hAnsi="宋体" w:eastAsia="宋体" w:cs="宋体"/>
                <w:color w:val="000000"/>
                <w:kern w:val="0"/>
                <w:sz w:val="18"/>
                <w:szCs w:val="18"/>
                <w:lang w:bidi="ar"/>
              </w:rPr>
              <w:t>金额单位：万元</w:t>
            </w:r>
          </w:p>
        </w:tc>
      </w:tr>
      <w:tr>
        <w:tblPrEx>
          <w:tblCellMar>
            <w:top w:w="0" w:type="dxa"/>
            <w:left w:w="0" w:type="dxa"/>
            <w:bottom w:w="0" w:type="dxa"/>
            <w:right w:w="0" w:type="dxa"/>
          </w:tblCellMar>
        </w:tblPrEx>
        <w:trPr>
          <w:trHeight w:val="308" w:hRule="atLeast"/>
          <w:jc w:val="center"/>
        </w:trPr>
        <w:tc>
          <w:tcPr>
            <w:tcW w:w="2496"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年初结转和结余</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本年收入</w:t>
            </w:r>
          </w:p>
        </w:tc>
        <w:tc>
          <w:tcPr>
            <w:tcW w:w="350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本年支出</w:t>
            </w:r>
          </w:p>
        </w:tc>
        <w:tc>
          <w:tcPr>
            <w:tcW w:w="1169"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年末结转和结余</w:t>
            </w:r>
          </w:p>
        </w:tc>
      </w:tr>
      <w:tr>
        <w:tblPrEx>
          <w:tblCellMar>
            <w:top w:w="0" w:type="dxa"/>
            <w:left w:w="0" w:type="dxa"/>
            <w:bottom w:w="0" w:type="dxa"/>
            <w:right w:w="0" w:type="dxa"/>
          </w:tblCellMar>
        </w:tblPrEx>
        <w:trPr>
          <w:trHeight w:val="312" w:hRule="atLeast"/>
          <w:jc w:val="center"/>
        </w:trPr>
        <w:tc>
          <w:tcPr>
            <w:tcW w:w="1089"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140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基本支出</w:t>
            </w:r>
          </w:p>
        </w:tc>
        <w:tc>
          <w:tcPr>
            <w:tcW w:w="116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项目支出</w:t>
            </w: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CellMar>
            <w:top w:w="0" w:type="dxa"/>
            <w:left w:w="0" w:type="dxa"/>
            <w:bottom w:w="0" w:type="dxa"/>
            <w:right w:w="0" w:type="dxa"/>
          </w:tblCellMar>
        </w:tblPrEx>
        <w:trPr>
          <w:trHeight w:val="312" w:hRule="atLeast"/>
          <w:jc w:val="center"/>
        </w:trPr>
        <w:tc>
          <w:tcPr>
            <w:tcW w:w="1089"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40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c>
          <w:tcPr>
            <w:tcW w:w="1169"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jc w:val="center"/>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栏次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1</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2</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3</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4</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5</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6</w:t>
            </w:r>
          </w:p>
        </w:tc>
      </w:tr>
      <w:tr>
        <w:tblPrEx>
          <w:tblCellMar>
            <w:top w:w="0" w:type="dxa"/>
            <w:left w:w="0" w:type="dxa"/>
            <w:bottom w:w="0" w:type="dxa"/>
            <w:right w:w="0" w:type="dxa"/>
          </w:tblCellMar>
        </w:tblPrEx>
        <w:trPr>
          <w:trHeight w:val="308" w:hRule="atLeast"/>
          <w:jc w:val="center"/>
        </w:trPr>
        <w:tc>
          <w:tcPr>
            <w:tcW w:w="2496"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Cs w:val="22"/>
              </w:rPr>
            </w:pPr>
            <w:r>
              <w:rPr>
                <w:rFonts w:hint="eastAsia" w:ascii="宋体" w:hAnsi="宋体" w:eastAsia="宋体" w:cs="宋体"/>
                <w:color w:val="000000"/>
                <w:kern w:val="0"/>
                <w:szCs w:val="22"/>
                <w:lang w:bidi="ar"/>
              </w:rPr>
              <w:t>合计</w:t>
            </w: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Cs w:val="22"/>
              </w:rPr>
            </w:pPr>
          </w:p>
        </w:tc>
      </w:tr>
      <w:tr>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r>
        <w:tblPrEx>
          <w:tblCellMar>
            <w:top w:w="0" w:type="dxa"/>
            <w:left w:w="0" w:type="dxa"/>
            <w:bottom w:w="0" w:type="dxa"/>
            <w:right w:w="0" w:type="dxa"/>
          </w:tblCellMar>
        </w:tblPrEx>
        <w:trPr>
          <w:trHeight w:val="308" w:hRule="atLeast"/>
          <w:jc w:val="center"/>
        </w:trPr>
        <w:tc>
          <w:tcPr>
            <w:tcW w:w="1089"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40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c>
          <w:tcPr>
            <w:tcW w:w="116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Cs w:val="22"/>
              </w:rPr>
            </w:pPr>
          </w:p>
        </w:tc>
      </w:tr>
    </w:tbl>
    <w:p>
      <w:pPr>
        <w:rPr>
          <w:b/>
          <w:sz w:val="20"/>
          <w:szCs w:val="22"/>
          <w:highlight w:val="yellow"/>
        </w:rPr>
      </w:pPr>
      <w:r>
        <w:rPr>
          <w:rFonts w:hint="eastAsia" w:ascii="宋体" w:hAnsi="宋体" w:eastAsia="宋体" w:cs="宋体"/>
          <w:lang w:eastAsia="zh-CN"/>
        </w:rPr>
        <w:t>注：本表反映部门本年度政府性基金预算财政拨款收入、支出及结转和结余情况。</w:t>
      </w:r>
      <w:r>
        <w:rPr>
          <w:rFonts w:hint="eastAsia" w:ascii="宋体" w:hAnsi="宋体" w:eastAsia="宋体" w:cs="宋体"/>
        </w:rPr>
        <w:t>本部门本年度无相关收入（或支出、收支及结转结余等）情况，按要求空表列示。</w:t>
      </w:r>
      <w:r>
        <w:rPr>
          <w:b/>
          <w:sz w:val="20"/>
          <w:szCs w:val="22"/>
          <w:highlight w:val="yellow"/>
        </w:rPr>
        <w:br w:type="page"/>
      </w:r>
    </w:p>
    <w:tbl>
      <w:tblPr>
        <w:tblStyle w:val="6"/>
        <w:tblW w:w="9064" w:type="dxa"/>
        <w:tblInd w:w="0" w:type="dxa"/>
        <w:tblLayout w:type="fixed"/>
        <w:tblCellMar>
          <w:top w:w="0" w:type="dxa"/>
          <w:left w:w="0" w:type="dxa"/>
          <w:bottom w:w="0" w:type="dxa"/>
          <w:right w:w="0" w:type="dxa"/>
        </w:tblCellMar>
      </w:tblPr>
      <w:tblGrid>
        <w:gridCol w:w="630"/>
        <w:gridCol w:w="661"/>
        <w:gridCol w:w="177"/>
        <w:gridCol w:w="2780"/>
        <w:gridCol w:w="1138"/>
        <w:gridCol w:w="296"/>
        <w:gridCol w:w="1421"/>
        <w:gridCol w:w="1417"/>
        <w:gridCol w:w="544"/>
      </w:tblGrid>
      <w:tr>
        <w:tblPrEx>
          <w:tblCellMar>
            <w:top w:w="0" w:type="dxa"/>
            <w:left w:w="0" w:type="dxa"/>
            <w:bottom w:w="0" w:type="dxa"/>
            <w:right w:w="0" w:type="dxa"/>
          </w:tblCellMar>
        </w:tblPrEx>
        <w:trPr>
          <w:gridAfter w:val="1"/>
          <w:wAfter w:w="544" w:type="dxa"/>
          <w:trHeight w:val="824" w:hRule="atLeast"/>
        </w:trPr>
        <w:tc>
          <w:tcPr>
            <w:tcW w:w="8520" w:type="dxa"/>
            <w:gridSpan w:val="8"/>
            <w:tcBorders>
              <w:top w:val="nil"/>
              <w:left w:val="nil"/>
              <w:bottom w:val="nil"/>
              <w:right w:val="nil"/>
            </w:tcBorders>
            <w:shd w:val="clear" w:color="auto" w:fill="auto"/>
            <w:tcMar>
              <w:top w:w="15" w:type="dxa"/>
              <w:left w:w="15" w:type="dxa"/>
              <w:right w:w="15" w:type="dxa"/>
            </w:tcMar>
            <w:vAlign w:val="center"/>
          </w:tcPr>
          <w:p>
            <w:pPr>
              <w:widowControl/>
              <w:jc w:val="center"/>
              <w:textAlignment w:val="center"/>
              <w:rPr>
                <w:rFonts w:ascii="黑体" w:hAnsi="宋体" w:eastAsia="黑体" w:cs="黑体"/>
                <w:color w:val="000000"/>
                <w:sz w:val="28"/>
                <w:szCs w:val="28"/>
              </w:rPr>
            </w:pPr>
            <w:r>
              <w:rPr>
                <w:rFonts w:hint="eastAsia" w:ascii="黑体" w:hAnsi="宋体" w:eastAsia="黑体" w:cs="黑体"/>
                <w:color w:val="000000"/>
                <w:kern w:val="0"/>
                <w:sz w:val="28"/>
                <w:szCs w:val="28"/>
                <w:lang w:bidi="ar"/>
              </w:rPr>
              <w:t>国有资本经营预算财政拨款支出决算表</w:t>
            </w:r>
          </w:p>
        </w:tc>
      </w:tr>
      <w:tr>
        <w:tblPrEx>
          <w:tblCellMar>
            <w:top w:w="0" w:type="dxa"/>
            <w:left w:w="0" w:type="dxa"/>
            <w:bottom w:w="0" w:type="dxa"/>
            <w:right w:w="0" w:type="dxa"/>
          </w:tblCellMar>
        </w:tblPrEx>
        <w:trPr>
          <w:trHeight w:val="250" w:hRule="atLeast"/>
        </w:trPr>
        <w:tc>
          <w:tcPr>
            <w:tcW w:w="630"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661"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177" w:type="dxa"/>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918" w:type="dxa"/>
            <w:gridSpan w:val="2"/>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p>
        </w:tc>
        <w:tc>
          <w:tcPr>
            <w:tcW w:w="3678" w:type="dxa"/>
            <w:gridSpan w:val="4"/>
            <w:vMerge w:val="restart"/>
            <w:tcBorders>
              <w:top w:val="nil"/>
              <w:left w:val="nil"/>
              <w:right w:val="nil"/>
            </w:tcBorders>
            <w:shd w:val="clear" w:color="auto" w:fill="auto"/>
            <w:tcMar>
              <w:top w:w="15" w:type="dxa"/>
              <w:left w:w="15" w:type="dxa"/>
              <w:right w:w="15" w:type="dxa"/>
            </w:tcMar>
            <w:vAlign w:val="bottom"/>
          </w:tcPr>
          <w:p>
            <w:pPr>
              <w:widowControl/>
              <w:ind w:firstLine="1800" w:firstLineChars="900"/>
              <w:jc w:val="left"/>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公开09表</w:t>
            </w:r>
          </w:p>
          <w:p>
            <w:pPr>
              <w:ind w:right="400" w:firstLine="1300" w:firstLineChars="650"/>
              <w:textAlignment w:val="bottom"/>
              <w:rPr>
                <w:rFonts w:ascii="宋体" w:hAnsi="宋体" w:eastAsia="宋体" w:cs="宋体"/>
                <w:color w:val="000000"/>
                <w:sz w:val="20"/>
                <w:szCs w:val="20"/>
              </w:rPr>
            </w:pPr>
            <w:r>
              <w:rPr>
                <w:rFonts w:hint="eastAsia" w:ascii="宋体" w:hAnsi="宋体" w:eastAsia="宋体" w:cs="宋体"/>
                <w:color w:val="000000"/>
                <w:kern w:val="0"/>
                <w:sz w:val="20"/>
                <w:szCs w:val="20"/>
                <w:lang w:bidi="ar"/>
              </w:rPr>
              <w:t>金额单位：万元</w:t>
            </w:r>
          </w:p>
        </w:tc>
      </w:tr>
      <w:tr>
        <w:tblPrEx>
          <w:tblCellMar>
            <w:top w:w="0" w:type="dxa"/>
            <w:left w:w="0" w:type="dxa"/>
            <w:bottom w:w="0" w:type="dxa"/>
            <w:right w:w="0" w:type="dxa"/>
          </w:tblCellMar>
        </w:tblPrEx>
        <w:trPr>
          <w:trHeight w:val="250" w:hRule="atLeast"/>
        </w:trPr>
        <w:tc>
          <w:tcPr>
            <w:tcW w:w="5386" w:type="dxa"/>
            <w:gridSpan w:val="5"/>
            <w:tcBorders>
              <w:top w:val="nil"/>
              <w:left w:val="nil"/>
              <w:bottom w:val="nil"/>
              <w:right w:val="nil"/>
            </w:tcBorders>
            <w:shd w:val="clear" w:color="auto" w:fill="auto"/>
            <w:tcMar>
              <w:top w:w="15" w:type="dxa"/>
              <w:left w:w="15" w:type="dxa"/>
              <w:right w:w="15" w:type="dxa"/>
            </w:tcMar>
            <w:vAlign w:val="bottom"/>
          </w:tcPr>
          <w:p>
            <w:pPr>
              <w:rPr>
                <w:rFonts w:ascii="Arial" w:hAnsi="Arial" w:cs="Arial"/>
                <w:color w:val="000000"/>
                <w:sz w:val="20"/>
                <w:szCs w:val="20"/>
              </w:rPr>
            </w:pPr>
            <w:r>
              <w:rPr>
                <w:rFonts w:hint="eastAsia" w:ascii="宋体" w:hAnsi="宋体" w:eastAsia="宋体" w:cs="宋体"/>
                <w:color w:val="000000"/>
                <w:kern w:val="0"/>
                <w:sz w:val="20"/>
                <w:szCs w:val="20"/>
                <w:lang w:bidi="ar"/>
              </w:rPr>
              <w:t>部门：</w:t>
            </w:r>
            <w:r>
              <w:rPr>
                <w:rFonts w:hint="eastAsia" w:ascii="宋体" w:hAnsi="宋体" w:eastAsia="宋体" w:cs="宋体"/>
                <w:color w:val="000000"/>
                <w:kern w:val="0"/>
                <w:sz w:val="20"/>
                <w:szCs w:val="20"/>
                <w:lang w:eastAsia="zh-CN" w:bidi="ar"/>
              </w:rPr>
              <w:t>中国共产党石家庄市鹿泉区委员会党校</w:t>
            </w:r>
          </w:p>
        </w:tc>
        <w:tc>
          <w:tcPr>
            <w:tcW w:w="3678" w:type="dxa"/>
            <w:gridSpan w:val="4"/>
            <w:vMerge w:val="continue"/>
            <w:tcBorders>
              <w:left w:val="nil"/>
              <w:bottom w:val="nil"/>
              <w:right w:val="nil"/>
            </w:tcBorders>
            <w:shd w:val="clear" w:color="auto" w:fill="auto"/>
            <w:tcMar>
              <w:top w:w="15" w:type="dxa"/>
              <w:left w:w="15" w:type="dxa"/>
              <w:right w:w="15" w:type="dxa"/>
            </w:tcMar>
            <w:vAlign w:val="bottom"/>
          </w:tcPr>
          <w:p>
            <w:pPr>
              <w:widowControl/>
              <w:jc w:val="right"/>
              <w:textAlignment w:val="bottom"/>
              <w:rPr>
                <w:rFonts w:ascii="宋体" w:hAnsi="宋体" w:eastAsia="宋体" w:cs="宋体"/>
                <w:color w:val="000000"/>
                <w:sz w:val="20"/>
                <w:szCs w:val="20"/>
              </w:rPr>
            </w:pPr>
          </w:p>
        </w:tc>
      </w:tr>
      <w:tr>
        <w:tblPrEx>
          <w:tblCellMar>
            <w:top w:w="0" w:type="dxa"/>
            <w:left w:w="0" w:type="dxa"/>
            <w:bottom w:w="0" w:type="dxa"/>
            <w:right w:w="0" w:type="dxa"/>
          </w:tblCellMar>
        </w:tblPrEx>
        <w:trPr>
          <w:gridAfter w:val="1"/>
          <w:wAfter w:w="544" w:type="dxa"/>
          <w:trHeight w:val="302" w:hRule="atLeast"/>
        </w:trPr>
        <w:tc>
          <w:tcPr>
            <w:tcW w:w="4248"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w:t>
            </w:r>
          </w:p>
        </w:tc>
        <w:tc>
          <w:tcPr>
            <w:tcW w:w="4272" w:type="dxa"/>
            <w:gridSpan w:val="4"/>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本年支出</w:t>
            </w:r>
          </w:p>
        </w:tc>
      </w:tr>
      <w:tr>
        <w:tblPrEx>
          <w:tblCellMar>
            <w:top w:w="0" w:type="dxa"/>
            <w:left w:w="0" w:type="dxa"/>
            <w:bottom w:w="0" w:type="dxa"/>
            <w:right w:w="0" w:type="dxa"/>
          </w:tblCellMar>
        </w:tblPrEx>
        <w:trPr>
          <w:gridAfter w:val="1"/>
          <w:wAfter w:w="544" w:type="dxa"/>
          <w:trHeight w:val="604"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功能分类科目编码</w:t>
            </w: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科目名称</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小计</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基本支出</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黑体" w:hAnsi="黑体" w:eastAsia="黑体" w:cs="宋体"/>
                <w:color w:val="000000"/>
                <w:sz w:val="20"/>
                <w:szCs w:val="21"/>
              </w:rPr>
            </w:pPr>
            <w:r>
              <w:rPr>
                <w:rFonts w:hint="eastAsia" w:ascii="黑体" w:hAnsi="黑体" w:eastAsia="黑体" w:cs="宋体"/>
                <w:color w:val="000000"/>
                <w:kern w:val="0"/>
                <w:sz w:val="20"/>
                <w:szCs w:val="21"/>
                <w:lang w:bidi="ar"/>
              </w:rPr>
              <w:t>项目支出</w:t>
            </w:r>
          </w:p>
        </w:tc>
      </w:tr>
      <w:tr>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栏次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1</w:t>
            </w: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2</w:t>
            </w: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3</w:t>
            </w:r>
          </w:p>
        </w:tc>
      </w:tr>
      <w:tr>
        <w:tblPrEx>
          <w:tblCellMar>
            <w:top w:w="0" w:type="dxa"/>
            <w:left w:w="0" w:type="dxa"/>
            <w:bottom w:w="0" w:type="dxa"/>
            <w:right w:w="0" w:type="dxa"/>
          </w:tblCellMar>
        </w:tblPrEx>
        <w:trPr>
          <w:gridAfter w:val="1"/>
          <w:wAfter w:w="544" w:type="dxa"/>
          <w:trHeight w:val="302" w:hRule="atLeast"/>
        </w:trPr>
        <w:tc>
          <w:tcPr>
            <w:tcW w:w="424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jc w:val="center"/>
              <w:textAlignment w:val="center"/>
              <w:rPr>
                <w:rFonts w:ascii="宋体" w:hAnsi="宋体" w:eastAsia="宋体" w:cs="宋体"/>
                <w:color w:val="000000"/>
                <w:sz w:val="22"/>
              </w:rPr>
            </w:pPr>
            <w:r>
              <w:rPr>
                <w:rFonts w:hint="eastAsia" w:ascii="宋体" w:hAnsi="宋体" w:eastAsia="宋体" w:cs="宋体"/>
                <w:color w:val="000000"/>
                <w:kern w:val="0"/>
                <w:sz w:val="22"/>
                <w:lang w:bidi="ar"/>
              </w:rPr>
              <w:t>合计</w:t>
            </w: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b/>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r>
        <w:tblPrEx>
          <w:tblCellMar>
            <w:top w:w="0" w:type="dxa"/>
            <w:left w:w="0" w:type="dxa"/>
            <w:bottom w:w="0" w:type="dxa"/>
            <w:right w:w="0" w:type="dxa"/>
          </w:tblCellMar>
        </w:tblPrEx>
        <w:trPr>
          <w:gridAfter w:val="1"/>
          <w:wAfter w:w="544" w:type="dxa"/>
          <w:trHeight w:val="302" w:hRule="atLeast"/>
        </w:trPr>
        <w:tc>
          <w:tcPr>
            <w:tcW w:w="1291"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295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left"/>
              <w:rPr>
                <w:rFonts w:ascii="宋体" w:hAnsi="宋体" w:eastAsia="宋体" w:cs="宋体"/>
                <w:color w:val="000000"/>
                <w:sz w:val="22"/>
              </w:rPr>
            </w:pPr>
          </w:p>
        </w:tc>
        <w:tc>
          <w:tcPr>
            <w:tcW w:w="1434"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2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c>
          <w:tcPr>
            <w:tcW w:w="141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eastAsia="宋体" w:cs="宋体"/>
                <w:color w:val="000000"/>
                <w:sz w:val="22"/>
              </w:rPr>
            </w:pPr>
          </w:p>
        </w:tc>
      </w:tr>
    </w:tbl>
    <w:p>
      <w:pPr>
        <w:rPr>
          <w:rFonts w:ascii="黑体" w:hAnsi="黑体" w:eastAsia="黑体" w:cs="黑体"/>
          <w:sz w:val="56"/>
          <w:szCs w:val="72"/>
        </w:rPr>
      </w:pPr>
      <w:r>
        <w:rPr>
          <w:rFonts w:hint="eastAsia" w:ascii="宋体" w:hAnsi="宋体" w:eastAsia="宋体" w:cs="宋体"/>
          <w:lang w:eastAsia="zh-CN"/>
        </w:rPr>
        <w:t>注：本表反映部门本年度国有资产经营预算财政拨款支出情况。</w:t>
      </w:r>
      <w:r>
        <w:rPr>
          <w:rFonts w:hint="eastAsia" w:ascii="宋体" w:hAnsi="宋体" w:eastAsia="宋体" w:cs="宋体"/>
        </w:rPr>
        <w:t>本部门本年度无相关</w:t>
      </w:r>
      <w:r>
        <w:rPr>
          <w:rFonts w:hint="eastAsia" w:ascii="宋体" w:hAnsi="宋体" w:eastAsia="宋体" w:cs="宋体"/>
          <w:lang w:eastAsia="zh-CN"/>
        </w:rPr>
        <w:t>支出</w:t>
      </w:r>
      <w:r>
        <w:rPr>
          <w:rFonts w:hint="eastAsia" w:ascii="宋体" w:hAnsi="宋体" w:eastAsia="宋体" w:cs="宋体"/>
        </w:rPr>
        <w:t>，按要求空表列示。</w:t>
      </w: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rPr>
          <w:rFonts w:ascii="黑体" w:hAnsi="黑体" w:eastAsia="黑体" w:cs="黑体"/>
          <w:sz w:val="56"/>
          <w:szCs w:val="72"/>
        </w:rPr>
      </w:pPr>
    </w:p>
    <w:p>
      <w:pPr>
        <w:tabs>
          <w:tab w:val="left" w:pos="235"/>
        </w:tabs>
        <w:spacing w:line="600" w:lineRule="exact"/>
        <w:ind w:firstLine="640" w:firstLineChars="200"/>
        <w:jc w:val="left"/>
        <w:rPr>
          <w:rFonts w:ascii="仿宋_GB2312" w:hAnsi="Cambria" w:eastAsia="仿宋_GB2312" w:cs="Arial Black"/>
          <w:kern w:val="0"/>
          <w:sz w:val="32"/>
          <w:szCs w:val="32"/>
        </w:rPr>
        <w:sectPr>
          <w:pgSz w:w="11906" w:h="16838"/>
          <w:pgMar w:top="1984" w:right="1531" w:bottom="2098" w:left="1531" w:header="851" w:footer="992" w:gutter="0"/>
          <w:pgBorders>
            <w:top w:val="none" w:sz="0" w:space="0"/>
            <w:left w:val="none" w:sz="0" w:space="0"/>
            <w:bottom w:val="none" w:sz="0" w:space="0"/>
            <w:right w:val="none" w:sz="0" w:space="0"/>
          </w:pgBorders>
          <w:cols w:space="425" w:num="1"/>
          <w:docGrid w:type="lines" w:linePitch="312" w:charSpace="0"/>
        </w:sectPr>
      </w:pPr>
    </w:p>
    <w:p>
      <w:pPr>
        <w:tabs>
          <w:tab w:val="left" w:pos="235"/>
        </w:tabs>
        <w:spacing w:line="600" w:lineRule="exact"/>
        <w:ind w:firstLine="640" w:firstLineChars="200"/>
        <w:jc w:val="left"/>
        <w:rPr>
          <w:rFonts w:ascii="仿宋_GB2312" w:hAnsi="Cambria" w:eastAsia="仿宋_GB2312" w:cs="Arial Black"/>
          <w:kern w:val="0"/>
          <w:sz w:val="32"/>
          <w:szCs w:val="32"/>
        </w:rPr>
      </w:pPr>
      <w:r>
        <w:rPr>
          <w:sz w:val="32"/>
        </w:rPr>
        <mc:AlternateContent>
          <mc:Choice Requires="wps">
            <w:drawing>
              <wp:anchor distT="0" distB="0" distL="114300" distR="114300" simplePos="0" relativeHeight="251663360" behindDoc="0" locked="0" layoutInCell="1" allowOverlap="1">
                <wp:simplePos x="0" y="0"/>
                <wp:positionH relativeFrom="column">
                  <wp:posOffset>-993140</wp:posOffset>
                </wp:positionH>
                <wp:positionV relativeFrom="paragraph">
                  <wp:posOffset>-1353820</wp:posOffset>
                </wp:positionV>
                <wp:extent cx="7632700" cy="10695940"/>
                <wp:effectExtent l="0" t="0" r="2540" b="2540"/>
                <wp:wrapNone/>
                <wp:docPr id="3" name="矩形 3"/>
                <wp:cNvGraphicFramePr/>
                <a:graphic xmlns:a="http://schemas.openxmlformats.org/drawingml/2006/main">
                  <a:graphicData uri="http://schemas.microsoft.com/office/word/2010/wordprocessingShape">
                    <wps:wsp>
                      <wps:cNvSpPr/>
                      <wps:spPr>
                        <a:xfrm>
                          <a:off x="697865" y="1375410"/>
                          <a:ext cx="7632700" cy="10695940"/>
                        </a:xfrm>
                        <a:prstGeom prst="rect">
                          <a:avLst/>
                        </a:prstGeom>
                        <a:solidFill>
                          <a:schemeClr val="accent1">
                            <a:lumMod val="40000"/>
                            <a:lumOff val="6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78.2pt;margin-top:-106.6pt;height:842.2pt;width:601pt;z-index:251663360;v-text-anchor:middle;mso-width-relative:page;mso-height-relative:page;" fillcolor="#BDD7EE [1300]" filled="t" stroked="f" coordsize="21600,21600" o:gfxdata="UEsDBAoAAAAAAIdO4kAAAAAAAAAAAAAAAAAEAAAAZHJzL1BLAwQUAAAACACHTuJABpHv59wAAAAP&#10;AQAADwAAAGRycy9kb3ducmV2LnhtbE2Py07DMBBF90j8gzVI7FrbIU1QGqeildiwok0ltm5skqjx&#10;OMTu6++ZrmB3R3N050y5urqBne0Ueo8K5FwAs9h402OrYF+/z16BhajR6MGjVXCzAVbV40OpC+Mv&#10;uLXnXWwZlWAotIIuxrHgPDSddTrM/WiRdt9+cjrSOLXcTPpC5W7giRAZd7pHutDp0W462xx3J6dg&#10;jeIrG/Of7aepP9J6Lzfrt/ym1POTFEtg0V7jHwx3fVKHipwO/oQmsEHBTC6ylFhKiXxJgN0ZkS4y&#10;YAdKaS4T4FXJ//9R/QJQSwMEFAAAAAgAh07iQNMsnA11AgAAwwQAAA4AAABkcnMvZTJvRG9jLnht&#10;bK1UzW4TMRC+I/EOlu90N/9N1E0VmhYhFVqpIM6O185asj3GdrIpL4PEjYfgcRCvwdi7acvPCZGD&#10;M3/5ZuabmZydH4wme+GDAlvRwUlJibAcamW3FX3/7urFKSUhMlszDVZU9F4Eer58/uysdQsxhAZ0&#10;LTxBEBsWratoE6NbFEXgjTAsnIATFp0SvGERVb8tas9aRDe6GJbltGjB184DFyGgdd056TLjSyl4&#10;vJEyiEh0RbG2mF+f3016i+UZW2w9c43ifRnsH6owTFlM+gC1ZpGRnVd/QBnFPQSQ8YSDKUBKxUXu&#10;AbsZlL91c9cwJ3IvSE5wDzSF/wfL3+5vPVF1RUeUWGZwRD8+f/3+7QsZJW5aFxYYcudufa8FFFOj&#10;B+lN+sYWyKGi0/nsdDqh5B6XYDSbjAc9teIQCUf/bDoazkqcAE8R5XQ+mY9zSPEI5XyIrwQYkoSK&#10;ehxe5pTtr0PE9Bh6DEmZA2hVXymts+K3mwvtyZ7hoF+u17PLy/xbvTNvoO7M4xI/3cTRjHvRmadH&#10;M+KHDibn+gVfW9Ji4X0PDDdVahaxHeOQu2C3lDC9xRPg0efEFlJpeb1S0WsWmi5dhu2qMCri8mtl&#10;KnqaijgSoi0WkKjvyE7SBup7HJSHboOD41cKYa9ZiLfM48oitXiG8QYfqQFrhV6ipAH/6W/2FI+b&#10;hF5KWjwB7OPjjnlBiX5tccfmgzHOiMSsjCezISr+qWfz1GN35gKQ/AEevONZTPFRH0XpwXzAa12l&#10;rOhilmPujrFeuYjdaeK9c7Fa5TC8E8fitb1zPIGnYVtY7SJIlZfikZ2eNLyUPL/+qtMpPtVz1ON/&#10;z/In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6gQAAFtDb250ZW50X1R5cGVzXS54bWxQSwECFAAKAAAAAACHTuJAAAAAAAAAAAAAAAAABgAAAAAA&#10;AAAAABAAAADMAwAAX3JlbHMvUEsBAhQAFAAAAAgAh07iQIoUZjzRAAAAlAEAAAsAAAAAAAAAAQAg&#10;AAAA8AMAAF9yZWxzLy5yZWxzUEsBAhQACgAAAAAAh07iQAAAAAAAAAAAAAAAAAQAAAAAAAAAAAAQ&#10;AAAAAAAAAGRycy9QSwECFAAUAAAACACHTuJABpHv59wAAAAPAQAADwAAAAAAAAABACAAAAAiAAAA&#10;ZHJzL2Rvd25yZXYueG1sUEsBAhQAFAAAAAgAh07iQNMsnA11AgAAwwQAAA4AAAAAAAAAAQAgAAAA&#10;KwEAAGRycy9lMm9Eb2MueG1sUEsFBgAAAAAGAAYAWQEAABIGAAAAAA==&#10;">
                <v:fill on="t" focussize="0,0"/>
                <v:stroke on="f" weight="1pt" miterlimit="8" joinstyle="miter"/>
                <v:imagedata o:title=""/>
                <o:lock v:ext="edit" aspectratio="f"/>
              </v:rect>
            </w:pict>
          </mc:Fallback>
        </mc:AlternateContent>
      </w:r>
    </w:p>
    <w:sectPr>
      <w:pgSz w:w="11906" w:h="16838"/>
      <w:pgMar w:top="2098" w:right="1531" w:bottom="1984" w:left="1531"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楷体_GB2312">
    <w:panose1 w:val="02010609030101010101"/>
    <w:charset w:val="86"/>
    <w:family w:val="modern"/>
    <w:pitch w:val="default"/>
    <w:sig w:usb0="00000001" w:usb1="080E0000" w:usb2="0000000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Arial Black">
    <w:panose1 w:val="020B0A04020102020204"/>
    <w:charset w:val="00"/>
    <w:family w:val="swiss"/>
    <w:pitch w:val="default"/>
    <w:sig w:usb0="00000287" w:usb1="00000000" w:usb2="00000000" w:usb3="00000000" w:csb0="2000009F" w:csb1="DFD70000"/>
  </w:font>
  <w:font w:name="Cambria">
    <w:panose1 w:val="02040503050406030204"/>
    <w:charset w:val="00"/>
    <w:family w:val="roman"/>
    <w:pitch w:val="default"/>
    <w:sig w:usb0="E00002FF" w:usb1="400004FF" w:usb2="00000000" w:usb3="00000000" w:csb0="2000019F" w:csb1="00000000"/>
  </w:font>
  <w:font w:name="仿宋">
    <w:panose1 w:val="02010609060101010101"/>
    <w:charset w:val="86"/>
    <w:family w:val="auto"/>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 w:name="DengXian-Regular">
    <w:altName w:val="宋体"/>
    <w:panose1 w:val="00000000000000000000"/>
    <w:charset w:val="86"/>
    <w:family w:val="auto"/>
    <w:pitch w:val="default"/>
    <w:sig w:usb0="00000000" w:usb1="00000000" w:usb2="00000010" w:usb3="00000000" w:csb0="00040001"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val="1"/>
  <w:embedSystemFonts/>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c0OTY0YTYzOGQ1ZjQzMGI1NDFlNDcyZjQ1YmFlOTQifQ=="/>
  </w:docVars>
  <w:rsids>
    <w:rsidRoot w:val="34C45458"/>
    <w:rsid w:val="00061A05"/>
    <w:rsid w:val="00061B93"/>
    <w:rsid w:val="00147453"/>
    <w:rsid w:val="0018668E"/>
    <w:rsid w:val="001B73D2"/>
    <w:rsid w:val="001E62BF"/>
    <w:rsid w:val="0027064E"/>
    <w:rsid w:val="00293E7B"/>
    <w:rsid w:val="002D1F4F"/>
    <w:rsid w:val="002E167A"/>
    <w:rsid w:val="002F1DA9"/>
    <w:rsid w:val="00310EBF"/>
    <w:rsid w:val="00366D90"/>
    <w:rsid w:val="003D2226"/>
    <w:rsid w:val="003D678E"/>
    <w:rsid w:val="00461FAF"/>
    <w:rsid w:val="004D1EA2"/>
    <w:rsid w:val="005E0E86"/>
    <w:rsid w:val="006C01AE"/>
    <w:rsid w:val="007620A2"/>
    <w:rsid w:val="00791C72"/>
    <w:rsid w:val="007920FC"/>
    <w:rsid w:val="007B4876"/>
    <w:rsid w:val="00801F66"/>
    <w:rsid w:val="00812C39"/>
    <w:rsid w:val="009334BF"/>
    <w:rsid w:val="00995AAE"/>
    <w:rsid w:val="009D1193"/>
    <w:rsid w:val="00A61E3E"/>
    <w:rsid w:val="00B0223F"/>
    <w:rsid w:val="00BA1219"/>
    <w:rsid w:val="00BB2584"/>
    <w:rsid w:val="00BE2400"/>
    <w:rsid w:val="00E54963"/>
    <w:rsid w:val="00EB3F98"/>
    <w:rsid w:val="00F217C2"/>
    <w:rsid w:val="00FD5E00"/>
    <w:rsid w:val="060754A9"/>
    <w:rsid w:val="095D29D7"/>
    <w:rsid w:val="0D0A066D"/>
    <w:rsid w:val="0EA325C9"/>
    <w:rsid w:val="0EE17C1A"/>
    <w:rsid w:val="14852D51"/>
    <w:rsid w:val="17126A03"/>
    <w:rsid w:val="181800A9"/>
    <w:rsid w:val="1A0F1C2C"/>
    <w:rsid w:val="1E043AD6"/>
    <w:rsid w:val="221831A6"/>
    <w:rsid w:val="22D65977"/>
    <w:rsid w:val="22E46C89"/>
    <w:rsid w:val="2D6F33AD"/>
    <w:rsid w:val="2E9F6B86"/>
    <w:rsid w:val="302F44EE"/>
    <w:rsid w:val="34C45458"/>
    <w:rsid w:val="35C83C42"/>
    <w:rsid w:val="37445DC3"/>
    <w:rsid w:val="3C00346C"/>
    <w:rsid w:val="3F0D6EA3"/>
    <w:rsid w:val="44A14D2D"/>
    <w:rsid w:val="4D2C481C"/>
    <w:rsid w:val="4DA26225"/>
    <w:rsid w:val="4FCA2D94"/>
    <w:rsid w:val="51931929"/>
    <w:rsid w:val="525E4BBF"/>
    <w:rsid w:val="53045072"/>
    <w:rsid w:val="57B133F5"/>
    <w:rsid w:val="58095C2E"/>
    <w:rsid w:val="58BD0AD1"/>
    <w:rsid w:val="5BA85457"/>
    <w:rsid w:val="60154311"/>
    <w:rsid w:val="62AC5A1F"/>
    <w:rsid w:val="62DC273C"/>
    <w:rsid w:val="68242B3E"/>
    <w:rsid w:val="695B26FD"/>
    <w:rsid w:val="6A216E43"/>
    <w:rsid w:val="6AF77BA8"/>
    <w:rsid w:val="6D416C2C"/>
    <w:rsid w:val="73D824BD"/>
    <w:rsid w:val="764B3663"/>
    <w:rsid w:val="7BF77BAB"/>
    <w:rsid w:val="7D6E01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1"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bCs/>
      <w:kern w:val="44"/>
      <w:sz w:val="44"/>
      <w:szCs w:val="44"/>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Balloon Text"/>
    <w:basedOn w:val="1"/>
    <w:link w:val="10"/>
    <w:qFormat/>
    <w:uiPriority w:val="0"/>
    <w:rPr>
      <w:sz w:val="18"/>
      <w:szCs w:val="18"/>
    </w:rPr>
  </w:style>
  <w:style w:type="paragraph" w:styleId="4">
    <w:name w:val="footer"/>
    <w:basedOn w:val="1"/>
    <w:unhideWhenUsed/>
    <w:qFormat/>
    <w:uiPriority w:val="99"/>
    <w:pPr>
      <w:tabs>
        <w:tab w:val="center" w:pos="4153"/>
        <w:tab w:val="right" w:pos="8306"/>
      </w:tabs>
      <w:snapToGrid w:val="0"/>
      <w:jc w:val="left"/>
    </w:pPr>
    <w:rPr>
      <w:sz w:val="18"/>
      <w:szCs w:val="18"/>
    </w:rPr>
  </w:style>
  <w:style w:type="paragraph" w:styleId="5">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table" w:styleId="7">
    <w:name w:val="Table Grid"/>
    <w:qFormat/>
    <w:uiPriority w:val="1"/>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styleId="9">
    <w:name w:val="List Paragraph"/>
    <w:basedOn w:val="1"/>
    <w:unhideWhenUsed/>
    <w:qFormat/>
    <w:uiPriority w:val="99"/>
    <w:pPr>
      <w:ind w:firstLine="420" w:firstLineChars="200"/>
    </w:pPr>
  </w:style>
  <w:style w:type="character" w:customStyle="1" w:styleId="10">
    <w:name w:val="批注框文本 Char"/>
    <w:basedOn w:val="8"/>
    <w:link w:val="3"/>
    <w:qFormat/>
    <w:uiPriority w:val="0"/>
    <w:rPr>
      <w:rFonts w:asciiTheme="minorHAnsi" w:hAnsiTheme="minorHAnsi" w:eastAsiaTheme="minorEastAsia" w:cstheme="minorBidi"/>
      <w:kern w:val="2"/>
      <w:sz w:val="18"/>
      <w:szCs w:val="18"/>
    </w:rPr>
  </w:style>
  <w:style w:type="character" w:customStyle="1" w:styleId="11">
    <w:name w:val="font41"/>
    <w:basedOn w:val="8"/>
    <w:qFormat/>
    <w:uiPriority w:val="0"/>
    <w:rPr>
      <w:rFonts w:hint="eastAsia" w:ascii="宋体" w:hAnsi="宋体" w:eastAsia="宋体" w:cs="宋体"/>
      <w:color w:val="000000"/>
      <w:sz w:val="16"/>
      <w:szCs w:val="16"/>
      <w:u w:val="none"/>
    </w:rPr>
  </w:style>
  <w:style w:type="character" w:customStyle="1" w:styleId="12">
    <w:name w:val="font61"/>
    <w:basedOn w:val="8"/>
    <w:qFormat/>
    <w:uiPriority w:val="0"/>
    <w:rPr>
      <w:rFonts w:ascii="Calibri" w:hAnsi="Calibri" w:cs="Calibri"/>
      <w:color w:val="000000"/>
      <w:sz w:val="16"/>
      <w:szCs w:val="16"/>
      <w:u w:val="none"/>
    </w:rPr>
  </w:style>
  <w:style w:type="character" w:customStyle="1" w:styleId="13">
    <w:name w:val="font81"/>
    <w:basedOn w:val="8"/>
    <w:qFormat/>
    <w:uiPriority w:val="0"/>
    <w:rPr>
      <w:rFonts w:hint="eastAsia" w:ascii="宋体" w:hAnsi="宋体" w:eastAsia="宋体" w:cs="宋体"/>
      <w:color w:val="000000"/>
      <w:sz w:val="16"/>
      <w:szCs w:val="16"/>
      <w:u w:val="none"/>
    </w:rPr>
  </w:style>
</w:styles>
</file>

<file path=word/_rels/document.xml.rels><?xml version="1.0" encoding="UTF-8" standalone="yes"?>
<Relationships xmlns="http://schemas.openxmlformats.org/package/2006/relationships"><Relationship Id="rId9" Type="http://schemas.openxmlformats.org/officeDocument/2006/relationships/footer" Target="footer3.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4" Type="http://schemas.openxmlformats.org/officeDocument/2006/relationships/fontTable" Target="fontTable.xml"/><Relationship Id="rId23" Type="http://schemas.openxmlformats.org/officeDocument/2006/relationships/numbering" Target="numbering.xml"/><Relationship Id="rId22" Type="http://schemas.openxmlformats.org/officeDocument/2006/relationships/customXml" Target="../customXml/item1.xml"/><Relationship Id="rId21" Type="http://schemas.openxmlformats.org/officeDocument/2006/relationships/image" Target="media/image8.png"/><Relationship Id="rId20" Type="http://schemas.openxmlformats.org/officeDocument/2006/relationships/image" Target="media/image7.pn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png"/><Relationship Id="rId15" Type="http://schemas.openxmlformats.org/officeDocument/2006/relationships/image" Target="media/image2.bmp"/><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header" Target="header6.xml"/><Relationship Id="rId11" Type="http://schemas.openxmlformats.org/officeDocument/2006/relationships/header" Target="header5.xml"/><Relationship Id="rId10" Type="http://schemas.openxmlformats.org/officeDocument/2006/relationships/footer" Target="footer4.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31</Pages>
  <Words>8133</Words>
  <Characters>9857</Characters>
  <Lines>83</Lines>
  <Paragraphs>23</Paragraphs>
  <TotalTime>23</TotalTime>
  <ScaleCrop>false</ScaleCrop>
  <LinksUpToDate>false</LinksUpToDate>
  <CharactersWithSpaces>10066</CharactersWithSpaces>
  <Application>WPS Office_11.8.2.9022_F1E327BC-269C-435d-A152-05C5408002CA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cp:lastPrinted>2021-08-26T06:52:00Z</cp:lastPrinted>
  <dcterms:modified xsi:type="dcterms:W3CDTF">2023-06-26T01:50:44Z</dcterms:modified>
  <cp:revision>18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2052-11.8.2.9022</vt:lpwstr>
  </property>
  <property fmtid="{D5CDD505-2E9C-101B-9397-08002B2CF9AE}" pid="3" name="ICV">
    <vt:lpwstr>65FA352BAB5146309CB066C800874C19</vt:lpwstr>
  </property>
</Properties>
</file>