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5"/>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pPr>
      <w:r>
        <w:rPr>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t>鹿泉区委党校</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fill on="f" focussize="0,0"/>
                <v:stroke on="f" weight="0.5pt"/>
                <v:imagedata o:title=""/>
                <o:lock v:ext="edit" aspectratio="f"/>
                <v:textbox>
                  <w:txbxContent>
                    <w:p>
                      <w:pPr>
                        <w:widowControl/>
                        <w:spacing w:line="1200" w:lineRule="exact"/>
                        <w:jc w:val="cente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t>鹿泉区委党校</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hint="eastAsia" w:ascii="楷体_GB2312" w:hAnsi="楷体" w:eastAsia="楷体_GB2312" w:cs="楷体"/>
          <w:b/>
          <w:sz w:val="40"/>
          <w:szCs w:val="40"/>
        </w:rPr>
        <w:sectPr>
          <w:headerReference r:id="rId3" w:type="default"/>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w:t>
      </w:r>
      <w:r>
        <w:rPr>
          <w:rFonts w:hint="eastAsia" w:ascii="楷体_GB2312" w:hAnsi="楷体" w:eastAsia="楷体_GB2312" w:cs="楷体"/>
          <w:b/>
          <w:sz w:val="40"/>
          <w:szCs w:val="40"/>
          <w:lang w:eastAsia="zh-CN"/>
        </w:rPr>
        <w:t>二十四</w:t>
      </w:r>
      <w:r>
        <w:rPr>
          <w:rFonts w:hint="eastAsia" w:ascii="楷体_GB2312" w:hAnsi="楷体" w:eastAsia="楷体_GB2312" w:cs="楷体"/>
          <w:b/>
          <w:sz w:val="40"/>
          <w:szCs w:val="40"/>
        </w:rPr>
        <w:t>日</w:t>
      </w:r>
    </w:p>
    <w:p>
      <w:pPr>
        <w:spacing w:before="624" w:beforeLines="200" w:after="0" w:line="1000" w:lineRule="exact"/>
        <w:jc w:val="center"/>
        <w:rPr>
          <w:rFonts w:ascii="黑体" w:eastAsia="黑体"/>
          <w:sz w:val="48"/>
          <w:szCs w:val="48"/>
        </w:rPr>
      </w:pPr>
      <w:r>
        <w:rPr>
          <w:sz w:val="48"/>
          <w:szCs w:val="28"/>
        </w:rPr>
        <mc:AlternateContent>
          <mc:Choice Requires="wpg">
            <w:drawing>
              <wp:anchor distT="0" distB="0" distL="114300" distR="114300" simplePos="0" relativeHeight="251673600"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179" name="组合 179"/>
                <wp:cNvGraphicFramePr/>
                <a:graphic xmlns:a="http://schemas.openxmlformats.org/drawingml/2006/main">
                  <a:graphicData uri="http://schemas.microsoft.com/office/word/2010/wordprocessingGroup">
                    <wpg:wgp>
                      <wpg:cNvGrpSpPr/>
                      <wpg:grpSpPr>
                        <a:xfrm>
                          <a:off x="0" y="0"/>
                          <a:ext cx="3175635" cy="593090"/>
                          <a:chOff x="4551" y="52615"/>
                          <a:chExt cx="8546" cy="1398"/>
                        </a:xfrm>
                      </wpg:grpSpPr>
                      <wps:wsp>
                        <wps:cNvPr id="1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95pt;height:46.7pt;width:250.05pt;mso-position-vertical-relative:page;z-index:251673600;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v:textbox>
                </v:rect>
                <w10:anchorlock/>
              </v:group>
            </w:pict>
          </mc:Fallback>
        </mc:AlternateConten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党校</w:t>
      </w:r>
      <w:r>
        <w:rPr>
          <w:rFonts w:eastAsia="黑体"/>
          <w:sz w:val="32"/>
          <w:szCs w:val="32"/>
        </w:rPr>
        <w:t>部门201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72576"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176" name="组合 176"/>
                <wp:cNvGraphicFramePr/>
                <a:graphic xmlns:a="http://schemas.openxmlformats.org/drawingml/2006/main">
                  <a:graphicData uri="http://schemas.microsoft.com/office/word/2010/wordprocessingGroup">
                    <wpg:wgp>
                      <wpg:cNvGrpSpPr/>
                      <wpg:grpSpPr>
                        <a:xfrm>
                          <a:off x="0" y="0"/>
                          <a:ext cx="2829560" cy="593090"/>
                          <a:chOff x="4551" y="52615"/>
                          <a:chExt cx="8546" cy="1398"/>
                        </a:xfrm>
                      </wpg:grpSpPr>
                      <wps:wsp>
                        <wps:cNvPr id="17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8.95pt;height:46.7pt;width:222.8pt;mso-position-vertical-relative:page;z-index:251672576;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pPr>
                          <w:jc w:val="center"/>
                        </w:pPr>
                      </w:p>
                    </w:txbxContent>
                  </v:textbox>
                </v:rect>
                <w10:anchorlock/>
              </v:group>
            </w:pict>
          </mc:Fallback>
        </mc:AlternateConten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6"/>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70528"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70528;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fill on="f" focussize="0,0"/>
                <v:stroke on="f" weight="0.5pt"/>
                <v:imagedata o:title=""/>
                <o:lock v:ext="edit" aspectratio="f"/>
                <v:textbo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v:textbox>
              </v:shape>
            </w:pict>
          </mc:Fallback>
        </mc:AlternateConten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62336"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5" name="组合 15"/>
                <wp:cNvGraphicFramePr/>
                <a:graphic xmlns:a="http://schemas.openxmlformats.org/drawingml/2006/main">
                  <a:graphicData uri="http://schemas.microsoft.com/office/word/2010/wordprocessingGroup">
                    <wpg:wgp>
                      <wpg:cNvGrpSpPr/>
                      <wpg:grpSpPr>
                        <a:xfrm>
                          <a:off x="0" y="0"/>
                          <a:ext cx="3114675" cy="592957"/>
                          <a:chOff x="4551" y="52615"/>
                          <a:chExt cx="8546" cy="1398"/>
                        </a:xfrm>
                      </wpg:grpSpPr>
                      <wps:wsp>
                        <wps:cNvPr id="1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5pt;height:46.7pt;width:245.25pt;mso-position-vertical-relative:page;z-index:251662336;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aspectratio="f"/>
                <v:rect id="_x0000_s1026" o:spid="_x0000_s1026" o:spt="1" style="position:absolute;left:4551;top:52615;height:1175;width:8546;v-text-anchor:middle;" fillcolor="#D9D9D9 [2732]"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_x0000_s1026" o:spid="_x0000_s1026"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v:textbox>
                </v:rect>
                <w10:anchorlock/>
              </v:group>
            </w:pict>
          </mc:Fallback>
        </mc:AlternateContent>
      </w:r>
      <w:r>
        <w:rPr>
          <w:rFonts w:hint="eastAsia" w:ascii="黑体" w:eastAsia="黑体" w:cs="黑体" w:hAnsiTheme="minorHAnsi"/>
          <w:b w:val="0"/>
          <w:bCs w:val="0"/>
          <w:kern w:val="0"/>
          <w:sz w:val="32"/>
          <w:szCs w:val="32"/>
        </w:rPr>
        <w:t>一、部门职责</w:t>
      </w:r>
    </w:p>
    <w:p>
      <w:pPr>
        <w:keepNext w:val="0"/>
        <w:keepLines w:val="0"/>
        <w:pageBreakBefore w:val="0"/>
        <w:widowControl/>
        <w:kinsoku/>
        <w:wordWrap/>
        <w:overflowPunct/>
        <w:topLinePunct w:val="0"/>
        <w:autoSpaceDE/>
        <w:autoSpaceDN/>
        <w:bidi w:val="0"/>
        <w:adjustRightInd/>
        <w:snapToGrid/>
        <w:spacing w:beforeAutospacing="0" w:after="0" w:afterAutospacing="0" w:line="560" w:lineRule="exact"/>
        <w:ind w:left="0" w:leftChars="0" w:right="0" w:rightChars="0" w:firstLine="640" w:firstLineChars="200"/>
        <w:jc w:val="left"/>
        <w:textAlignment w:val="auto"/>
        <w:outlineLvl w:val="9"/>
        <w:rPr>
          <w:rFonts w:hint="eastAsia" w:ascii="仿宋" w:hAnsi="仿宋" w:eastAsia="仿宋" w:cs="仿宋"/>
          <w:kern w:val="0"/>
          <w:sz w:val="32"/>
          <w:szCs w:val="32"/>
        </w:rPr>
      </w:pPr>
      <w:r>
        <w:rPr>
          <w:rFonts w:hint="eastAsia" w:ascii="仿宋" w:hAnsi="仿宋" w:eastAsia="仿宋" w:cs="仿宋"/>
          <w:kern w:val="0"/>
          <w:sz w:val="32"/>
          <w:szCs w:val="32"/>
          <w:lang w:val="en-US" w:eastAsia="zh-CN"/>
        </w:rPr>
        <w:t>1、</w:t>
      </w:r>
      <w:r>
        <w:rPr>
          <w:rFonts w:hint="eastAsia" w:ascii="仿宋" w:hAnsi="仿宋" w:eastAsia="仿宋" w:cs="仿宋"/>
          <w:kern w:val="0"/>
          <w:sz w:val="32"/>
          <w:szCs w:val="32"/>
        </w:rPr>
        <w:t>根据党中央、省市和区委关于建设高素质干部队伍的要求，有计划地培训、轮训党员领导干部和宣传骨干；</w:t>
      </w:r>
    </w:p>
    <w:p>
      <w:pPr>
        <w:keepNext w:val="0"/>
        <w:keepLines w:val="0"/>
        <w:pageBreakBefore w:val="0"/>
        <w:widowControl/>
        <w:kinsoku/>
        <w:wordWrap/>
        <w:overflowPunct/>
        <w:topLinePunct w:val="0"/>
        <w:autoSpaceDE/>
        <w:autoSpaceDN/>
        <w:bidi w:val="0"/>
        <w:adjustRightInd/>
        <w:snapToGrid/>
        <w:spacing w:beforeAutospacing="0" w:after="0" w:afterAutospacing="0" w:line="560" w:lineRule="exact"/>
        <w:ind w:left="0" w:leftChars="0" w:right="0" w:rightChars="0" w:firstLine="640" w:firstLineChars="200"/>
        <w:jc w:val="left"/>
        <w:textAlignment w:val="auto"/>
        <w:outlineLvl w:val="9"/>
        <w:rPr>
          <w:rFonts w:hint="eastAsia" w:ascii="仿宋" w:hAnsi="仿宋" w:eastAsia="仿宋" w:cs="仿宋"/>
          <w:kern w:val="0"/>
          <w:sz w:val="32"/>
          <w:szCs w:val="32"/>
        </w:rPr>
      </w:pPr>
      <w:r>
        <w:rPr>
          <w:rFonts w:hint="eastAsia" w:ascii="仿宋" w:hAnsi="仿宋" w:eastAsia="仿宋" w:cs="仿宋"/>
          <w:kern w:val="0"/>
          <w:sz w:val="32"/>
          <w:szCs w:val="32"/>
          <w:lang w:val="en-US" w:eastAsia="zh-CN"/>
        </w:rPr>
        <w:t>2、</w:t>
      </w:r>
      <w:r>
        <w:rPr>
          <w:rFonts w:hint="eastAsia" w:ascii="仿宋" w:hAnsi="仿宋" w:eastAsia="仿宋" w:cs="仿宋"/>
          <w:kern w:val="0"/>
          <w:sz w:val="32"/>
          <w:szCs w:val="32"/>
        </w:rPr>
        <w:t>结合全区经济社会发展实际，以研讨中央重大理论和方针、政策问题为目的，举办各种专题研讨班；</w:t>
      </w:r>
    </w:p>
    <w:p>
      <w:pPr>
        <w:keepNext w:val="0"/>
        <w:keepLines w:val="0"/>
        <w:pageBreakBefore w:val="0"/>
        <w:widowControl/>
        <w:kinsoku/>
        <w:wordWrap/>
        <w:overflowPunct/>
        <w:topLinePunct w:val="0"/>
        <w:autoSpaceDE/>
        <w:autoSpaceDN/>
        <w:bidi w:val="0"/>
        <w:adjustRightInd/>
        <w:snapToGrid/>
        <w:spacing w:beforeAutospacing="0" w:after="0" w:afterAutospacing="0" w:line="560" w:lineRule="exact"/>
        <w:ind w:left="0" w:leftChars="0" w:right="0" w:rightChars="0" w:firstLine="640" w:firstLineChars="200"/>
        <w:jc w:val="left"/>
        <w:textAlignment w:val="auto"/>
        <w:outlineLvl w:val="9"/>
        <w:rPr>
          <w:rFonts w:hint="eastAsia" w:ascii="仿宋" w:hAnsi="仿宋" w:eastAsia="仿宋" w:cs="仿宋"/>
          <w:kern w:val="0"/>
          <w:sz w:val="32"/>
          <w:szCs w:val="32"/>
        </w:rPr>
      </w:pPr>
      <w:r>
        <w:rPr>
          <w:rFonts w:hint="eastAsia" w:ascii="仿宋" w:hAnsi="仿宋" w:eastAsia="仿宋" w:cs="仿宋"/>
          <w:kern w:val="0"/>
          <w:sz w:val="32"/>
          <w:szCs w:val="32"/>
          <w:lang w:val="en-US" w:eastAsia="zh-CN"/>
        </w:rPr>
        <w:t>3、</w:t>
      </w:r>
      <w:r>
        <w:rPr>
          <w:rFonts w:hint="eastAsia" w:ascii="仿宋" w:hAnsi="仿宋" w:eastAsia="仿宋" w:cs="仿宋"/>
          <w:kern w:val="0"/>
          <w:sz w:val="32"/>
          <w:szCs w:val="32"/>
        </w:rPr>
        <w:t>利用教学资源进行干部短期培训；</w:t>
      </w:r>
    </w:p>
    <w:p>
      <w:pPr>
        <w:keepNext w:val="0"/>
        <w:keepLines w:val="0"/>
        <w:pageBreakBefore w:val="0"/>
        <w:widowControl/>
        <w:kinsoku/>
        <w:wordWrap/>
        <w:overflowPunct/>
        <w:topLinePunct w:val="0"/>
        <w:autoSpaceDE/>
        <w:autoSpaceDN/>
        <w:bidi w:val="0"/>
        <w:adjustRightInd/>
        <w:snapToGrid/>
        <w:spacing w:beforeAutospacing="0" w:after="0" w:afterAutospacing="0" w:line="560" w:lineRule="exact"/>
        <w:ind w:left="0" w:leftChars="0" w:right="0" w:rightChars="0" w:firstLine="640" w:firstLineChars="200"/>
        <w:jc w:val="left"/>
        <w:textAlignment w:val="auto"/>
        <w:outlineLvl w:val="9"/>
        <w:rPr>
          <w:rFonts w:hint="eastAsia" w:ascii="仿宋" w:hAnsi="仿宋" w:eastAsia="仿宋" w:cs="仿宋"/>
          <w:kern w:val="0"/>
          <w:sz w:val="32"/>
          <w:szCs w:val="32"/>
        </w:rPr>
      </w:pPr>
      <w:r>
        <w:rPr>
          <w:rFonts w:hint="eastAsia" w:ascii="仿宋" w:hAnsi="仿宋" w:eastAsia="仿宋" w:cs="仿宋"/>
          <w:kern w:val="0"/>
          <w:sz w:val="32"/>
          <w:szCs w:val="32"/>
          <w:lang w:val="en-US" w:eastAsia="zh-CN"/>
        </w:rPr>
        <w:t>4、</w:t>
      </w:r>
      <w:r>
        <w:rPr>
          <w:rFonts w:hint="eastAsia" w:ascii="仿宋" w:hAnsi="仿宋" w:eastAsia="仿宋" w:cs="仿宋"/>
          <w:kern w:val="0"/>
          <w:sz w:val="32"/>
          <w:szCs w:val="32"/>
        </w:rPr>
        <w:t>开展对全区重大现实问题及战略问题的研究，为推进党的理论创新服务，为区委、区政府及有关部门决策咨询服务；</w:t>
      </w:r>
    </w:p>
    <w:p>
      <w:pPr>
        <w:keepNext w:val="0"/>
        <w:keepLines w:val="0"/>
        <w:pageBreakBefore w:val="0"/>
        <w:widowControl/>
        <w:kinsoku/>
        <w:wordWrap/>
        <w:overflowPunct/>
        <w:topLinePunct w:val="0"/>
        <w:autoSpaceDE/>
        <w:autoSpaceDN/>
        <w:bidi w:val="0"/>
        <w:adjustRightInd/>
        <w:snapToGrid/>
        <w:spacing w:beforeAutospacing="0" w:after="0" w:afterAutospacing="0" w:line="560" w:lineRule="exact"/>
        <w:ind w:left="0" w:leftChars="0" w:right="0" w:rightChars="0" w:firstLine="640" w:firstLineChars="200"/>
        <w:jc w:val="left"/>
        <w:textAlignment w:val="auto"/>
        <w:outlineLvl w:val="9"/>
        <w:rPr>
          <w:rFonts w:hint="eastAsia" w:ascii="仿宋" w:hAnsi="仿宋" w:eastAsia="仿宋" w:cs="仿宋"/>
          <w:color w:val="3D3D3D"/>
          <w:kern w:val="0"/>
          <w:sz w:val="32"/>
          <w:szCs w:val="32"/>
        </w:rPr>
      </w:pPr>
      <w:r>
        <w:rPr>
          <w:rFonts w:hint="eastAsia" w:ascii="仿宋" w:hAnsi="仿宋" w:eastAsia="仿宋" w:cs="仿宋"/>
          <w:kern w:val="0"/>
          <w:sz w:val="32"/>
          <w:szCs w:val="32"/>
          <w:lang w:val="en-US" w:eastAsia="zh-CN"/>
        </w:rPr>
        <w:t>5、</w:t>
      </w:r>
      <w:r>
        <w:rPr>
          <w:rFonts w:hint="eastAsia" w:ascii="仿宋" w:hAnsi="仿宋" w:eastAsia="仿宋" w:cs="仿宋"/>
          <w:kern w:val="0"/>
          <w:sz w:val="32"/>
          <w:szCs w:val="32"/>
        </w:rPr>
        <w:t>承办区委、区政府交办的其</w:t>
      </w:r>
      <w:r>
        <w:rPr>
          <w:rFonts w:hint="eastAsia" w:ascii="仿宋" w:hAnsi="仿宋" w:eastAsia="仿宋" w:cs="仿宋"/>
          <w:kern w:val="0"/>
          <w:sz w:val="32"/>
          <w:szCs w:val="32"/>
          <w:lang w:eastAsia="zh-CN"/>
        </w:rPr>
        <w:t>它</w:t>
      </w:r>
      <w:r>
        <w:rPr>
          <w:rFonts w:hint="eastAsia" w:ascii="仿宋" w:hAnsi="仿宋" w:eastAsia="仿宋" w:cs="仿宋"/>
          <w:kern w:val="0"/>
          <w:sz w:val="32"/>
          <w:szCs w:val="32"/>
        </w:rPr>
        <w:t>事项。</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w:t>
      </w:r>
      <w:r>
        <w:rPr>
          <w:rFonts w:hint="eastAsia" w:ascii="仿宋_GB2312" w:eastAsia="仿宋_GB2312" w:cs="ArialUnicodeMS" w:hAnsiTheme="minorHAnsi"/>
          <w:kern w:val="0"/>
          <w:sz w:val="32"/>
          <w:szCs w:val="32"/>
          <w:lang w:val="en-US" w:eastAsia="zh-CN"/>
        </w:rPr>
        <w:t>1</w:t>
      </w:r>
      <w:r>
        <w:rPr>
          <w:rFonts w:hint="eastAsia" w:ascii="仿宋_GB2312" w:eastAsia="仿宋_GB2312" w:cs="ArialUnicodeMS" w:hAnsiTheme="minorHAnsi"/>
          <w:kern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hint="eastAsia" w:ascii="仿宋_GB2312" w:eastAsia="仿宋_GB2312" w:cs="ArialUnicodeMS" w:hAnsiTheme="minorHAnsi"/>
                <w:kern w:val="0"/>
                <w:sz w:val="28"/>
                <w:szCs w:val="28"/>
                <w:lang w:eastAsia="zh-CN"/>
              </w:rPr>
            </w:pPr>
            <w:r>
              <w:rPr>
                <w:rFonts w:hint="eastAsia" w:ascii="仿宋" w:hAnsi="仿宋" w:eastAsia="仿宋" w:cs="仿宋"/>
                <w:kern w:val="0"/>
                <w:sz w:val="24"/>
                <w:szCs w:val="24"/>
                <w:lang w:eastAsia="zh-CN"/>
              </w:rPr>
              <w:t>中国共产党石家庄市鹿泉区委员会党校</w:t>
            </w:r>
          </w:p>
        </w:tc>
        <w:tc>
          <w:tcPr>
            <w:tcW w:w="2445" w:type="dxa"/>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4"/>
                <w:szCs w:val="24"/>
                <w:lang w:eastAsia="zh-CN"/>
              </w:rPr>
              <w:t>财政补助事业单位</w:t>
            </w:r>
          </w:p>
        </w:tc>
        <w:tc>
          <w:tcPr>
            <w:tcW w:w="2665" w:type="dxa"/>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4"/>
                <w:szCs w:val="24"/>
                <w:lang w:eastAsia="zh-CN"/>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6"/>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3360"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v:textbox>
              </v:shape>
            </w:pict>
          </mc:Fallback>
        </mc:AlternateConten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sz w:val="44"/>
              </w:rPr>
              <mc:AlternateContent>
                <mc:Choice Requires="wpg">
                  <w:drawing>
                    <wp:anchor distT="0" distB="0" distL="114300" distR="114300" simplePos="0" relativeHeight="251674624" behindDoc="0" locked="1" layoutInCell="1" allowOverlap="1">
                      <wp:simplePos x="0" y="0"/>
                      <wp:positionH relativeFrom="column">
                        <wp:posOffset>-892175</wp:posOffset>
                      </wp:positionH>
                      <wp:positionV relativeFrom="page">
                        <wp:posOffset>-1039495</wp:posOffset>
                      </wp:positionV>
                      <wp:extent cx="3088640" cy="523240"/>
                      <wp:effectExtent l="3175" t="0" r="13335" b="29210"/>
                      <wp:wrapNone/>
                      <wp:docPr id="10" name="组合 10"/>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1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70.25pt;margin-top:-81.85pt;height:41.2pt;width:243.2pt;mso-position-vertical-relative:page;z-index:251674624;mso-width-relative:page;mso-height-relative:page;" coordorigin="4551,52615" coordsize="8546,1398"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OCvFSPcAAAADQEAAA8AAAAAAAAAAQAgAAAA&#10;IgAAAGRycy9kb3ducmV2LnhtbFBLAQIUABQAAAAIAIdO4kAubploJAMAAO4IAAAOAAAAAAAAAAEA&#10;IAAAACsBAABkcnMvZTJvRG9jLnhtbFBLBQYAAAAABgAGAFkBAADB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eastAsia="zh-CN" w:bidi="ar"/>
              </w:rPr>
              <w:t>中国共产党石家庄市鹿泉区委员会党校</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350.96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3.93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281.63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22.06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15.75</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15.68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350.96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339.06</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0.26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12.17</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351.22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351.22</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收入决</w:t>
            </w:r>
            <w:r>
              <w:rPr>
                <w:sz w:val="44"/>
              </w:rPr>
              <mc:AlternateContent>
                <mc:Choice Requires="wpg">
                  <w:drawing>
                    <wp:anchor distT="0" distB="0" distL="114300" distR="114300" simplePos="0" relativeHeight="251675648"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34" name="组合 34"/>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2.75pt;margin-top:-81.1pt;height:41.2pt;width:243.2pt;mso-position-vertical-relative:page;z-index:251675648;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w:t>
            </w:r>
            <w:r>
              <w:rPr>
                <w:rFonts w:hint="eastAsia" w:ascii="宋体" w:hAnsi="宋体" w:cs="宋体"/>
                <w:color w:val="000000"/>
                <w:kern w:val="0"/>
                <w:sz w:val="20"/>
                <w:szCs w:val="20"/>
                <w:lang w:eastAsia="zh-CN" w:bidi="ar"/>
              </w:rPr>
              <w:t>中国共产党石家庄市鹿泉区委员会党校</w:t>
            </w: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功能分类科目编码</w:t>
            </w:r>
          </w:p>
        </w:tc>
        <w:tc>
          <w:tcPr>
            <w:tcW w:w="1318"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92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 w:val="18"/>
                <w:szCs w:val="18"/>
                <w:lang w:val="en-US" w:eastAsia="zh-CN"/>
              </w:rPr>
            </w:pPr>
            <w:r>
              <w:rPr>
                <w:rFonts w:hint="eastAsia" w:ascii="宋体" w:hAnsi="宋体" w:cs="宋体"/>
                <w:b/>
                <w:color w:val="000000"/>
                <w:sz w:val="18"/>
                <w:szCs w:val="18"/>
                <w:lang w:val="en-US" w:eastAsia="zh-CN"/>
              </w:rPr>
              <w:t>350.96</w:t>
            </w: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 w:val="18"/>
                <w:szCs w:val="18"/>
                <w:lang w:val="en-US" w:eastAsia="zh-CN"/>
              </w:rPr>
            </w:pPr>
            <w:r>
              <w:rPr>
                <w:rFonts w:hint="eastAsia" w:ascii="宋体" w:hAnsi="宋体" w:cs="宋体"/>
                <w:b/>
                <w:color w:val="000000"/>
                <w:sz w:val="18"/>
                <w:szCs w:val="18"/>
                <w:lang w:val="en-US" w:eastAsia="zh-CN"/>
              </w:rPr>
              <w:t>350.96</w:t>
            </w: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一般公共服务支出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3.93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3.93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5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20131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20"/>
                <w:szCs w:val="20"/>
                <w:lang w:val="en-US" w:eastAsia="zh-CN"/>
              </w:rPr>
            </w:pPr>
            <w:r>
              <w:rPr>
                <w:rFonts w:hint="eastAsia" w:ascii="宋体" w:hAnsi="宋体" w:cs="宋体"/>
                <w:color w:val="000000"/>
                <w:sz w:val="18"/>
                <w:szCs w:val="18"/>
                <w:lang w:eastAsia="zh-CN"/>
              </w:rPr>
              <w:t>党委办公厅（室）及相关机构事务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3.93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3.93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2013101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行政运行</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3.93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3.93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教育支出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283.97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283.97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20508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进修及培训</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283.97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283.97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2050802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干部教育</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283.97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283.97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社会保障和就业支出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26.9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26.9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20805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行政事业单位离退休</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26.9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26.9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2080505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20"/>
                <w:szCs w:val="20"/>
                <w:lang w:eastAsia="zh-CN"/>
              </w:rPr>
            </w:pPr>
            <w:r>
              <w:rPr>
                <w:rFonts w:hint="eastAsia" w:ascii="宋体" w:hAnsi="宋体" w:cs="宋体"/>
                <w:color w:val="000000"/>
                <w:sz w:val="16"/>
                <w:szCs w:val="16"/>
                <w:lang w:eastAsia="zh-CN"/>
              </w:rPr>
              <w:t>机关事业单位基本养老保险缴费支出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26.9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26.9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210</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医疗卫生与计划生育支出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20.03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20.03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21011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行政事业单位医疗</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20.03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20.03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2101101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行政单位医疗</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20.03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20.03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221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住房保障支出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16.13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16.13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22102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住房改革支出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16.13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16.13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2210201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住房公积金</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16.13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16.13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464"/>
        <w:gridCol w:w="1560"/>
        <w:gridCol w:w="543"/>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0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支出决算</w:t>
            </w:r>
            <w:r>
              <w:rPr>
                <w:sz w:val="44"/>
              </w:rPr>
              <mc:AlternateContent>
                <mc:Choice Requires="wpg">
                  <w:drawing>
                    <wp:anchor distT="0" distB="0" distL="114300" distR="114300" simplePos="0" relativeHeight="251676672"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38" name="组合 3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76672;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cmlLK3AAAAA0BAAAPAAAAAAAAAAEA&#10;IAAAACIAAABkcnMvZG93bnJldi54bWxQSwECFAAUAAAACACHTuJATKGUYCgDAADuCAAADgAAAAAA&#10;AAABACAAAAArAQAAZHJzL2Uyb0RvYy54bWxQSwUGAAAAAAYABgBZAQAAxQ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46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4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w:t>
            </w:r>
            <w:r>
              <w:rPr>
                <w:rFonts w:hint="eastAsia" w:ascii="宋体" w:hAnsi="宋体" w:cs="宋体"/>
                <w:color w:val="000000"/>
                <w:kern w:val="0"/>
                <w:sz w:val="20"/>
                <w:szCs w:val="20"/>
                <w:lang w:eastAsia="zh-CN" w:bidi="ar"/>
              </w:rPr>
              <w:t>中国共产党石家庄市鹿泉区委员会党校</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444" w:hRule="atLeast"/>
        </w:trPr>
        <w:tc>
          <w:tcPr>
            <w:tcW w:w="260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979"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对附属单位补助支出</w:t>
            </w:r>
          </w:p>
        </w:tc>
      </w:tr>
      <w:tr>
        <w:tblPrEx>
          <w:tblCellMar>
            <w:top w:w="0" w:type="dxa"/>
            <w:left w:w="0" w:type="dxa"/>
            <w:bottom w:w="0" w:type="dxa"/>
            <w:right w:w="0" w:type="dxa"/>
          </w:tblCellMar>
        </w:tblPrEx>
        <w:trPr>
          <w:trHeight w:val="617" w:hRule="atLeast"/>
        </w:trPr>
        <w:tc>
          <w:tcPr>
            <w:tcW w:w="104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979"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6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97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440" w:hRule="atLeast"/>
        </w:trPr>
        <w:tc>
          <w:tcPr>
            <w:tcW w:w="26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9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339.06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319.06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20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201</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lang w:eastAsia="zh-CN"/>
              </w:rPr>
              <w:t>一般公共服务支出</w:t>
            </w:r>
          </w:p>
        </w:tc>
        <w:tc>
          <w:tcPr>
            <w:tcW w:w="9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3.93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3.93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20131</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lang w:eastAsia="zh-CN"/>
              </w:rPr>
              <w:t>党委办公厅（室）及相关机构事务</w:t>
            </w:r>
          </w:p>
        </w:tc>
        <w:tc>
          <w:tcPr>
            <w:tcW w:w="9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3.93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3.93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2013101</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eastAsia="zh-CN"/>
              </w:rPr>
              <w:t>行政运行</w:t>
            </w:r>
          </w:p>
        </w:tc>
        <w:tc>
          <w:tcPr>
            <w:tcW w:w="9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3.93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3.93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205</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eastAsia="zh-CN"/>
              </w:rPr>
              <w:t>教育支出</w:t>
            </w:r>
          </w:p>
        </w:tc>
        <w:tc>
          <w:tcPr>
            <w:tcW w:w="9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cs="宋体"/>
                <w:color w:val="000000"/>
                <w:szCs w:val="21"/>
                <w:lang w:val="en-US"/>
              </w:rPr>
            </w:pPr>
            <w:r>
              <w:rPr>
                <w:rFonts w:hint="eastAsia" w:ascii="宋体" w:hAnsi="宋体" w:cs="宋体"/>
                <w:color w:val="000000"/>
                <w:szCs w:val="21"/>
                <w:lang w:val="en-US" w:eastAsia="zh-CN"/>
              </w:rPr>
              <w:t>281.63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cs="宋体"/>
                <w:color w:val="000000"/>
                <w:szCs w:val="21"/>
                <w:lang w:val="en-US"/>
              </w:rPr>
            </w:pPr>
            <w:r>
              <w:rPr>
                <w:rFonts w:hint="eastAsia" w:ascii="宋体" w:hAnsi="宋体" w:cs="宋体"/>
                <w:color w:val="000000"/>
                <w:szCs w:val="21"/>
                <w:lang w:val="en-US" w:eastAsia="zh-CN"/>
              </w:rPr>
              <w:t>261.63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20508</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eastAsia="zh-CN"/>
              </w:rPr>
              <w:t>进修及培训</w:t>
            </w:r>
          </w:p>
        </w:tc>
        <w:tc>
          <w:tcPr>
            <w:tcW w:w="9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281.63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261.63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23" w:hRule="atLeast"/>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2050802</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eastAsia="zh-CN"/>
              </w:rPr>
              <w:t>干部教育</w:t>
            </w:r>
          </w:p>
        </w:tc>
        <w:tc>
          <w:tcPr>
            <w:tcW w:w="9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281.63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261.63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17" w:hRule="atLeast"/>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208</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lang w:eastAsia="zh-CN"/>
              </w:rPr>
              <w:t>社会保障和就业支出</w:t>
            </w:r>
          </w:p>
        </w:tc>
        <w:tc>
          <w:tcPr>
            <w:tcW w:w="9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cs="宋体"/>
                <w:color w:val="000000"/>
                <w:szCs w:val="21"/>
                <w:lang w:val="en-US"/>
              </w:rPr>
            </w:pPr>
            <w:r>
              <w:rPr>
                <w:rFonts w:hint="eastAsia" w:ascii="宋体" w:hAnsi="宋体" w:cs="宋体"/>
                <w:color w:val="000000"/>
                <w:szCs w:val="21"/>
                <w:lang w:val="en-US" w:eastAsia="zh-CN"/>
              </w:rPr>
              <w:t>22.06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22.06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20805</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lang w:eastAsia="zh-CN"/>
              </w:rPr>
              <w:t>行政事业单位离退休</w:t>
            </w:r>
          </w:p>
        </w:tc>
        <w:tc>
          <w:tcPr>
            <w:tcW w:w="9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22.06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22.06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2080505</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lang w:eastAsia="zh-CN"/>
              </w:rPr>
              <w:t>机关事业单位基本养老保险缴费支出</w:t>
            </w:r>
          </w:p>
        </w:tc>
        <w:tc>
          <w:tcPr>
            <w:tcW w:w="9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22.06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22.06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210</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lang w:eastAsia="zh-CN"/>
              </w:rPr>
              <w:t>医疗卫生与计划生育支出</w:t>
            </w:r>
          </w:p>
        </w:tc>
        <w:tc>
          <w:tcPr>
            <w:tcW w:w="9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cs="宋体"/>
                <w:color w:val="000000"/>
                <w:szCs w:val="21"/>
                <w:lang w:val="en-US"/>
              </w:rPr>
            </w:pPr>
            <w:r>
              <w:rPr>
                <w:rFonts w:hint="eastAsia" w:ascii="宋体" w:hAnsi="宋体" w:cs="宋体"/>
                <w:color w:val="000000"/>
                <w:szCs w:val="21"/>
                <w:lang w:val="en-US" w:eastAsia="zh-CN"/>
              </w:rPr>
              <w:t>15.75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15.75</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21011</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lang w:eastAsia="zh-CN"/>
              </w:rPr>
              <w:t>行政事业单位医疗</w:t>
            </w:r>
          </w:p>
        </w:tc>
        <w:tc>
          <w:tcPr>
            <w:tcW w:w="9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15.75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15.75</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2101101</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eastAsia="zh-CN"/>
              </w:rPr>
              <w:t>行政单位医疗</w:t>
            </w:r>
          </w:p>
        </w:tc>
        <w:tc>
          <w:tcPr>
            <w:tcW w:w="9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15.75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15.75</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221</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eastAsia="zh-CN"/>
              </w:rPr>
              <w:t>住房保障支出</w:t>
            </w:r>
          </w:p>
        </w:tc>
        <w:tc>
          <w:tcPr>
            <w:tcW w:w="9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cs="宋体"/>
                <w:color w:val="000000"/>
                <w:szCs w:val="21"/>
                <w:lang w:val="en-US"/>
              </w:rPr>
            </w:pPr>
            <w:r>
              <w:rPr>
                <w:rFonts w:hint="eastAsia" w:ascii="宋体" w:hAnsi="宋体" w:cs="宋体"/>
                <w:color w:val="000000"/>
                <w:szCs w:val="21"/>
                <w:lang w:val="en-US" w:eastAsia="zh-CN"/>
              </w:rPr>
              <w:t>15.68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15.68</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22102</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eastAsia="zh-CN"/>
              </w:rPr>
              <w:t>住房改革支出</w:t>
            </w:r>
          </w:p>
        </w:tc>
        <w:tc>
          <w:tcPr>
            <w:tcW w:w="9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15.68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15.68</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04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2210201</w:t>
            </w:r>
          </w:p>
        </w:tc>
        <w:tc>
          <w:tcPr>
            <w:tcW w:w="1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eastAsia="zh-CN"/>
              </w:rPr>
              <w:t>住房公积金</w:t>
            </w:r>
          </w:p>
        </w:tc>
        <w:tc>
          <w:tcPr>
            <w:tcW w:w="97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15.68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15.68</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财政拨款收入支出决</w:t>
            </w:r>
            <w:r>
              <w:rPr>
                <w:sz w:val="44"/>
              </w:rPr>
              <mc:AlternateContent>
                <mc:Choice Requires="wpg">
                  <w:drawing>
                    <wp:anchor distT="0" distB="0" distL="114300" distR="114300" simplePos="0" relativeHeight="251677696"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3" name="组合 43"/>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4"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5"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77696;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F5b3vwpAwAA7ggAAA4AAAAA&#10;AAAAAQAgAAAAKwEAAGRycy9lMm9Eb2MueG1sUEsFBgAAAAAGAAYAWQEAAMY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gcSdNb4AAADb&#10;AAAADwAAAGRycy9kb3ducmV2LnhtbEWPzWsCMRTE7wX/h/AEbzVZ8aNsjR5EsXhqVfD63Lzubnfz&#10;siTxo/+9KRQ8DjPzG2a+vNtWXMmH2rGGbKhAEBfO1FxqOB42r28gQkQ22DomDb8UYLnovcwxN+7G&#10;X3Tdx1IkCIccNVQxdrmUoajIYhi6jjh5385bjEn6UhqPtwS3rRwpNZUWa04LFXa0qqho9heroTnO&#10;Pmu12v6cds104tfZeTbxZ60H/Uy9g4h0j8/wf/vDaBiP4e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Sd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yF8mLsAAADb&#10;AAAADwAAAGRycy9kb3ducmV2LnhtbEWPS4sCMRCE78L+h9ALe9PExdV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F8m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eastAsia="zh-CN" w:bidi="ar"/>
              </w:rPr>
              <w:t>中国共产党石家庄市鹿泉区委员会党校</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350.96</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3.93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3.93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281.63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281.63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22.06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22.06</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lang w:bidi="ar"/>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15.75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15.75</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15.68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15.68</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350.96</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339.06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339.06</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0.26</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12.17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12.17</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0.26</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351.22</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351.22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351.22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w:t>
            </w:r>
            <w:r>
              <w:rPr>
                <w:sz w:val="44"/>
              </w:rPr>
              <mc:AlternateContent>
                <mc:Choice Requires="wpg">
                  <w:drawing>
                    <wp:anchor distT="0" distB="0" distL="114300" distR="114300" simplePos="0" relativeHeight="25167872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6" name="组合 46"/>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7872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JpSytwAAAANAQAADwAAAAAAAAABACAA&#10;AAAiAAAAZHJzL2Rvd25yZXYueG1sUEsBAhQAFAAAAAgAh07iQLS7gBcmAwAA7ggAAA4AAAAAAAAA&#10;AQAgAAAAKw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cRYDQr4AAADb&#10;AAAADwAAAGRycy9kb3ducmV2LnhtbEWPzWrDMBCE74G+g9hAb4nk0MTFiZJDaEjpqU0NvW6sje3Y&#10;WhlJ+enbV4VCj8PMfMOsNnfbiyv50DrWkE0VCOLKmZZrDeXnbvIMIkRkg71j0vBNATbrh9EKC+Nu&#10;/EHXQ6xFgnAoUEMT41BIGaqGLIapG4iTd3LeYkzS19J4vCW47eVMqYW02HJaaHCgbUNVd7hYDV2Z&#10;v7dquz9/vXWLuX/JjvncH7V+HGdqCSLSPf6H/9qvRsNTDr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RYDQ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iSDTBrkAAADb&#10;AAAADwAAAGRycy9kb3ducmV2LnhtbEVPy4rCMBTdD/gP4QruxkQZOqUahRGUWWqdx/bSXNsyzU1J&#10;0qp/bxbCLA/nvd7ebCdG8qF1rGExVyCIK2darjV8nfevOYgQkQ12jknDnQJsN5OXNRbGXflEYxlr&#10;kUI4FKihibEvpAxVQxbD3PXEibs4bzEm6GtpPF5TuO3kUqlMWmw5NTTY066h6q8crIbs+LFz1Tk/&#10;/PjfVh3dsL/n799az6YLtQIR6Rb/xU/3p9Hwlsam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kg0wa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w:t>
            </w:r>
            <w:r>
              <w:rPr>
                <w:rFonts w:hint="eastAsia" w:ascii="宋体" w:hAnsi="宋体" w:cs="宋体"/>
                <w:color w:val="000000"/>
                <w:kern w:val="0"/>
                <w:sz w:val="20"/>
                <w:szCs w:val="20"/>
                <w:lang w:eastAsia="zh-CN" w:bidi="ar"/>
              </w:rPr>
              <w:t>中国共产党石家庄市鹿泉区委员会党校</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339.06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319.06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20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8"/>
                <w:szCs w:val="18"/>
                <w:lang w:eastAsia="zh-CN"/>
              </w:rPr>
              <w:t>一般公共服务支出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3.93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3.93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20131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lang w:eastAsia="zh-CN"/>
              </w:rPr>
              <w:t>党委办公厅（室）及相关机构事务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3.93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3.93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2013101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eastAsia="zh-CN"/>
              </w:rPr>
              <w:t>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3.93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3.93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eastAsia="zh-CN"/>
              </w:rPr>
              <w:t>教育支出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281.63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261.63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20508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eastAsia="zh-CN"/>
              </w:rPr>
              <w:t>进修及培训</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281.63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261.63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2050802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eastAsia="zh-CN"/>
              </w:rPr>
              <w:t>干部教育</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281.63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261.63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lang w:eastAsia="zh-CN"/>
              </w:rPr>
              <w:t>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22.06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22.06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20805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lang w:eastAsia="zh-CN"/>
              </w:rPr>
              <w:t>行政事业单位离退休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22.06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22.06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2080505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lang w:eastAsia="zh-CN"/>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22.06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22.06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210</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lang w:eastAsia="zh-CN"/>
              </w:rPr>
              <w:t>医疗卫生与计划生育支出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15.75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15.75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21011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16"/>
                <w:szCs w:val="16"/>
                <w:lang w:eastAsia="zh-CN"/>
              </w:rPr>
              <w:t>行政事业单位医疗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15.75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15.75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2101101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eastAsia="zh-CN"/>
              </w:rPr>
              <w:t>行政单位医疗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15.75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15.75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221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eastAsia="zh-CN"/>
              </w:rPr>
              <w:t>住房保障支出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15.68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15.68</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22102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eastAsia="zh-CN"/>
              </w:rPr>
              <w:t>住房改革支出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15.68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15.68</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val="en-US" w:eastAsia="zh-CN"/>
              </w:rPr>
              <w:t>2210201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 w:val="20"/>
                <w:szCs w:val="20"/>
                <w:lang w:eastAsia="zh-CN"/>
              </w:rPr>
              <w:t>住房公积金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15.68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15.68</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部门：</w:t>
            </w:r>
            <w:r>
              <w:rPr>
                <w:rFonts w:hint="eastAsia" w:ascii="宋体" w:hAnsi="宋体" w:cs="宋体"/>
                <w:color w:val="000000"/>
                <w:kern w:val="0"/>
                <w:sz w:val="20"/>
                <w:szCs w:val="20"/>
                <w:lang w:eastAsia="zh-CN" w:bidi="ar"/>
              </w:rPr>
              <w:t>中国共产党石家庄市鹿泉区委员会党校</w:t>
            </w:r>
            <w:r>
              <w:rPr>
                <w:sz w:val="44"/>
              </w:rPr>
              <mc:AlternateContent>
                <mc:Choice Requires="wpg">
                  <w:drawing>
                    <wp:anchor distT="0" distB="0" distL="114300" distR="114300" simplePos="0" relativeHeight="251679744" behindDoc="0" locked="1" layoutInCell="1" allowOverlap="1">
                      <wp:simplePos x="0" y="0"/>
                      <wp:positionH relativeFrom="column">
                        <wp:posOffset>-930275</wp:posOffset>
                      </wp:positionH>
                      <wp:positionV relativeFrom="page">
                        <wp:posOffset>-1643380</wp:posOffset>
                      </wp:positionV>
                      <wp:extent cx="3088640" cy="523240"/>
                      <wp:effectExtent l="3175" t="0" r="13335" b="29210"/>
                      <wp:wrapNone/>
                      <wp:docPr id="49" name="组合 49"/>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73.25pt;margin-top:-129.4pt;height:41.2pt;width:243.2pt;mso-position-vertical-relative:page;z-index:251679744;mso-width-relative:page;mso-height-relative:page;" coordorigin="4551,52615" coordsize="8546,1398"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sDI+9N0AAAAOAQAADwAAAAAAAAABACAA&#10;AAAiAAAAZHJzL2Rvd25yZXYueG1sUEsBAhQAFAAAAAgAh07iQORqdSQlAwAA7ggAAA4AAAAAAAAA&#10;AQAgAAAALA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eyYN67oAAADb&#10;AAAADwAAAGRycy9kb3ducmV2LnhtbEVPu27CMBTdK/EP1kXqVuxUCqCAYUCgok4UkFgv8SUJia8j&#10;2zz69/WA1PHovOfLp+3EnXxoHGvIRgoEcelMw5WG42HzMQURIrLBzjFp+KUAy8XgbY6FcQ/+ofs+&#10;ViKFcChQQx1jX0gZyposhpHriRN3cd5iTNBX0nh8pHDbyU+lxtJiw6mhxp5WNZXt/mY1tMfJrlGr&#10;r+vpux3nfp2dJ7k/a/0+zNQMRKRn/Be/3FujIU/r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Jg3r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ncPsRrsAAADb&#10;AAAADwAAAGRycy9kb3ducmV2LnhtbEWPS4sCMRCE7wv+h9CCtzUZQ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PsR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255.05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39.64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74.16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1.91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62.63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56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5.44</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0.46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20"/>
                <w:szCs w:val="20"/>
                <w:lang w:val="en-US" w:eastAsia="zh-CN"/>
              </w:rPr>
            </w:pPr>
            <w:r>
              <w:rPr>
                <w:rFonts w:hint="eastAsia" w:ascii="宋体" w:hAnsi="宋体" w:cs="宋体"/>
                <w:color w:val="000000"/>
                <w:sz w:val="20"/>
                <w:szCs w:val="20"/>
                <w:lang w:val="en-US" w:eastAsia="zh-CN"/>
              </w:rPr>
              <w:t>5.44</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22.06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0.59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19.38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15.75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7.65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15.68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0.72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18.93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1.25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17.62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1.38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0.06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1.81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0.62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5.11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273.97</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45.08</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w:t>
            </w:r>
            <w:r>
              <w:rPr>
                <w:sz w:val="44"/>
              </w:rPr>
              <mc:AlternateContent>
                <mc:Choice Requires="wpg">
                  <w:drawing>
                    <wp:anchor distT="0" distB="0" distL="114300" distR="114300" simplePos="0" relativeHeight="251680768"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52" name="组合 52"/>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2.75pt;margin-top:-81.1pt;height:41.2pt;width:243.2pt;mso-position-vertical-relative:page;z-index:251680768;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wnm4jcAAAADQEAAA8AAAAAAAAAAQAgAAAA&#10;IgAAAGRycy9kb3ducmV2LnhtbFBLAQIUABQAAAAIAIdO4kBoNz3RJAMAAO4IAAAOAAAAAAAAAAEA&#10;IAAAACsBAABkcnMvZTJvRG9jLnhtbFBLBQYAAAAABgAGAFkBAADB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eastAsia="zh-CN" w:bidi="ar"/>
              </w:rPr>
              <w:t>中国共产党石家庄市鹿泉区委员会党校</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2.7</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2.7</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2.7</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0.62</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0.62</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0.62</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lang w:bidi="ar"/>
              </w:rPr>
              <w:t>政府性基金预算财政拨款</w:t>
            </w:r>
            <w:r>
              <w:rPr>
                <w:sz w:val="44"/>
              </w:rPr>
              <mc:AlternateContent>
                <mc:Choice Requires="wpg">
                  <w:drawing>
                    <wp:anchor distT="0" distB="0" distL="114300" distR="114300" simplePos="0" relativeHeight="251681792"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5" name="组合 55"/>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1792;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ByaUsrcAAAADQEAAA8AAAAAAAAAAQAg&#10;AAAAIgAAAGRycy9kb3ducmV2LnhtbFBLAQIUABQAAAAIAIdO4kDg5H2kJwMAAO4IAAAOAAAAAAAA&#10;AAEAIAAAACsBAABkcnMvZTJvRG9jLnhtbFBLBQYAAAAABgAGAFkBAADE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36"/>
                <w:szCs w:val="36"/>
                <w:lang w:bidi="ar"/>
              </w:rPr>
              <w:t>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部门：</w:t>
            </w:r>
            <w:r>
              <w:rPr>
                <w:rFonts w:hint="eastAsia" w:ascii="宋体" w:hAnsi="宋体" w:cs="宋体"/>
                <w:color w:val="000000"/>
                <w:kern w:val="0"/>
                <w:sz w:val="20"/>
                <w:szCs w:val="20"/>
                <w:lang w:eastAsia="zh-CN" w:bidi="ar"/>
              </w:rPr>
              <w:t>中国共产党石家庄市鹿泉区委员会党校</w:t>
            </w: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eastAsia="宋体" w:cs="宋体"/>
                <w:lang w:eastAsia="zh-CN"/>
              </w:rPr>
              <w:t>注：</w:t>
            </w:r>
            <w:r>
              <w:rPr>
                <w:rFonts w:hint="eastAsia" w:ascii="宋体" w:hAnsi="宋体" w:eastAsia="宋体" w:cs="宋体"/>
              </w:rPr>
              <w:t>本部门本年度无相关收入（或支出、收支及结转结余等）情况，按要求空表列示。</w:t>
            </w:r>
            <w:r>
              <w:rPr>
                <w:rFonts w:hint="eastAsia" w:ascii="宋体" w:hAnsi="宋体" w:cs="宋体"/>
                <w:color w:val="000000"/>
                <w:kern w:val="0"/>
                <w:szCs w:val="21"/>
                <w:lang w:bidi="ar"/>
              </w:rPr>
              <w:t xml:space="preserve">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国有资本经营预算财政拨</w:t>
            </w:r>
            <w:r>
              <w:rPr>
                <w:sz w:val="44"/>
              </w:rPr>
              <mc:AlternateContent>
                <mc:Choice Requires="wpg">
                  <w:drawing>
                    <wp:anchor distT="0" distB="0" distL="114300" distR="114300" simplePos="0" relativeHeight="251682816"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8" name="组合 5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2816;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Li3ANIpAwAA7ggAAA4AAAAA&#10;AAAAAQAgAAAAKwEAAGRycy9lMm9Eb2MueG1sUEsFBgAAAAAGAAYAWQEAAMY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编制单位：</w:t>
            </w:r>
            <w:r>
              <w:rPr>
                <w:rFonts w:hint="eastAsia" w:ascii="宋体" w:hAnsi="宋体" w:cs="宋体"/>
                <w:color w:val="000000"/>
                <w:kern w:val="0"/>
                <w:sz w:val="20"/>
                <w:szCs w:val="20"/>
                <w:lang w:eastAsia="zh-CN" w:bidi="ar"/>
              </w:rPr>
              <w:t>中国共产党石家庄市鹿泉区委员会党校</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eastAsia="宋体" w:cs="宋体"/>
                <w:lang w:eastAsia="zh-CN"/>
              </w:rPr>
              <w:t>注：</w:t>
            </w:r>
            <w:r>
              <w:rPr>
                <w:rFonts w:hint="eastAsia" w:ascii="宋体" w:hAnsi="宋体" w:eastAsia="宋体" w:cs="宋体"/>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政府采购</w:t>
            </w:r>
            <w:r>
              <w:rPr>
                <w:sz w:val="44"/>
              </w:rPr>
              <mc:AlternateContent>
                <mc:Choice Requires="wpg">
                  <w:drawing>
                    <wp:anchor distT="0" distB="0" distL="114300" distR="114300" simplePos="0" relativeHeight="25168384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61" name="组合 61"/>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6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384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ByaUsrcAAAADQEAAA8AAAAAAAAAAQAgAAAAIgAA&#10;AGRycy9kb3ducmV2LnhtbFBLAQIUABQAAAAIAIdO4kCmJVCBIQMAAO4IAAAOAAAAAAAAAAEAIAAA&#10;ACsBAABkcnMvZTJvRG9jLnhtbFBLBQYAAAAABgAGAFkBAA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编制单位：</w:t>
            </w:r>
            <w:r>
              <w:rPr>
                <w:rFonts w:hint="eastAsia" w:ascii="宋体" w:hAnsi="宋体" w:cs="宋体"/>
                <w:color w:val="000000"/>
                <w:kern w:val="0"/>
                <w:sz w:val="20"/>
                <w:szCs w:val="20"/>
                <w:lang w:eastAsia="zh-CN" w:bidi="ar"/>
              </w:rPr>
              <w:t>中国共产党石家庄市鹿泉区委员会党校</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eastAsia="宋体" w:cs="宋体"/>
                <w:lang w:eastAsia="zh-CN"/>
              </w:rPr>
              <w:t>注：</w:t>
            </w:r>
            <w:r>
              <w:rPr>
                <w:rFonts w:hint="eastAsia" w:ascii="宋体" w:hAnsi="宋体" w:eastAsia="宋体" w:cs="宋体"/>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6"/>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5408"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92032"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18" name="组合 18"/>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1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9203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本部门2018年度收支总计（含结转和结余）</w:t>
      </w:r>
      <w:r>
        <w:rPr>
          <w:rFonts w:hint="eastAsia" w:ascii="仿宋" w:hAnsi="仿宋" w:eastAsia="仿宋" w:cs="仿宋"/>
          <w:sz w:val="32"/>
          <w:szCs w:val="32"/>
          <w:lang w:val="en-US" w:eastAsia="zh-CN"/>
        </w:rPr>
        <w:t>351.22</w:t>
      </w:r>
      <w:r>
        <w:rPr>
          <w:rFonts w:hint="eastAsia" w:ascii="仿宋" w:hAnsi="仿宋" w:eastAsia="仿宋" w:cs="仿宋"/>
          <w:sz w:val="32"/>
          <w:szCs w:val="32"/>
        </w:rPr>
        <w:t>万元。与2017年度决算相比，收支各增加</w:t>
      </w:r>
      <w:r>
        <w:rPr>
          <w:rFonts w:hint="eastAsia" w:ascii="仿宋" w:hAnsi="仿宋" w:eastAsia="仿宋" w:cs="仿宋"/>
          <w:sz w:val="32"/>
          <w:szCs w:val="32"/>
          <w:lang w:val="en-US" w:eastAsia="zh-CN"/>
        </w:rPr>
        <w:t>70.49</w:t>
      </w:r>
      <w:r>
        <w:rPr>
          <w:rFonts w:hint="eastAsia" w:ascii="仿宋" w:hAnsi="仿宋" w:eastAsia="仿宋" w:cs="仿宋"/>
          <w:sz w:val="32"/>
          <w:szCs w:val="32"/>
        </w:rPr>
        <w:t>万元，增长</w:t>
      </w:r>
      <w:r>
        <w:rPr>
          <w:rFonts w:hint="eastAsia" w:ascii="仿宋" w:hAnsi="仿宋" w:eastAsia="仿宋" w:cs="仿宋"/>
          <w:sz w:val="32"/>
          <w:szCs w:val="32"/>
          <w:lang w:val="en-US" w:eastAsia="zh-CN"/>
        </w:rPr>
        <w:t>25</w:t>
      </w:r>
      <w:r>
        <w:rPr>
          <w:rFonts w:hint="eastAsia" w:ascii="仿宋" w:hAnsi="仿宋" w:eastAsia="仿宋" w:cs="仿宋"/>
          <w:sz w:val="32"/>
          <w:szCs w:val="32"/>
        </w:rPr>
        <w:t>%，主要原因是</w:t>
      </w:r>
      <w:r>
        <w:rPr>
          <w:rFonts w:hint="eastAsia" w:ascii="仿宋" w:hAnsi="仿宋" w:eastAsia="仿宋" w:cs="仿宋"/>
          <w:sz w:val="32"/>
          <w:szCs w:val="32"/>
          <w:lang w:val="en-US" w:eastAsia="zh-CN"/>
        </w:rPr>
        <w:t>2018年工资待遇水平提高，社保经费提高</w:t>
      </w:r>
      <w:r>
        <w:rPr>
          <w:rFonts w:hint="eastAsia" w:ascii="仿宋" w:hAnsi="仿宋" w:eastAsia="仿宋" w:cs="仿宋"/>
          <w:sz w:val="32"/>
          <w:szCs w:val="32"/>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本部门2018年度本年收入合计</w:t>
      </w:r>
      <w:r>
        <w:rPr>
          <w:rFonts w:hint="eastAsia" w:ascii="仿宋" w:hAnsi="仿宋" w:eastAsia="仿宋" w:cs="仿宋"/>
          <w:sz w:val="32"/>
          <w:szCs w:val="32"/>
          <w:lang w:val="en-US" w:eastAsia="zh-CN"/>
        </w:rPr>
        <w:t>350.96</w:t>
      </w:r>
      <w:r>
        <w:rPr>
          <w:rFonts w:hint="eastAsia" w:ascii="仿宋" w:hAnsi="仿宋" w:eastAsia="仿宋" w:cs="仿宋"/>
          <w:sz w:val="32"/>
          <w:szCs w:val="32"/>
        </w:rPr>
        <w:t>万元，其中：财政拨款收入</w:t>
      </w:r>
      <w:r>
        <w:rPr>
          <w:rFonts w:hint="eastAsia" w:ascii="仿宋" w:hAnsi="仿宋" w:eastAsia="仿宋" w:cs="仿宋"/>
          <w:sz w:val="32"/>
          <w:szCs w:val="32"/>
          <w:lang w:val="en-US" w:eastAsia="zh-CN"/>
        </w:rPr>
        <w:t>350.96</w:t>
      </w:r>
      <w:r>
        <w:rPr>
          <w:rFonts w:hint="eastAsia" w:ascii="仿宋" w:hAnsi="仿宋" w:eastAsia="仿宋" w:cs="仿宋"/>
          <w:sz w:val="32"/>
          <w:szCs w:val="32"/>
        </w:rPr>
        <w:t>万元，占</w:t>
      </w:r>
      <w:r>
        <w:rPr>
          <w:rFonts w:hint="eastAsia" w:ascii="仿宋" w:hAnsi="仿宋" w:eastAsia="仿宋" w:cs="仿宋"/>
          <w:sz w:val="32"/>
          <w:szCs w:val="32"/>
          <w:lang w:val="en-US" w:eastAsia="zh-CN"/>
        </w:rPr>
        <w:t>100</w:t>
      </w:r>
      <w:r>
        <w:rPr>
          <w:rFonts w:hint="eastAsia" w:ascii="仿宋" w:hAnsi="仿宋" w:eastAsia="仿宋" w:cs="仿宋"/>
          <w:sz w:val="32"/>
          <w:szCs w:val="32"/>
        </w:rPr>
        <w:t>%；事业收入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万元，占</w:t>
      </w:r>
      <w:r>
        <w:rPr>
          <w:rFonts w:hint="eastAsia" w:ascii="仿宋" w:hAnsi="仿宋" w:eastAsia="仿宋" w:cs="仿宋"/>
          <w:sz w:val="32"/>
          <w:szCs w:val="32"/>
          <w:lang w:val="en-US" w:eastAsia="zh-CN"/>
        </w:rPr>
        <w:t>0</w:t>
      </w:r>
      <w:r>
        <w:rPr>
          <w:rFonts w:hint="eastAsia" w:ascii="仿宋" w:hAnsi="仿宋" w:eastAsia="仿宋" w:cs="仿宋"/>
          <w:sz w:val="32"/>
          <w:szCs w:val="32"/>
        </w:rPr>
        <w:t>%；经营收入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万元，占</w:t>
      </w:r>
      <w:r>
        <w:rPr>
          <w:rFonts w:hint="eastAsia" w:ascii="仿宋" w:hAnsi="仿宋" w:eastAsia="仿宋" w:cs="仿宋"/>
          <w:sz w:val="32"/>
          <w:szCs w:val="32"/>
          <w:lang w:val="en-US" w:eastAsia="zh-CN"/>
        </w:rPr>
        <w:t>0</w:t>
      </w:r>
      <w:r>
        <w:rPr>
          <w:rFonts w:hint="eastAsia" w:ascii="仿宋" w:hAnsi="仿宋" w:eastAsia="仿宋" w:cs="仿宋"/>
          <w:sz w:val="32"/>
          <w:szCs w:val="32"/>
        </w:rPr>
        <w:t>%；其他收入</w:t>
      </w:r>
      <w:r>
        <w:rPr>
          <w:rFonts w:hint="eastAsia" w:ascii="仿宋" w:hAnsi="仿宋" w:eastAsia="仿宋" w:cs="仿宋"/>
          <w:sz w:val="32"/>
          <w:szCs w:val="32"/>
          <w:lang w:val="en-US" w:eastAsia="zh-CN"/>
        </w:rPr>
        <w:t>0</w:t>
      </w:r>
      <w:r>
        <w:rPr>
          <w:rFonts w:hint="eastAsia" w:ascii="仿宋" w:hAnsi="仿宋" w:eastAsia="仿宋" w:cs="仿宋"/>
          <w:sz w:val="32"/>
          <w:szCs w:val="32"/>
        </w:rPr>
        <w:t>万元，占</w:t>
      </w:r>
      <w:r>
        <w:rPr>
          <w:rFonts w:hint="eastAsia" w:ascii="仿宋" w:hAnsi="仿宋" w:eastAsia="仿宋" w:cs="仿宋"/>
          <w:sz w:val="32"/>
          <w:szCs w:val="32"/>
          <w:lang w:val="en-US" w:eastAsia="zh-CN"/>
        </w:rPr>
        <w:t>0</w:t>
      </w:r>
      <w:r>
        <w:rPr>
          <w:rFonts w:hint="eastAsia" w:ascii="仿宋" w:hAnsi="仿宋" w:eastAsia="仿宋" w:cs="仿宋"/>
          <w:sz w:val="32"/>
          <w:szCs w:val="32"/>
        </w:rPr>
        <w:t>%。如图所示：</w:t>
      </w:r>
    </w:p>
    <w:p>
      <w:pPr>
        <w:adjustRightInd w:val="0"/>
        <w:snapToGrid w:val="0"/>
        <w:spacing w:after="0" w:line="580" w:lineRule="exact"/>
        <w:ind w:firstLine="1260" w:firstLineChars="600"/>
        <w:rPr>
          <w:rFonts w:ascii="仿宋_GB2312" w:eastAsia="仿宋_GB2312" w:cs="DengXian-Regular"/>
          <w:sz w:val="32"/>
          <w:szCs w:val="32"/>
        </w:rPr>
      </w:pPr>
      <w:r>
        <w:drawing>
          <wp:anchor distT="0" distB="0" distL="114300" distR="114300" simplePos="0" relativeHeight="251693056" behindDoc="1" locked="0" layoutInCell="1" allowOverlap="1">
            <wp:simplePos x="0" y="0"/>
            <wp:positionH relativeFrom="column">
              <wp:posOffset>467995</wp:posOffset>
            </wp:positionH>
            <wp:positionV relativeFrom="paragraph">
              <wp:posOffset>238760</wp:posOffset>
            </wp:positionV>
            <wp:extent cx="4572000" cy="2743200"/>
            <wp:effectExtent l="4445" t="4445" r="14605" b="14605"/>
            <wp:wrapThrough wrapText="bothSides">
              <wp:wrapPolygon>
                <wp:start x="-21" y="-35"/>
                <wp:lineTo x="-21" y="21565"/>
                <wp:lineTo x="21579" y="21565"/>
                <wp:lineTo x="21579" y="-35"/>
                <wp:lineTo x="-21" y="-35"/>
              </wp:wrapPolygon>
            </wp:wrapThrough>
            <wp:docPr id="2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本部门2018年度本年支出合计</w:t>
      </w:r>
      <w:r>
        <w:rPr>
          <w:rFonts w:hint="eastAsia" w:ascii="仿宋" w:hAnsi="仿宋" w:eastAsia="仿宋" w:cs="仿宋"/>
          <w:sz w:val="32"/>
          <w:szCs w:val="32"/>
          <w:lang w:val="en-US" w:eastAsia="zh-CN"/>
        </w:rPr>
        <w:t>339.06</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319.06</w:t>
      </w:r>
      <w:r>
        <w:rPr>
          <w:rFonts w:hint="eastAsia" w:ascii="仿宋" w:hAnsi="仿宋" w:eastAsia="仿宋" w:cs="仿宋"/>
          <w:sz w:val="32"/>
          <w:szCs w:val="32"/>
        </w:rPr>
        <w:t>万元，占</w:t>
      </w:r>
      <w:r>
        <w:rPr>
          <w:rFonts w:hint="eastAsia" w:ascii="仿宋" w:hAnsi="仿宋" w:eastAsia="仿宋" w:cs="仿宋"/>
          <w:sz w:val="32"/>
          <w:szCs w:val="32"/>
          <w:lang w:val="en-US" w:eastAsia="zh-CN"/>
        </w:rPr>
        <w:t>94</w:t>
      </w:r>
      <w:r>
        <w:rPr>
          <w:rFonts w:hint="eastAsia" w:ascii="仿宋" w:hAnsi="仿宋" w:eastAsia="仿宋" w:cs="仿宋"/>
          <w:sz w:val="32"/>
          <w:szCs w:val="32"/>
        </w:rPr>
        <w:t>%；项目支出</w:t>
      </w:r>
      <w:r>
        <w:rPr>
          <w:rFonts w:hint="eastAsia" w:ascii="仿宋" w:hAnsi="仿宋" w:eastAsia="仿宋" w:cs="仿宋"/>
          <w:sz w:val="32"/>
          <w:szCs w:val="32"/>
          <w:lang w:val="en-US" w:eastAsia="zh-CN"/>
        </w:rPr>
        <w:t>20</w:t>
      </w:r>
      <w:r>
        <w:rPr>
          <w:rFonts w:hint="eastAsia" w:ascii="仿宋" w:hAnsi="仿宋" w:eastAsia="仿宋" w:cs="仿宋"/>
          <w:sz w:val="32"/>
          <w:szCs w:val="32"/>
        </w:rPr>
        <w:t>万元，占</w:t>
      </w:r>
      <w:r>
        <w:rPr>
          <w:rFonts w:hint="eastAsia" w:ascii="仿宋" w:hAnsi="仿宋" w:eastAsia="仿宋" w:cs="仿宋"/>
          <w:sz w:val="32"/>
          <w:szCs w:val="32"/>
          <w:lang w:val="en-US" w:eastAsia="zh-CN"/>
        </w:rPr>
        <w:t>6</w:t>
      </w:r>
      <w:r>
        <w:rPr>
          <w:rFonts w:hint="eastAsia" w:ascii="仿宋" w:hAnsi="仿宋" w:eastAsia="仿宋" w:cs="仿宋"/>
          <w:sz w:val="32"/>
          <w:szCs w:val="32"/>
        </w:rPr>
        <w:t>%；经营支出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万元，占</w:t>
      </w:r>
      <w:r>
        <w:rPr>
          <w:rFonts w:hint="eastAsia" w:ascii="仿宋" w:hAnsi="仿宋" w:eastAsia="仿宋" w:cs="仿宋"/>
          <w:sz w:val="32"/>
          <w:szCs w:val="32"/>
          <w:lang w:val="en-US" w:eastAsia="zh-CN"/>
        </w:rPr>
        <w:t>0</w:t>
      </w:r>
      <w:r>
        <w:rPr>
          <w:rFonts w:hint="eastAsia" w:ascii="仿宋" w:hAnsi="仿宋" w:eastAsia="仿宋" w:cs="仿宋"/>
          <w:sz w:val="32"/>
          <w:szCs w:val="32"/>
        </w:rPr>
        <w:t>%。如图所示：</w:t>
      </w:r>
    </w:p>
    <w:p>
      <w:pPr>
        <w:adjustRightInd w:val="0"/>
        <w:snapToGrid w:val="0"/>
        <w:spacing w:after="0" w:line="580" w:lineRule="exact"/>
        <w:ind w:firstLine="1260" w:firstLineChars="600"/>
      </w:pPr>
    </w:p>
    <w:p>
      <w:pPr>
        <w:adjustRightInd w:val="0"/>
        <w:snapToGrid w:val="0"/>
        <w:spacing w:after="0" w:line="580" w:lineRule="exact"/>
        <w:ind w:firstLine="1260" w:firstLineChars="600"/>
      </w:pPr>
    </w:p>
    <w:p>
      <w:pPr>
        <w:adjustRightInd w:val="0"/>
        <w:snapToGrid w:val="0"/>
        <w:spacing w:after="0" w:line="580" w:lineRule="exact"/>
        <w:ind w:firstLine="1260" w:firstLineChars="600"/>
      </w:pPr>
    </w:p>
    <w:p>
      <w:pPr>
        <w:adjustRightInd w:val="0"/>
        <w:snapToGrid w:val="0"/>
        <w:spacing w:after="0" w:line="580" w:lineRule="exact"/>
        <w:ind w:firstLine="1260" w:firstLineChars="600"/>
      </w:pPr>
    </w:p>
    <w:p>
      <w:pPr>
        <w:adjustRightInd w:val="0"/>
        <w:snapToGrid w:val="0"/>
        <w:spacing w:after="0" w:line="580" w:lineRule="exact"/>
        <w:ind w:firstLine="1260" w:firstLineChars="600"/>
      </w:pPr>
    </w:p>
    <w:p>
      <w:pPr>
        <w:adjustRightInd w:val="0"/>
        <w:snapToGrid w:val="0"/>
        <w:spacing w:after="0" w:line="580" w:lineRule="exact"/>
        <w:ind w:firstLine="1260" w:firstLineChars="600"/>
      </w:pPr>
    </w:p>
    <w:p>
      <w:pPr>
        <w:adjustRightInd w:val="0"/>
        <w:snapToGrid w:val="0"/>
        <w:spacing w:after="0" w:line="580" w:lineRule="exact"/>
        <w:ind w:firstLine="1260" w:firstLineChars="600"/>
      </w:pPr>
    </w:p>
    <w:p>
      <w:pPr>
        <w:adjustRightInd w:val="0"/>
        <w:snapToGrid w:val="0"/>
        <w:spacing w:after="0" w:line="580" w:lineRule="exact"/>
        <w:rPr>
          <w:rFonts w:ascii="仿宋_GB2312" w:eastAsia="仿宋_GB2312" w:cs="DengXian-Regular"/>
          <w:sz w:val="32"/>
          <w:szCs w:val="32"/>
        </w:rPr>
      </w:pPr>
    </w:p>
    <w:p>
      <w:pPr>
        <w:adjustRightInd w:val="0"/>
        <w:snapToGrid w:val="0"/>
        <w:spacing w:after="0" w:line="580" w:lineRule="exact"/>
        <w:ind w:firstLine="2640" w:firstLineChars="600"/>
        <w:rPr>
          <w:rFonts w:ascii="仿宋_GB2312" w:eastAsia="仿宋_GB2312" w:cs="DengXian-Regular"/>
          <w:sz w:val="32"/>
          <w:szCs w:val="32"/>
        </w:rPr>
      </w:pPr>
      <w:r>
        <w:rPr>
          <w:sz w:val="44"/>
        </w:rPr>
        <mc:AlternateContent>
          <mc:Choice Requires="wpg">
            <w:drawing>
              <wp:anchor distT="0" distB="0" distL="114300" distR="114300" simplePos="0" relativeHeight="251684864"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0" name="组合 70"/>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7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72"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486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vFHAyU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J+ys7bAAAACwEAAA8AAAAAAAAAAQAgAAAA&#10;IgAAAGRycy9kb3ducmV2LnhtbFBLAQIUABQAAAAIAIdO4kDC8UcDJQMAAO4IAAAOAAAAAAAAAAEA&#10;IAAAACoBAABkcnMvZTJvRG9jLnhtbFBLBQYAAAAABgAGAFkBAADB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p>
    <w:p>
      <w:pPr>
        <w:pStyle w:val="3"/>
        <w:spacing w:before="0" w:after="0" w:line="580" w:lineRule="exact"/>
        <w:ind w:firstLine="320" w:firstLineChars="1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rPr>
        <w:t>本部门2018年度形成的财政拨款收支均为一般公共预算财政拨款，其中一般公共预算财政拨款本年收入</w:t>
      </w:r>
      <w:r>
        <w:rPr>
          <w:rFonts w:hint="eastAsia" w:ascii="仿宋" w:hAnsi="仿宋" w:eastAsia="仿宋" w:cs="仿宋"/>
          <w:sz w:val="32"/>
          <w:szCs w:val="32"/>
          <w:lang w:val="en-US" w:eastAsia="zh-CN"/>
        </w:rPr>
        <w:t>350.96</w:t>
      </w:r>
      <w:r>
        <w:rPr>
          <w:rFonts w:hint="eastAsia" w:ascii="仿宋" w:hAnsi="仿宋" w:eastAsia="仿宋" w:cs="仿宋"/>
          <w:sz w:val="32"/>
          <w:szCs w:val="32"/>
        </w:rPr>
        <w:t>万元,比2017年度增加</w:t>
      </w:r>
      <w:r>
        <w:rPr>
          <w:rFonts w:hint="eastAsia" w:ascii="仿宋" w:hAnsi="仿宋" w:eastAsia="仿宋" w:cs="仿宋"/>
          <w:sz w:val="32"/>
          <w:szCs w:val="32"/>
          <w:lang w:val="en-US" w:eastAsia="zh-CN"/>
        </w:rPr>
        <w:t>70.8</w:t>
      </w:r>
      <w:r>
        <w:rPr>
          <w:rFonts w:hint="eastAsia" w:ascii="仿宋" w:hAnsi="仿宋" w:eastAsia="仿宋" w:cs="仿宋"/>
          <w:sz w:val="32"/>
          <w:szCs w:val="32"/>
        </w:rPr>
        <w:t>万元，增长</w:t>
      </w:r>
      <w:r>
        <w:rPr>
          <w:rFonts w:hint="eastAsia" w:ascii="仿宋" w:hAnsi="仿宋" w:eastAsia="仿宋" w:cs="仿宋"/>
          <w:sz w:val="32"/>
          <w:szCs w:val="32"/>
          <w:lang w:val="en-US" w:eastAsia="zh-CN"/>
        </w:rPr>
        <w:t>25</w:t>
      </w:r>
      <w:r>
        <w:rPr>
          <w:rFonts w:hint="eastAsia" w:ascii="仿宋" w:hAnsi="仿宋" w:eastAsia="仿宋" w:cs="仿宋"/>
          <w:sz w:val="32"/>
          <w:szCs w:val="32"/>
        </w:rPr>
        <w:t>%，主要是</w:t>
      </w:r>
      <w:r>
        <w:rPr>
          <w:rFonts w:hint="eastAsia" w:ascii="仿宋" w:hAnsi="仿宋" w:eastAsia="仿宋" w:cs="仿宋"/>
          <w:sz w:val="32"/>
          <w:szCs w:val="32"/>
          <w:lang w:val="en-US" w:eastAsia="zh-CN"/>
        </w:rPr>
        <w:t>2018年工资待遇水平提高，社保经费提高</w:t>
      </w:r>
      <w:r>
        <w:rPr>
          <w:rFonts w:hint="eastAsia" w:ascii="仿宋" w:hAnsi="仿宋" w:eastAsia="仿宋" w:cs="仿宋"/>
          <w:sz w:val="32"/>
          <w:szCs w:val="32"/>
        </w:rPr>
        <w:t>；本年支出</w:t>
      </w:r>
      <w:r>
        <w:rPr>
          <w:rFonts w:hint="eastAsia" w:ascii="仿宋" w:hAnsi="仿宋" w:eastAsia="仿宋" w:cs="仿宋"/>
          <w:sz w:val="32"/>
          <w:szCs w:val="32"/>
          <w:lang w:val="en-US" w:eastAsia="zh-CN"/>
        </w:rPr>
        <w:t>339.06</w:t>
      </w:r>
      <w:r>
        <w:rPr>
          <w:rFonts w:hint="eastAsia" w:ascii="仿宋" w:hAnsi="仿宋" w:eastAsia="仿宋" w:cs="仿宋"/>
          <w:sz w:val="32"/>
          <w:szCs w:val="32"/>
        </w:rPr>
        <w:t>万元，增加</w:t>
      </w:r>
      <w:r>
        <w:rPr>
          <w:rFonts w:hint="eastAsia" w:ascii="仿宋" w:hAnsi="仿宋" w:eastAsia="仿宋" w:cs="仿宋"/>
          <w:sz w:val="32"/>
          <w:szCs w:val="32"/>
          <w:lang w:val="en-US" w:eastAsia="zh-CN"/>
        </w:rPr>
        <w:t>58.59</w:t>
      </w:r>
      <w:r>
        <w:rPr>
          <w:rFonts w:hint="eastAsia" w:ascii="仿宋" w:hAnsi="仿宋" w:eastAsia="仿宋" w:cs="仿宋"/>
          <w:sz w:val="32"/>
          <w:szCs w:val="32"/>
        </w:rPr>
        <w:t>万元，增长</w:t>
      </w:r>
      <w:r>
        <w:rPr>
          <w:rFonts w:hint="eastAsia" w:ascii="仿宋" w:hAnsi="仿宋" w:eastAsia="仿宋" w:cs="仿宋"/>
          <w:sz w:val="32"/>
          <w:szCs w:val="32"/>
          <w:lang w:val="en-US" w:eastAsia="zh-CN"/>
        </w:rPr>
        <w:t>21</w:t>
      </w:r>
      <w:r>
        <w:rPr>
          <w:rFonts w:hint="eastAsia" w:ascii="仿宋" w:hAnsi="仿宋" w:eastAsia="仿宋" w:cs="仿宋"/>
          <w:sz w:val="32"/>
          <w:szCs w:val="32"/>
        </w:rPr>
        <w:t>%，主要是</w:t>
      </w:r>
      <w:r>
        <w:rPr>
          <w:rFonts w:hint="eastAsia" w:ascii="仿宋" w:hAnsi="仿宋" w:eastAsia="仿宋" w:cs="仿宋"/>
          <w:sz w:val="32"/>
          <w:szCs w:val="32"/>
          <w:lang w:val="en-US" w:eastAsia="zh-CN"/>
        </w:rPr>
        <w:t>2018年工资待遇水平提高，社保经费提高</w:t>
      </w:r>
      <w:r>
        <w:rPr>
          <w:rFonts w:hint="eastAsia" w:ascii="仿宋" w:hAnsi="仿宋" w:eastAsia="仿宋" w:cs="仿宋"/>
          <w:sz w:val="32"/>
          <w:szCs w:val="32"/>
        </w:rPr>
        <w:t>。</w:t>
      </w:r>
    </w:p>
    <w:p>
      <w:pPr>
        <w:adjustRightInd w:val="0"/>
        <w:snapToGrid w:val="0"/>
        <w:spacing w:after="0" w:line="580" w:lineRule="exact"/>
        <w:ind w:firstLine="420" w:firstLineChars="200"/>
        <w:rPr>
          <w:rFonts w:hint="eastAsia" w:ascii="仿宋_GB2312" w:eastAsia="仿宋_GB2312" w:cs="DengXian-Regular"/>
          <w:sz w:val="32"/>
          <w:szCs w:val="32"/>
          <w:lang w:val="en-US" w:eastAsia="zh-CN"/>
        </w:rPr>
      </w:pPr>
      <w:r>
        <w:drawing>
          <wp:anchor distT="0" distB="0" distL="114300" distR="114300" simplePos="0" relativeHeight="251695104" behindDoc="0" locked="0" layoutInCell="1" allowOverlap="1">
            <wp:simplePos x="0" y="0"/>
            <wp:positionH relativeFrom="column">
              <wp:posOffset>718820</wp:posOffset>
            </wp:positionH>
            <wp:positionV relativeFrom="paragraph">
              <wp:posOffset>198120</wp:posOffset>
            </wp:positionV>
            <wp:extent cx="4572000" cy="2476500"/>
            <wp:effectExtent l="4445" t="4445" r="14605" b="14605"/>
            <wp:wrapSquare wrapText="bothSides"/>
            <wp:docPr id="66"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r>
        <w:drawing>
          <wp:anchor distT="0" distB="0" distL="114300" distR="114300" simplePos="0" relativeHeight="251694080" behindDoc="0" locked="0" layoutInCell="1" allowOverlap="1">
            <wp:simplePos x="0" y="0"/>
            <wp:positionH relativeFrom="column">
              <wp:posOffset>404495</wp:posOffset>
            </wp:positionH>
            <wp:positionV relativeFrom="paragraph">
              <wp:posOffset>-6245860</wp:posOffset>
            </wp:positionV>
            <wp:extent cx="4572000" cy="2743200"/>
            <wp:effectExtent l="4445" t="4445" r="14605" b="14605"/>
            <wp:wrapSquare wrapText="bothSides"/>
            <wp:docPr id="65"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rPr>
          <w:rFonts w:hint="eastAsia" w:ascii="仿宋_GB2312" w:eastAsia="仿宋_GB2312" w:cs="DengXian-Regular"/>
          <w:sz w:val="32"/>
          <w:szCs w:val="32"/>
          <w:lang w:val="en-US" w:eastAsia="zh-CN"/>
        </w:rPr>
        <w:t xml:space="preserve">     </w:t>
      </w:r>
    </w:p>
    <w:p>
      <w:pPr>
        <w:adjustRightInd w:val="0"/>
        <w:snapToGrid w:val="0"/>
        <w:spacing w:after="0" w:line="580" w:lineRule="exact"/>
        <w:ind w:firstLine="640" w:firstLineChars="200"/>
        <w:rPr>
          <w:rFonts w:hint="eastAsia" w:ascii="仿宋_GB2312" w:eastAsia="仿宋_GB2312" w:cs="DengXian-Regular"/>
          <w:sz w:val="32"/>
          <w:szCs w:val="32"/>
          <w:lang w:val="en-US" w:eastAsia="zh-CN"/>
        </w:rPr>
      </w:pPr>
    </w:p>
    <w:p>
      <w:pPr>
        <w:adjustRightInd w:val="0"/>
        <w:snapToGrid w:val="0"/>
        <w:spacing w:after="0" w:line="580" w:lineRule="exact"/>
        <w:ind w:firstLine="640" w:firstLineChars="200"/>
        <w:rPr>
          <w:rFonts w:hint="eastAsia" w:ascii="仿宋_GB2312" w:eastAsia="仿宋_GB2312" w:cs="DengXian-Regular"/>
          <w:sz w:val="32"/>
          <w:szCs w:val="32"/>
          <w:lang w:val="en-US" w:eastAsia="zh-CN"/>
        </w:rPr>
      </w:pPr>
    </w:p>
    <w:p>
      <w:pPr>
        <w:adjustRightInd w:val="0"/>
        <w:snapToGrid w:val="0"/>
        <w:spacing w:after="0" w:line="580" w:lineRule="exact"/>
        <w:ind w:firstLine="640" w:firstLineChars="200"/>
        <w:rPr>
          <w:rFonts w:hint="eastAsia" w:ascii="仿宋_GB2312" w:eastAsia="仿宋_GB2312" w:cs="DengXian-Regular"/>
          <w:sz w:val="32"/>
          <w:szCs w:val="32"/>
          <w:lang w:val="en-US" w:eastAsia="zh-CN"/>
        </w:rPr>
      </w:pPr>
    </w:p>
    <w:p>
      <w:pPr>
        <w:spacing w:after="0" w:line="580" w:lineRule="exact"/>
        <w:ind w:firstLine="643" w:firstLineChars="200"/>
        <w:rPr>
          <w:rFonts w:ascii="仿宋_GB2312" w:eastAsia="仿宋_GB2312" w:cs="DengXian-Regular"/>
          <w:sz w:val="32"/>
          <w:szCs w:val="32"/>
          <w:highlight w:val="yellow"/>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本部门2018年度一般公共预算财政拨款收入</w:t>
      </w:r>
      <w:r>
        <w:rPr>
          <w:rFonts w:hint="eastAsia" w:ascii="仿宋" w:hAnsi="仿宋" w:eastAsia="仿宋" w:cs="仿宋"/>
          <w:sz w:val="32"/>
          <w:szCs w:val="32"/>
          <w:lang w:val="en-US" w:eastAsia="zh-CN"/>
        </w:rPr>
        <w:t>350.96</w:t>
      </w:r>
      <w:r>
        <w:rPr>
          <w:rFonts w:hint="eastAsia" w:ascii="仿宋" w:hAnsi="仿宋" w:eastAsia="仿宋" w:cs="仿宋"/>
          <w:sz w:val="32"/>
          <w:szCs w:val="32"/>
        </w:rPr>
        <w:t>万元，完成年初预算的</w:t>
      </w:r>
      <w:r>
        <w:rPr>
          <w:rFonts w:hint="eastAsia" w:ascii="仿宋" w:hAnsi="仿宋" w:eastAsia="仿宋" w:cs="仿宋"/>
          <w:sz w:val="32"/>
          <w:szCs w:val="32"/>
          <w:lang w:val="en-US" w:eastAsia="zh-CN"/>
        </w:rPr>
        <w:t>103</w:t>
      </w:r>
      <w:r>
        <w:rPr>
          <w:rFonts w:hint="eastAsia" w:ascii="仿宋" w:hAnsi="仿宋" w:eastAsia="仿宋" w:cs="仿宋"/>
          <w:sz w:val="32"/>
          <w:szCs w:val="32"/>
        </w:rPr>
        <w:t>%,比年初预算增加</w:t>
      </w:r>
      <w:r>
        <w:rPr>
          <w:rFonts w:hint="eastAsia" w:ascii="仿宋" w:hAnsi="仿宋" w:eastAsia="仿宋" w:cs="仿宋"/>
          <w:sz w:val="32"/>
          <w:szCs w:val="32"/>
          <w:lang w:val="en-US" w:eastAsia="zh-CN"/>
        </w:rPr>
        <w:t>10.64</w:t>
      </w:r>
      <w:r>
        <w:rPr>
          <w:rFonts w:hint="eastAsia" w:ascii="仿宋" w:hAnsi="仿宋" w:eastAsia="仿宋" w:cs="仿宋"/>
          <w:sz w:val="32"/>
          <w:szCs w:val="32"/>
        </w:rPr>
        <w:t>万元，决算数大于预算数主要原因是</w:t>
      </w:r>
      <w:r>
        <w:rPr>
          <w:rFonts w:hint="eastAsia" w:ascii="仿宋" w:hAnsi="仿宋" w:eastAsia="仿宋" w:cs="仿宋"/>
          <w:sz w:val="32"/>
          <w:szCs w:val="32"/>
          <w:lang w:val="en-US" w:eastAsia="zh-CN"/>
        </w:rPr>
        <w:t>2018年工资待遇水平提高，社保经费提高</w:t>
      </w:r>
      <w:r>
        <w:rPr>
          <w:rFonts w:hint="eastAsia" w:ascii="仿宋" w:hAnsi="仿宋" w:eastAsia="仿宋" w:cs="仿宋"/>
          <w:sz w:val="32"/>
          <w:szCs w:val="32"/>
        </w:rPr>
        <w:t>；本年支出</w:t>
      </w:r>
      <w:r>
        <w:rPr>
          <w:rFonts w:hint="eastAsia" w:ascii="仿宋" w:hAnsi="仿宋" w:eastAsia="仿宋" w:cs="仿宋"/>
          <w:sz w:val="32"/>
          <w:szCs w:val="32"/>
          <w:lang w:val="en-US" w:eastAsia="zh-CN"/>
        </w:rPr>
        <w:t>339.06</w:t>
      </w:r>
      <w:r>
        <w:rPr>
          <w:rFonts w:hint="eastAsia" w:ascii="仿宋" w:hAnsi="仿宋" w:eastAsia="仿宋" w:cs="仿宋"/>
          <w:sz w:val="32"/>
          <w:szCs w:val="32"/>
        </w:rPr>
        <w:t>万元，完成年初预算的</w:t>
      </w:r>
      <w:r>
        <w:rPr>
          <w:rFonts w:hint="eastAsia" w:ascii="仿宋" w:hAnsi="仿宋" w:eastAsia="仿宋" w:cs="仿宋"/>
          <w:sz w:val="32"/>
          <w:szCs w:val="32"/>
          <w:lang w:val="en-US" w:eastAsia="zh-CN"/>
        </w:rPr>
        <w:t>99.6</w:t>
      </w:r>
      <w:r>
        <w:rPr>
          <w:rFonts w:hint="eastAsia" w:ascii="仿宋" w:hAnsi="仿宋" w:eastAsia="仿宋" w:cs="仿宋"/>
          <w:sz w:val="32"/>
          <w:szCs w:val="32"/>
        </w:rPr>
        <w:t>%,比年初预算</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1.26</w:t>
      </w:r>
      <w:r>
        <w:rPr>
          <w:rFonts w:hint="eastAsia" w:ascii="仿宋" w:hAnsi="仿宋" w:eastAsia="仿宋" w:cs="仿宋"/>
          <w:sz w:val="32"/>
          <w:szCs w:val="32"/>
        </w:rPr>
        <w:t>万元，决算数</w:t>
      </w:r>
      <w:r>
        <w:rPr>
          <w:rFonts w:hint="eastAsia" w:ascii="仿宋" w:hAnsi="仿宋" w:eastAsia="仿宋" w:cs="仿宋"/>
          <w:sz w:val="32"/>
          <w:szCs w:val="32"/>
          <w:lang w:eastAsia="zh-CN"/>
        </w:rPr>
        <w:t>小于</w:t>
      </w:r>
      <w:r>
        <w:rPr>
          <w:rFonts w:hint="eastAsia" w:ascii="仿宋" w:hAnsi="仿宋" w:eastAsia="仿宋" w:cs="仿宋"/>
          <w:sz w:val="32"/>
          <w:szCs w:val="32"/>
        </w:rPr>
        <w:t>预算数主要原因是</w:t>
      </w:r>
      <w:r>
        <w:rPr>
          <w:rFonts w:hint="eastAsia" w:ascii="仿宋" w:hAnsi="仿宋" w:eastAsia="仿宋" w:cs="仿宋"/>
          <w:sz w:val="32"/>
          <w:szCs w:val="32"/>
          <w:lang w:eastAsia="zh-CN"/>
        </w:rPr>
        <w:t>压缩公务用车</w:t>
      </w:r>
      <w:r>
        <w:rPr>
          <w:rFonts w:hint="eastAsia" w:ascii="仿宋" w:hAnsi="仿宋" w:eastAsia="仿宋" w:cs="仿宋"/>
          <w:sz w:val="32"/>
          <w:szCs w:val="32"/>
          <w:lang w:val="en-US" w:eastAsia="zh-CN"/>
        </w:rPr>
        <w:t>支出</w:t>
      </w:r>
      <w:r>
        <w:rPr>
          <w:rFonts w:hint="eastAsia" w:ascii="仿宋" w:hAnsi="仿宋" w:eastAsia="仿宋" w:cs="仿宋"/>
          <w:sz w:val="32"/>
          <w:szCs w:val="32"/>
        </w:rPr>
        <w:t>。</w:t>
      </w:r>
    </w:p>
    <w:p>
      <w:pPr>
        <w:adjustRightInd w:val="0"/>
        <w:snapToGrid w:val="0"/>
        <w:spacing w:after="0" w:line="580" w:lineRule="exact"/>
        <w:ind w:firstLine="640" w:firstLineChars="200"/>
        <w:rPr>
          <w:rFonts w:hint="eastAsia" w:ascii="仿宋" w:hAnsi="仿宋" w:eastAsia="仿宋" w:cs="仿宋"/>
          <w:sz w:val="32"/>
          <w:szCs w:val="32"/>
          <w:highlight w:val="yellow"/>
        </w:rPr>
      </w:pPr>
    </w:p>
    <w:p>
      <w:pPr>
        <w:adjustRightInd w:val="0"/>
        <w:snapToGrid w:val="0"/>
        <w:spacing w:after="0" w:line="580" w:lineRule="exact"/>
        <w:ind w:firstLine="420" w:firstLineChars="200"/>
        <w:rPr>
          <w:rFonts w:ascii="仿宋_GB2312" w:eastAsia="仿宋_GB2312" w:cs="DengXian-Regular"/>
          <w:sz w:val="32"/>
          <w:szCs w:val="32"/>
          <w:highlight w:val="yellow"/>
        </w:rPr>
      </w:pPr>
      <w:r>
        <w:drawing>
          <wp:anchor distT="0" distB="0" distL="114300" distR="114300" simplePos="0" relativeHeight="251696128" behindDoc="0" locked="0" layoutInCell="1" allowOverlap="1">
            <wp:simplePos x="0" y="0"/>
            <wp:positionH relativeFrom="column">
              <wp:posOffset>566420</wp:posOffset>
            </wp:positionH>
            <wp:positionV relativeFrom="paragraph">
              <wp:posOffset>153670</wp:posOffset>
            </wp:positionV>
            <wp:extent cx="4572000" cy="2410460"/>
            <wp:effectExtent l="5080" t="4445" r="13970" b="23495"/>
            <wp:wrapSquare wrapText="bothSides"/>
            <wp:docPr id="67"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2018 年度财政拨款支出</w:t>
      </w:r>
      <w:r>
        <w:rPr>
          <w:rFonts w:hint="eastAsia" w:ascii="仿宋" w:hAnsi="仿宋" w:eastAsia="仿宋" w:cs="仿宋"/>
          <w:sz w:val="32"/>
          <w:szCs w:val="32"/>
          <w:lang w:val="en-US" w:eastAsia="zh-CN"/>
        </w:rPr>
        <w:t>339.06</w:t>
      </w:r>
      <w:r>
        <w:rPr>
          <w:rFonts w:hint="eastAsia" w:ascii="仿宋" w:hAnsi="仿宋" w:eastAsia="仿宋" w:cs="仿宋"/>
          <w:sz w:val="32"/>
          <w:szCs w:val="32"/>
        </w:rPr>
        <w:t>万元，主要用于以下方面</w:t>
      </w:r>
      <w:r>
        <w:rPr>
          <w:rFonts w:hint="eastAsia" w:ascii="仿宋" w:hAnsi="仿宋" w:eastAsia="仿宋" w:cs="仿宋"/>
          <w:sz w:val="32"/>
          <w:szCs w:val="32"/>
          <w:lang w:val="en-US" w:eastAsia="zh-CN"/>
        </w:rPr>
        <w:t>:</w:t>
      </w:r>
      <w:r>
        <w:rPr>
          <w:rFonts w:hint="eastAsia" w:ascii="仿宋" w:hAnsi="仿宋" w:eastAsia="仿宋" w:cs="仿宋"/>
          <w:sz w:val="32"/>
          <w:szCs w:val="32"/>
        </w:rPr>
        <w:t>一般公共服务（类）支出</w:t>
      </w:r>
      <w:r>
        <w:rPr>
          <w:rFonts w:hint="eastAsia" w:ascii="仿宋" w:hAnsi="仿宋" w:eastAsia="仿宋" w:cs="仿宋"/>
          <w:sz w:val="32"/>
          <w:szCs w:val="32"/>
          <w:lang w:val="en-US" w:eastAsia="zh-CN"/>
        </w:rPr>
        <w:t>3.93</w:t>
      </w:r>
      <w:r>
        <w:rPr>
          <w:rFonts w:hint="eastAsia" w:ascii="仿宋" w:hAnsi="仿宋" w:eastAsia="仿宋" w:cs="仿宋"/>
          <w:sz w:val="32"/>
          <w:szCs w:val="32"/>
        </w:rPr>
        <w:t>万元，占</w:t>
      </w:r>
      <w:r>
        <w:rPr>
          <w:rFonts w:hint="eastAsia" w:ascii="仿宋" w:hAnsi="仿宋" w:eastAsia="仿宋" w:cs="仿宋"/>
          <w:sz w:val="32"/>
          <w:szCs w:val="32"/>
          <w:lang w:val="en-US" w:eastAsia="zh-CN"/>
        </w:rPr>
        <w:t>1.2</w:t>
      </w:r>
      <w:r>
        <w:rPr>
          <w:rFonts w:hint="eastAsia" w:ascii="仿宋" w:hAnsi="仿宋" w:eastAsia="仿宋" w:cs="仿宋"/>
          <w:sz w:val="32"/>
          <w:szCs w:val="32"/>
        </w:rPr>
        <w:t>%；教育（类）支出</w:t>
      </w:r>
      <w:r>
        <w:rPr>
          <w:rFonts w:hint="eastAsia" w:ascii="仿宋" w:hAnsi="仿宋" w:eastAsia="仿宋" w:cs="仿宋"/>
          <w:sz w:val="32"/>
          <w:szCs w:val="32"/>
          <w:lang w:val="en-US" w:eastAsia="zh-CN"/>
        </w:rPr>
        <w:t>281.63</w:t>
      </w:r>
      <w:r>
        <w:rPr>
          <w:rFonts w:hint="eastAsia" w:ascii="仿宋" w:hAnsi="仿宋" w:eastAsia="仿宋" w:cs="仿宋"/>
          <w:sz w:val="32"/>
          <w:szCs w:val="32"/>
        </w:rPr>
        <w:t>万元，占</w:t>
      </w:r>
      <w:r>
        <w:rPr>
          <w:rFonts w:hint="eastAsia" w:ascii="仿宋" w:hAnsi="仿宋" w:eastAsia="仿宋" w:cs="仿宋"/>
          <w:sz w:val="32"/>
          <w:szCs w:val="32"/>
          <w:lang w:val="en-US" w:eastAsia="zh-CN"/>
        </w:rPr>
        <w:t>83.1</w:t>
      </w:r>
      <w:r>
        <w:rPr>
          <w:rFonts w:hint="eastAsia" w:ascii="仿宋" w:hAnsi="仿宋" w:eastAsia="仿宋" w:cs="仿宋"/>
          <w:sz w:val="32"/>
          <w:szCs w:val="32"/>
        </w:rPr>
        <w:t xml:space="preserve">%；社会保障和就业（类）支出 </w:t>
      </w:r>
      <w:r>
        <w:rPr>
          <w:rFonts w:hint="eastAsia" w:ascii="仿宋" w:hAnsi="仿宋" w:eastAsia="仿宋" w:cs="仿宋"/>
          <w:sz w:val="32"/>
          <w:szCs w:val="32"/>
          <w:lang w:val="en-US" w:eastAsia="zh-CN"/>
        </w:rPr>
        <w:t>22.06</w:t>
      </w:r>
      <w:r>
        <w:rPr>
          <w:rFonts w:hint="eastAsia" w:ascii="仿宋" w:hAnsi="仿宋" w:eastAsia="仿宋" w:cs="仿宋"/>
          <w:sz w:val="32"/>
          <w:szCs w:val="32"/>
        </w:rPr>
        <w:t>万元，占</w:t>
      </w:r>
      <w:r>
        <w:rPr>
          <w:rFonts w:hint="eastAsia" w:ascii="仿宋" w:hAnsi="仿宋" w:eastAsia="仿宋" w:cs="仿宋"/>
          <w:sz w:val="32"/>
          <w:szCs w:val="32"/>
          <w:lang w:val="en-US" w:eastAsia="zh-CN"/>
        </w:rPr>
        <w:t>6.5</w:t>
      </w:r>
      <w:r>
        <w:rPr>
          <w:rFonts w:hint="eastAsia" w:ascii="仿宋" w:hAnsi="仿宋" w:eastAsia="仿宋" w:cs="仿宋"/>
          <w:sz w:val="32"/>
          <w:szCs w:val="32"/>
        </w:rPr>
        <w:t>%；</w:t>
      </w:r>
      <w:r>
        <w:rPr>
          <w:rFonts w:hint="eastAsia" w:ascii="仿宋" w:hAnsi="仿宋" w:eastAsia="仿宋" w:cs="仿宋"/>
          <w:sz w:val="32"/>
          <w:szCs w:val="32"/>
          <w:lang w:eastAsia="zh-CN"/>
        </w:rPr>
        <w:t>医疗卫生与计划生育（类）支出</w:t>
      </w:r>
      <w:r>
        <w:rPr>
          <w:rFonts w:hint="eastAsia" w:ascii="仿宋" w:hAnsi="仿宋" w:eastAsia="仿宋" w:cs="仿宋"/>
          <w:sz w:val="32"/>
          <w:szCs w:val="32"/>
          <w:lang w:val="en-US" w:eastAsia="zh-CN"/>
        </w:rPr>
        <w:t>15.75万元，占4.6%；</w:t>
      </w:r>
      <w:r>
        <w:rPr>
          <w:rFonts w:hint="eastAsia" w:ascii="仿宋" w:hAnsi="仿宋" w:eastAsia="仿宋" w:cs="仿宋"/>
          <w:sz w:val="32"/>
          <w:szCs w:val="32"/>
        </w:rPr>
        <w:t>住房保障（类）支出</w:t>
      </w:r>
      <w:r>
        <w:rPr>
          <w:rFonts w:hint="eastAsia" w:ascii="仿宋" w:hAnsi="仿宋" w:eastAsia="仿宋" w:cs="仿宋"/>
          <w:sz w:val="32"/>
          <w:szCs w:val="32"/>
          <w:lang w:val="en-US" w:eastAsia="zh-CN"/>
        </w:rPr>
        <w:t>15.68</w:t>
      </w:r>
      <w:r>
        <w:rPr>
          <w:rFonts w:hint="eastAsia" w:ascii="仿宋" w:hAnsi="仿宋" w:eastAsia="仿宋" w:cs="仿宋"/>
          <w:sz w:val="32"/>
          <w:szCs w:val="32"/>
        </w:rPr>
        <w:t>万元，占</w:t>
      </w:r>
      <w:r>
        <w:rPr>
          <w:rFonts w:hint="eastAsia" w:ascii="仿宋" w:hAnsi="仿宋" w:eastAsia="仿宋" w:cs="仿宋"/>
          <w:sz w:val="32"/>
          <w:szCs w:val="32"/>
          <w:lang w:val="en-US" w:eastAsia="zh-CN"/>
        </w:rPr>
        <w:t>4.6</w:t>
      </w:r>
      <w:r>
        <w:rPr>
          <w:rFonts w:hint="eastAsia" w:ascii="仿宋" w:hAnsi="仿宋" w:eastAsia="仿宋" w:cs="仿宋"/>
          <w:sz w:val="32"/>
          <w:szCs w:val="32"/>
        </w:rPr>
        <w:t>%。</w:t>
      </w:r>
    </w:p>
    <w:p>
      <w:pPr>
        <w:adjustRightInd w:val="0"/>
        <w:snapToGrid w:val="0"/>
        <w:spacing w:after="0" w:line="580" w:lineRule="exact"/>
      </w:pPr>
    </w:p>
    <w:p>
      <w:pPr>
        <w:adjustRightInd w:val="0"/>
        <w:snapToGrid w:val="0"/>
        <w:spacing w:after="0" w:line="580" w:lineRule="exact"/>
      </w:pPr>
      <w:r>
        <w:drawing>
          <wp:anchor distT="0" distB="0" distL="114300" distR="114300" simplePos="0" relativeHeight="251697152" behindDoc="0" locked="0" layoutInCell="1" allowOverlap="1">
            <wp:simplePos x="0" y="0"/>
            <wp:positionH relativeFrom="column">
              <wp:posOffset>509270</wp:posOffset>
            </wp:positionH>
            <wp:positionV relativeFrom="paragraph">
              <wp:posOffset>245745</wp:posOffset>
            </wp:positionV>
            <wp:extent cx="4752340" cy="2980690"/>
            <wp:effectExtent l="5080" t="4445" r="5080" b="5715"/>
            <wp:wrapSquare wrapText="bothSides"/>
            <wp:docPr id="68"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pPr>
        <w:adjustRightInd w:val="0"/>
        <w:snapToGrid w:val="0"/>
        <w:spacing w:after="0" w:line="580" w:lineRule="exact"/>
      </w:pPr>
    </w:p>
    <w:p>
      <w:pPr>
        <w:adjustRightInd w:val="0"/>
        <w:snapToGrid w:val="0"/>
        <w:spacing w:after="0" w:line="580" w:lineRule="exact"/>
      </w:pPr>
    </w:p>
    <w:p>
      <w:pPr>
        <w:adjustRightInd w:val="0"/>
        <w:snapToGrid w:val="0"/>
        <w:spacing w:after="0" w:line="580" w:lineRule="exact"/>
      </w:pPr>
    </w:p>
    <w:p>
      <w:pPr>
        <w:adjustRightInd w:val="0"/>
        <w:snapToGrid w:val="0"/>
        <w:spacing w:after="0" w:line="580" w:lineRule="exact"/>
      </w:pPr>
    </w:p>
    <w:p>
      <w:pPr>
        <w:adjustRightInd w:val="0"/>
        <w:snapToGrid w:val="0"/>
        <w:spacing w:after="0" w:line="580" w:lineRule="exact"/>
      </w:pPr>
    </w:p>
    <w:p>
      <w:pPr>
        <w:adjustRightInd w:val="0"/>
        <w:snapToGrid w:val="0"/>
        <w:spacing w:after="0" w:line="580" w:lineRule="exact"/>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hint="eastAsia"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sz w:val="44"/>
        </w:rPr>
        <mc:AlternateContent>
          <mc:Choice Requires="wpg">
            <w:drawing>
              <wp:anchor distT="0" distB="0" distL="114300" distR="114300" simplePos="0" relativeHeight="251685888"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9" name="组合 79"/>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5888;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 w:hAnsi="仿宋" w:eastAsia="仿宋" w:cs="仿宋"/>
          <w:sz w:val="32"/>
          <w:szCs w:val="32"/>
        </w:rPr>
        <w:t>2018 年度一般公共预算财政拨款基本支出</w:t>
      </w:r>
      <w:r>
        <w:rPr>
          <w:rFonts w:hint="eastAsia" w:ascii="仿宋" w:hAnsi="仿宋" w:eastAsia="仿宋" w:cs="仿宋"/>
          <w:sz w:val="32"/>
          <w:szCs w:val="32"/>
          <w:lang w:val="en-US" w:eastAsia="zh-CN"/>
        </w:rPr>
        <w:t>319.06</w:t>
      </w:r>
      <w:r>
        <w:rPr>
          <w:rFonts w:hint="eastAsia" w:ascii="仿宋" w:hAnsi="仿宋" w:eastAsia="仿宋" w:cs="仿宋"/>
          <w:sz w:val="32"/>
          <w:szCs w:val="32"/>
        </w:rPr>
        <w:t>万元，其中：人员经费</w:t>
      </w:r>
      <w:r>
        <w:rPr>
          <w:rFonts w:hint="eastAsia" w:ascii="仿宋" w:hAnsi="仿宋" w:eastAsia="仿宋" w:cs="仿宋"/>
          <w:sz w:val="32"/>
          <w:szCs w:val="32"/>
          <w:lang w:val="en-US" w:eastAsia="zh-CN"/>
        </w:rPr>
        <w:t>273.97</w:t>
      </w:r>
      <w:r>
        <w:rPr>
          <w:rFonts w:hint="eastAsia" w:ascii="仿宋" w:hAnsi="仿宋" w:eastAsia="仿宋" w:cs="仿宋"/>
          <w:sz w:val="32"/>
          <w:szCs w:val="32"/>
        </w:rPr>
        <w:t>万元，主要包括基本工资、津贴补贴、奖金、伙食补助费、绩效工资、机关事业单位基本养老保险缴费、职业年金缴费、职工基本医疗保险缴</w:t>
      </w:r>
      <w:r>
        <w:rPr>
          <w:rFonts w:hint="eastAsia" w:ascii="仿宋_GB2312" w:eastAsia="仿宋_GB2312" w:cs="DengXian-Regular"/>
          <w:sz w:val="32"/>
          <w:szCs w:val="32"/>
        </w:rPr>
        <w:t>费、公务员医疗补助缴费、住房公积金、医疗费、其他社会保障缴费、其他工资福利支出、离休费、退休费、抚恤金、生活补助、医疗费补助、奖励金、其他对个人和家庭的</w:t>
      </w:r>
      <w:r>
        <w:rPr>
          <w:rFonts w:hint="eastAsia" w:ascii="仿宋" w:hAnsi="仿宋" w:eastAsia="仿宋" w:cs="仿宋"/>
          <w:sz w:val="32"/>
          <w:szCs w:val="32"/>
        </w:rPr>
        <w:t>补助支出；公用经费</w:t>
      </w:r>
      <w:r>
        <w:rPr>
          <w:rFonts w:hint="eastAsia" w:ascii="仿宋" w:hAnsi="仿宋" w:eastAsia="仿宋" w:cs="仿宋"/>
          <w:sz w:val="32"/>
          <w:szCs w:val="32"/>
          <w:lang w:val="en-US" w:eastAsia="zh-CN"/>
        </w:rPr>
        <w:t>45.09</w:t>
      </w:r>
      <w:r>
        <w:rPr>
          <w:rFonts w:hint="eastAsia" w:ascii="仿宋" w:hAnsi="仿宋" w:eastAsia="仿宋" w:cs="仿宋"/>
          <w:sz w:val="32"/>
          <w:szCs w:val="32"/>
        </w:rPr>
        <w:t>万元，主要包</w:t>
      </w:r>
      <w:r>
        <w:rPr>
          <w:rFonts w:hint="eastAsia" w:ascii="仿宋_GB2312" w:eastAsia="仿宋_GB2312" w:cs="DengXian-Regular"/>
          <w:sz w:val="32"/>
          <w:szCs w:val="32"/>
        </w:rPr>
        <w:t>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_GB2312" w:eastAsia="仿宋_GB2312" w:cs="DengXian-Regular"/>
          <w:sz w:val="32"/>
          <w:szCs w:val="32"/>
          <w:lang w:val="en-US" w:eastAsia="zh-CN"/>
        </w:rPr>
        <w:t>0.62</w:t>
      </w:r>
      <w:r>
        <w:rPr>
          <w:rFonts w:hint="eastAsia" w:ascii="仿宋_GB2312" w:eastAsia="仿宋_GB2312" w:cs="DengXian-Regular"/>
          <w:sz w:val="32"/>
          <w:szCs w:val="32"/>
        </w:rPr>
        <w:t>万元，</w:t>
      </w:r>
      <w:r>
        <w:rPr>
          <w:rFonts w:hint="eastAsia" w:ascii="仿宋" w:hAnsi="仿宋" w:eastAsia="仿宋" w:cs="仿宋"/>
          <w:b w:val="0"/>
          <w:bCs w:val="0"/>
          <w:sz w:val="32"/>
          <w:szCs w:val="32"/>
        </w:rPr>
        <w:t>较年初预算减少</w:t>
      </w:r>
      <w:r>
        <w:rPr>
          <w:rFonts w:hint="eastAsia" w:ascii="仿宋" w:hAnsi="仿宋" w:eastAsia="仿宋" w:cs="仿宋"/>
          <w:b w:val="0"/>
          <w:bCs w:val="0"/>
          <w:sz w:val="32"/>
          <w:szCs w:val="32"/>
          <w:lang w:val="en-US" w:eastAsia="zh-CN"/>
        </w:rPr>
        <w:t>2.08</w:t>
      </w:r>
      <w:r>
        <w:rPr>
          <w:rFonts w:hint="eastAsia" w:ascii="仿宋" w:hAnsi="仿宋" w:eastAsia="仿宋" w:cs="仿宋"/>
          <w:b w:val="0"/>
          <w:bCs w:val="0"/>
          <w:sz w:val="32"/>
          <w:szCs w:val="32"/>
        </w:rPr>
        <w:t>万元，降低</w:t>
      </w:r>
      <w:r>
        <w:rPr>
          <w:rFonts w:hint="eastAsia" w:ascii="仿宋" w:hAnsi="仿宋" w:eastAsia="仿宋" w:cs="仿宋"/>
          <w:b w:val="0"/>
          <w:bCs w:val="0"/>
          <w:sz w:val="32"/>
          <w:szCs w:val="32"/>
          <w:lang w:val="en-US" w:eastAsia="zh-CN"/>
        </w:rPr>
        <w:t>77</w:t>
      </w:r>
      <w:r>
        <w:rPr>
          <w:rFonts w:hint="eastAsia" w:ascii="仿宋" w:hAnsi="仿宋" w:eastAsia="仿宋" w:cs="仿宋"/>
          <w:b w:val="0"/>
          <w:bCs w:val="0"/>
          <w:sz w:val="32"/>
          <w:szCs w:val="32"/>
        </w:rPr>
        <w:t>%，主要是认真贯彻落实中央</w:t>
      </w:r>
      <w:r>
        <w:rPr>
          <w:rFonts w:hint="eastAsia" w:ascii="仿宋_GB2312" w:eastAsia="仿宋_GB2312" w:cs="DengXian-Regular"/>
          <w:sz w:val="32"/>
          <w:szCs w:val="32"/>
        </w:rPr>
        <w:t>八项规定精神和厉行节约要求，从严控制“三公”经费开支，全年实际支出比预算有所节约。具体情况如下：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86912"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2" name="组合 82"/>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691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一）因公出国（境</w:t>
      </w:r>
      <w:bookmarkStart w:id="0" w:name="_GoBack"/>
      <w:bookmarkEnd w:id="0"/>
      <w:r>
        <w:rPr>
          <w:rFonts w:hint="eastAsia" w:ascii="楷体_GB2312" w:eastAsia="楷体_GB2312" w:cs="DengXian-Bold"/>
          <w:b/>
          <w:bCs/>
          <w:sz w:val="32"/>
          <w:szCs w:val="32"/>
        </w:rPr>
        <w:t>）费支出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人/无本单位组织的出国（境）团组。</w:t>
      </w:r>
      <w:r>
        <w:rPr>
          <w:rFonts w:hint="eastAsia" w:ascii="仿宋_GB2312" w:eastAsia="仿宋_GB2312" w:cs="DengXian-Regular"/>
          <w:sz w:val="32"/>
          <w:szCs w:val="32"/>
          <w:lang w:eastAsia="zh-CN"/>
        </w:rPr>
        <w:t>未发生</w:t>
      </w:r>
      <w:r>
        <w:rPr>
          <w:rFonts w:hint="eastAsia" w:ascii="仿宋_GB2312" w:eastAsia="仿宋_GB2312" w:cs="DengXian-Regular"/>
          <w:sz w:val="32"/>
          <w:szCs w:val="32"/>
        </w:rPr>
        <w:t>因公出国（境）费支出</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年初预算</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0.62</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w:t>
      </w:r>
      <w:r>
        <w:rPr>
          <w:rFonts w:hint="eastAsia" w:ascii="仿宋_GB2312" w:eastAsia="仿宋_GB2312" w:cs="DengXian-Regular"/>
          <w:sz w:val="32"/>
          <w:szCs w:val="32"/>
          <w:lang w:val="en-US" w:eastAsia="zh-CN"/>
        </w:rPr>
        <w:t>2.08</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77</w:t>
      </w:r>
      <w:r>
        <w:rPr>
          <w:rFonts w:hint="eastAsia" w:ascii="仿宋_GB2312" w:eastAsia="仿宋_GB2312" w:cs="DengXian-Regular"/>
          <w:sz w:val="32"/>
          <w:szCs w:val="32"/>
        </w:rPr>
        <w:t>%,主要是认真贯彻落实中央八项规定精神和厉行节约要求，从严控制“三公”经费开支，全年实际支出比预算有所节约。</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color w:val="000000" w:themeColor="text1"/>
          <w:sz w:val="32"/>
          <w:szCs w:val="32"/>
          <w14:textFill>
            <w14:solidFill>
              <w14:schemeClr w14:val="tx1"/>
            </w14:solidFill>
          </w14:textFill>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辆，发生“公务用车购置”经费支出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未发生</w:t>
      </w:r>
      <w:r>
        <w:rPr>
          <w:rFonts w:hint="eastAsia" w:ascii="仿宋_GB2312" w:eastAsia="仿宋_GB2312" w:cs="DengXian-Regular"/>
          <w:sz w:val="32"/>
          <w:szCs w:val="32"/>
        </w:rPr>
        <w:t>公务用车购置费支出</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年初预算</w:t>
      </w:r>
      <w:r>
        <w:rPr>
          <w:rFonts w:hint="eastAsia" w:ascii="仿宋_GB2312" w:eastAsia="仿宋_GB2312" w:cs="DengXian-Regular"/>
          <w:sz w:val="32"/>
          <w:szCs w:val="32"/>
          <w:lang w:eastAsia="zh-CN"/>
        </w:rPr>
        <w:t>持平。</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辆。公车运行维护费支出较年初预算减少</w:t>
      </w:r>
      <w:r>
        <w:rPr>
          <w:rFonts w:hint="eastAsia" w:ascii="仿宋_GB2312" w:eastAsia="仿宋_GB2312" w:cs="DengXian-Regular"/>
          <w:sz w:val="32"/>
          <w:szCs w:val="32"/>
          <w:lang w:val="en-US" w:eastAsia="zh-CN"/>
        </w:rPr>
        <w:t>2.08</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77</w:t>
      </w:r>
      <w:r>
        <w:rPr>
          <w:rFonts w:hint="eastAsia" w:ascii="仿宋_GB2312" w:eastAsia="仿宋_GB2312" w:cs="DengXian-Regular"/>
          <w:sz w:val="32"/>
          <w:szCs w:val="32"/>
        </w:rPr>
        <w:t>%,主要是认真贯彻落实中央八项规定精神和厉行节约要求，从严控制“三公”经费开支，全年实际支出比预算有所节约。</w:t>
      </w:r>
    </w:p>
    <w:p>
      <w:pPr>
        <w:adjustRightInd w:val="0"/>
        <w:snapToGrid w:val="0"/>
        <w:spacing w:after="0" w:line="580" w:lineRule="exact"/>
        <w:ind w:firstLine="643" w:firstLineChars="200"/>
        <w:rPr>
          <w:rFonts w:ascii="仿宋_GB2312" w:eastAsia="仿宋_GB2312" w:cs="DengXian-Regular"/>
          <w:sz w:val="32"/>
          <w:szCs w:val="32"/>
          <w:highlight w:val="yellow"/>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sz w:val="44"/>
        </w:rPr>
        <mc:AlternateContent>
          <mc:Choice Requires="wpg">
            <w:drawing>
              <wp:anchor distT="0" distB="0" distL="114300" distR="114300" simplePos="0" relativeHeight="251687936"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5"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793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本部门2018年度公务接待共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人次。</w:t>
      </w:r>
      <w:r>
        <w:rPr>
          <w:rFonts w:hint="eastAsia" w:ascii="仿宋_GB2312" w:eastAsia="仿宋_GB2312" w:cs="DengXian-Regular"/>
          <w:sz w:val="32"/>
          <w:szCs w:val="32"/>
          <w:lang w:eastAsia="zh-CN"/>
        </w:rPr>
        <w:t>未发生</w:t>
      </w:r>
      <w:r>
        <w:rPr>
          <w:rFonts w:hint="eastAsia" w:ascii="仿宋_GB2312" w:eastAsia="仿宋_GB2312" w:cs="DengXian-Regular"/>
          <w:sz w:val="32"/>
          <w:szCs w:val="32"/>
        </w:rPr>
        <w:t>公务接待费支出</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年初预算</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w:t>
      </w:r>
    </w:p>
    <w:p>
      <w:pPr>
        <w:pStyle w:val="3"/>
        <w:spacing w:before="0" w:after="0" w:line="500" w:lineRule="exact"/>
        <w:ind w:firstLine="643" w:firstLineChars="200"/>
        <w:rPr>
          <w:rFonts w:ascii="黑体" w:eastAsia="黑体" w:cs="Times New Roman"/>
          <w:shd w:val="pct10" w:color="auto" w:fill="FFFFFF"/>
        </w:rPr>
      </w:pPr>
      <w:r>
        <w:rPr>
          <w:rFonts w:hint="eastAsia" w:ascii="黑体" w:eastAsia="黑体"/>
          <w:szCs w:val="40"/>
        </w:rPr>
        <w:t>六、</w:t>
      </w:r>
      <w:r>
        <w:rPr>
          <w:rFonts w:hint="eastAsia" w:ascii="黑体" w:eastAsia="黑体" w:cs="Times New Roman"/>
          <w:b/>
          <w:bCs/>
          <w:shd w:val="clear" w:color="auto" w:fill="auto"/>
        </w:rPr>
        <w:t>绩效预算情况说明</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（一）绩效管理工作开展情况。根据《关于开展2018年度财政专项资金部门绩效自评价工作的通知》（石财绩</w:t>
      </w:r>
      <w:r>
        <w:rPr>
          <w:rFonts w:hint="eastAsia" w:asciiTheme="majorEastAsia" w:hAnsiTheme="majorEastAsia" w:eastAsiaTheme="majorEastAsia" w:cstheme="majorEastAsia"/>
          <w:sz w:val="32"/>
          <w:szCs w:val="32"/>
        </w:rPr>
        <w:t>[</w:t>
      </w:r>
      <w:r>
        <w:rPr>
          <w:rFonts w:hint="eastAsia" w:asciiTheme="majorEastAsia" w:hAnsiTheme="majorEastAsia" w:eastAsiaTheme="majorEastAsia" w:cstheme="majorEastAsia"/>
          <w:sz w:val="32"/>
          <w:szCs w:val="32"/>
          <w:lang w:val="en-US" w:eastAsia="zh-CN"/>
        </w:rPr>
        <w:t>2019</w:t>
      </w:r>
      <w:r>
        <w:rPr>
          <w:rFonts w:hint="eastAsia" w:asciiTheme="majorEastAsia" w:hAnsiTheme="majorEastAsia" w:eastAsiaTheme="majorEastAsia" w:cstheme="majorEastAsia"/>
          <w:b w:val="0"/>
          <w:bCs w:val="0"/>
          <w:sz w:val="32"/>
          <w:szCs w:val="32"/>
          <w:lang w:val="en-US" w:eastAsia="zh-CN"/>
        </w:rPr>
        <w:t>]</w:t>
      </w:r>
      <w:r>
        <w:rPr>
          <w:rFonts w:hint="eastAsia" w:ascii="仿宋_GB2312" w:eastAsia="仿宋_GB2312" w:cs="DengXian-Regular"/>
          <w:sz w:val="32"/>
          <w:szCs w:val="32"/>
        </w:rPr>
        <w:t>1号），本单位认真开展了预算绩效管理改革开展情况自查，对部门全面规范绩效预算编制、严格预算执行管理、推进绩效评价工作、推进预决算信息公开等方面进行了自评，考核结果为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sz w:val="32"/>
          <w:szCs w:val="32"/>
          <w:lang w:eastAsia="zh-CN"/>
        </w:rPr>
        <w:t>良好</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（二）预算项目绩效评价开展情况</w:t>
      </w:r>
      <w:r>
        <w:rPr>
          <w:rFonts w:hint="eastAsia" w:ascii="仿宋_GB2312" w:eastAsia="仿宋_GB2312" w:cs="DengXian-Regular"/>
          <w:sz w:val="32"/>
          <w:szCs w:val="32"/>
          <w:lang w:eastAsia="zh-CN"/>
        </w:rPr>
        <w:t>。</w:t>
      </w:r>
      <w:r>
        <w:rPr>
          <w:rFonts w:hint="eastAsia" w:ascii="仿宋_GB2312" w:eastAsia="仿宋_GB2312" w:cs="DengXian-Regular"/>
          <w:sz w:val="32"/>
          <w:szCs w:val="32"/>
        </w:rPr>
        <w:t>根据预算绩效管理要求，本单位组织对2017年度一般公共预算项目支出全面开展绩效自评，涉及专项教学培训运行经费</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个项目，涉及资金</w:t>
      </w:r>
      <w:r>
        <w:rPr>
          <w:rFonts w:hint="eastAsia" w:ascii="仿宋_GB2312" w:eastAsia="仿宋_GB2312" w:cs="DengXian-Regular"/>
          <w:sz w:val="32"/>
          <w:szCs w:val="32"/>
          <w:lang w:val="en-US" w:eastAsia="zh-CN"/>
        </w:rPr>
        <w:t>20</w:t>
      </w:r>
      <w:r>
        <w:rPr>
          <w:rFonts w:hint="eastAsia" w:ascii="仿宋_GB2312" w:eastAsia="仿宋_GB2312" w:cs="DengXian-Regular"/>
          <w:sz w:val="32"/>
          <w:szCs w:val="32"/>
        </w:rPr>
        <w:t>万元。从评价情况看，评价结果为优秀的项目有</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个，良好的项目有</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个，一般的项目有</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本单位无民生项目和重点支出项目。</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w:t>
      </w:r>
      <w:r>
        <w:rPr>
          <w:rFonts w:hint="eastAsia" w:ascii="楷体_GB2312" w:eastAsia="楷体_GB2312" w:cs="DengXian-Bold"/>
          <w:lang w:eastAsia="zh-CN"/>
        </w:rPr>
        <w:t>一</w:t>
      </w:r>
      <w:r>
        <w:rPr>
          <w:rFonts w:hint="eastAsia" w:ascii="楷体_GB2312" w:eastAsia="楷体_GB2312" w:cs="DengXian-Bold"/>
        </w:rPr>
        <w:t>）政府采购情况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w:t>
      </w:r>
      <w:r>
        <w:rPr>
          <w:rFonts w:hint="eastAsia" w:ascii="楷体_GB2312" w:eastAsia="楷体_GB2312" w:cs="DengXian-Bold"/>
          <w:lang w:eastAsia="zh-CN"/>
        </w:rPr>
        <w:t>二</w:t>
      </w:r>
      <w:r>
        <w:rPr>
          <w:rFonts w:hint="eastAsia" w:ascii="楷体_GB2312" w:eastAsia="楷体_GB2312" w:cs="DengXian-Bold"/>
        </w:rPr>
        <w:t>）国有资产占用情况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辆，比上年增加（减少）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辆。其中，副部（省）级及以上领导用车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辆，主要领导干部用车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辆，机要通信用车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辆，应急保障用车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辆，执法执勤用车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辆，特种专业技术用车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辆，离退休干部用车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台（套），比上年增加（减少）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台（套）比上年增加（减少）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套。</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w:t>
      </w:r>
      <w:r>
        <w:rPr>
          <w:rFonts w:hint="eastAsia" w:ascii="楷体_GB2312" w:eastAsia="楷体_GB2312" w:cs="DengXian-Bold"/>
          <w:lang w:eastAsia="zh-CN"/>
        </w:rPr>
        <w:t>三</w:t>
      </w:r>
      <w:r>
        <w:rPr>
          <w:rFonts w:hint="eastAsia" w:ascii="楷体_GB2312" w:eastAsia="楷体_GB2312" w:cs="DengXian-Bold"/>
        </w:rPr>
        <w:t>）其他需要说明的情况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1、本部门2018年度</w:t>
      </w:r>
      <w:r>
        <w:rPr>
          <w:rFonts w:hint="eastAsia" w:ascii="仿宋_GB2312" w:eastAsia="仿宋_GB2312" w:cs="DengXian-Regular"/>
          <w:sz w:val="32"/>
          <w:szCs w:val="32"/>
          <w:lang w:eastAsia="zh-CN"/>
        </w:rPr>
        <w:t>无政府性基金预算支出，</w:t>
      </w:r>
      <w:r>
        <w:rPr>
          <w:rFonts w:hint="eastAsia" w:ascii="仿宋_GB2312" w:eastAsia="仿宋_GB2312" w:cs="DengXian-Regular"/>
          <w:sz w:val="32"/>
          <w:szCs w:val="32"/>
        </w:rPr>
        <w:t>无收支及结转结余情况，故</w:t>
      </w:r>
      <w:r>
        <w:rPr>
          <w:rFonts w:hint="eastAsia" w:ascii="仿宋_GB2312" w:eastAsia="仿宋_GB2312" w:cs="DengXian-Regular"/>
          <w:sz w:val="32"/>
          <w:szCs w:val="32"/>
          <w:lang w:eastAsia="zh-CN"/>
        </w:rPr>
        <w:t>政府性基金预算财政预算收入支出决算表</w:t>
      </w:r>
      <w:r>
        <w:rPr>
          <w:rFonts w:hint="eastAsia" w:ascii="仿宋_GB2312" w:eastAsia="仿宋_GB2312" w:cs="DengXian-Regular"/>
          <w:sz w:val="32"/>
          <w:szCs w:val="32"/>
        </w:rPr>
        <w:t>以空表列示。</w:t>
      </w:r>
    </w:p>
    <w:p>
      <w:pPr>
        <w:adjustRightInd w:val="0"/>
        <w:snapToGrid w:val="0"/>
        <w:spacing w:after="0" w:line="580" w:lineRule="exact"/>
        <w:ind w:firstLine="640" w:firstLineChars="200"/>
        <w:rPr>
          <w:rFonts w:hint="default" w:ascii="仿宋_GB2312" w:eastAsia="仿宋_GB2312" w:cs="DengXian-Regular"/>
          <w:sz w:val="32"/>
          <w:szCs w:val="32"/>
          <w:lang w:val="en-US" w:eastAsia="zh-CN"/>
        </w:rPr>
      </w:pPr>
      <w:r>
        <w:rPr>
          <w:rFonts w:hint="eastAsia" w:ascii="仿宋_GB2312" w:eastAsia="仿宋_GB2312" w:cs="DengXian-Regular"/>
          <w:sz w:val="32"/>
          <w:szCs w:val="32"/>
        </w:rPr>
        <w:t>2、</w:t>
      </w:r>
      <w:r>
        <w:rPr>
          <w:rFonts w:hint="eastAsia" w:ascii="仿宋_GB2312" w:eastAsia="仿宋_GB2312" w:cs="DengXian-Regular"/>
          <w:sz w:val="32"/>
          <w:szCs w:val="32"/>
          <w:lang w:eastAsia="zh-CN"/>
        </w:rPr>
        <w:t>本部门</w:t>
      </w:r>
      <w:r>
        <w:rPr>
          <w:rFonts w:hint="eastAsia" w:ascii="仿宋_GB2312" w:eastAsia="仿宋_GB2312" w:cs="DengXian-Regular"/>
          <w:sz w:val="32"/>
          <w:szCs w:val="32"/>
          <w:lang w:val="en-US" w:eastAsia="zh-CN"/>
        </w:rPr>
        <w:t>2018年度无国有资本经营预算财政拨款支出，故国有资本经营预算财政拨款支出决算表以空表列示。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由于决算公开表格中金额数值应当保留两位小数，公开数据为四舍五入计算结</w:t>
      </w:r>
      <w:r>
        <w:rPr>
          <w:sz w:val="44"/>
        </w:rPr>
        <mc:AlternateContent>
          <mc:Choice Requires="wpg">
            <w:drawing>
              <wp:anchor distT="0" distB="0" distL="114300" distR="114300" simplePos="0" relativeHeight="251688960"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91" name="组合 91"/>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9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896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6"/>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7456"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v:textbox>
              </v:shape>
            </w:pict>
          </mc:Fallback>
        </mc:AlternateConten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71552"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49" name="组合 149"/>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1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1552;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89984"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4" name="组合 94"/>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89984;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91008"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7" name="组合 97"/>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91008;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950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2"/>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C9A5C315-88BF-42CD-935E-BA0CE0A2C726}"/>
  </w:font>
  <w:font w:name="黑体">
    <w:panose1 w:val="02010609060101010101"/>
    <w:charset w:val="86"/>
    <w:family w:val="auto"/>
    <w:pitch w:val="default"/>
    <w:sig w:usb0="800002BF" w:usb1="38CF7CFA" w:usb2="00000016" w:usb3="00000000" w:csb0="00040001" w:csb1="00000000"/>
    <w:embedRegular r:id="rId2" w:fontKey="{E93044F9-D84C-4E00-82D3-4DB5164C2576}"/>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embedRegular r:id="rId3" w:fontKey="{8E2D9057-514B-4F12-BD00-7E6B08FAE7FA}"/>
  </w:font>
  <w:font w:name="楷体">
    <w:panose1 w:val="02010609060101010101"/>
    <w:charset w:val="86"/>
    <w:family w:val="modern"/>
    <w:pitch w:val="default"/>
    <w:sig w:usb0="800002BF" w:usb1="38CF7CFA" w:usb2="00000016" w:usb3="00000000" w:csb0="00040001" w:csb1="00000000"/>
    <w:embedRegular r:id="rId4" w:fontKey="{73F78DBF-0F6E-4BD2-BE91-F098EB54C405}"/>
  </w:font>
  <w:font w:name="楷体_GB2312">
    <w:panose1 w:val="02010609030101010101"/>
    <w:charset w:val="86"/>
    <w:family w:val="modern"/>
    <w:pitch w:val="default"/>
    <w:sig w:usb0="00000001" w:usb1="080E0000" w:usb2="00000000" w:usb3="00000000" w:csb0="00040000" w:csb1="00000000"/>
    <w:embedRegular r:id="rId5" w:fontKey="{2338A414-0DEE-455E-B277-0E7984A9FE8F}"/>
  </w:font>
  <w:font w:name="仿宋_GB2312">
    <w:panose1 w:val="02010609030101010101"/>
    <w:charset w:val="86"/>
    <w:family w:val="modern"/>
    <w:pitch w:val="default"/>
    <w:sig w:usb0="00000000" w:usb1="00000000" w:usb2="00000000" w:usb3="00000000" w:csb0="00000000" w:csb1="00000000"/>
    <w:embedRegular r:id="rId6" w:fontKey="{5B0F9C72-A0C3-4799-B36A-B5A13AA2CBB6}"/>
  </w:font>
  <w:font w:name="ArialUnicodeMS">
    <w:altName w:val="Malgun Gothic"/>
    <w:panose1 w:val="00000000000000000000"/>
    <w:charset w:val="81"/>
    <w:family w:val="auto"/>
    <w:pitch w:val="default"/>
    <w:sig w:usb0="00000000" w:usb1="00000000" w:usb2="00000010" w:usb3="00000000" w:csb0="00080001" w:csb1="00000000"/>
    <w:embedRegular r:id="rId7" w:fontKey="{585E15BD-3846-4458-B655-62B5AB53F170}"/>
  </w:font>
  <w:font w:name="仿宋">
    <w:panose1 w:val="02010609060101010101"/>
    <w:charset w:val="86"/>
    <w:family w:val="auto"/>
    <w:pitch w:val="default"/>
    <w:sig w:usb0="800002BF" w:usb1="38CF7CFA" w:usb2="00000016" w:usb3="00000000" w:csb0="00040001" w:csb1="00000000"/>
    <w:embedRegular r:id="rId8" w:fontKey="{0CB8173C-C1EC-46A9-95C9-C51B4917F00F}"/>
  </w:font>
  <w:font w:name="MS-UIGothic,Bold">
    <w:altName w:val="Malgun Gothic"/>
    <w:panose1 w:val="00000000000000000000"/>
    <w:charset w:val="81"/>
    <w:family w:val="auto"/>
    <w:pitch w:val="default"/>
    <w:sig w:usb0="00000000" w:usb1="00000000" w:usb2="00000010" w:usb3="00000000" w:csb0="00080000" w:csb1="00000000"/>
    <w:embedRegular r:id="rId9" w:fontKey="{214AAF92-AAD4-49F8-B828-B367749990A4}"/>
  </w:font>
  <w:font w:name="DengXian-Regular">
    <w:altName w:val="宋体"/>
    <w:panose1 w:val="00000000000000000000"/>
    <w:charset w:val="86"/>
    <w:family w:val="auto"/>
    <w:pitch w:val="default"/>
    <w:sig w:usb0="00000000" w:usb1="00000000" w:usb2="00000010" w:usb3="00000000" w:csb0="00040001" w:csb1="00000000"/>
    <w:embedRegular r:id="rId10" w:fontKey="{A3DE5DB3-6243-4F22-BE82-2E188AFF1F49}"/>
  </w:font>
  <w:font w:name="DengXian-Bold">
    <w:altName w:val="宋体"/>
    <w:panose1 w:val="00000000000000000000"/>
    <w:charset w:val="86"/>
    <w:family w:val="auto"/>
    <w:pitch w:val="default"/>
    <w:sig w:usb0="00000000" w:usb1="00000000" w:usb2="00000010" w:usb3="00000000" w:csb0="00040001" w:csb1="00000000"/>
    <w:embedRegular r:id="rId11" w:fontKey="{3D4D66E1-3068-4C87-9D5B-5436334BA65F}"/>
  </w:font>
  <w:font w:name="TimesNewRomanPSMT">
    <w:altName w:val="Arial"/>
    <w:panose1 w:val="00000000000000000000"/>
    <w:charset w:val="00"/>
    <w:family w:val="swiss"/>
    <w:pitch w:val="default"/>
    <w:sig w:usb0="00000000" w:usb1="00000000" w:usb2="00000000" w:usb3="00000000" w:csb0="00000001" w:csb1="00000000"/>
  </w:font>
  <w:font w:name="Gulim">
    <w:panose1 w:val="020B0600000101010101"/>
    <w:charset w:val="81"/>
    <w:family w:val="auto"/>
    <w:pitch w:val="default"/>
    <w:sig w:usb0="B00002AF" w:usb1="69D77CFB" w:usb2="00000030" w:usb3="00000000" w:csb0="4008009F" w:csb1="DFD7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rPr>
        <w:rFonts w:hint="default" w:eastAsiaTheme="minorEastAsia"/>
        <w:lang w:val="en-US" w:eastAsia="zh-CN"/>
      </w:rPr>
    </w:pPr>
    <w:r>
      <w:rPr>
        <w:rFonts w:hint="eastAsia"/>
        <w:lang w:val="en-US" w:eastAsia="zh-CN"/>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C32BA"/>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E5500"/>
    <w:rsid w:val="007F055B"/>
    <w:rsid w:val="0080644C"/>
    <w:rsid w:val="00811C2F"/>
    <w:rsid w:val="00833D46"/>
    <w:rsid w:val="00840A97"/>
    <w:rsid w:val="008C0149"/>
    <w:rsid w:val="008D5DED"/>
    <w:rsid w:val="008E25CA"/>
    <w:rsid w:val="008F34FC"/>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56722"/>
    <w:rsid w:val="00B74D39"/>
    <w:rsid w:val="00B91DA4"/>
    <w:rsid w:val="00C12630"/>
    <w:rsid w:val="00C34562"/>
    <w:rsid w:val="00C3774E"/>
    <w:rsid w:val="00C57456"/>
    <w:rsid w:val="00C65387"/>
    <w:rsid w:val="00C87FAB"/>
    <w:rsid w:val="00C91FF7"/>
    <w:rsid w:val="00C94E53"/>
    <w:rsid w:val="00D0048E"/>
    <w:rsid w:val="00D23E7A"/>
    <w:rsid w:val="00D61063"/>
    <w:rsid w:val="00DB35AF"/>
    <w:rsid w:val="00DD72D7"/>
    <w:rsid w:val="00DF5B88"/>
    <w:rsid w:val="00E0589E"/>
    <w:rsid w:val="00E241FA"/>
    <w:rsid w:val="00E2595E"/>
    <w:rsid w:val="00E35374"/>
    <w:rsid w:val="00E50C19"/>
    <w:rsid w:val="00E64655"/>
    <w:rsid w:val="00E73081"/>
    <w:rsid w:val="00E856C9"/>
    <w:rsid w:val="00EB6A8B"/>
    <w:rsid w:val="00EF38C6"/>
    <w:rsid w:val="00F679C7"/>
    <w:rsid w:val="00F7711A"/>
    <w:rsid w:val="00FA0D58"/>
    <w:rsid w:val="00FA56F4"/>
    <w:rsid w:val="00FB4EDA"/>
    <w:rsid w:val="00FD3BD5"/>
    <w:rsid w:val="00FE3DC8"/>
    <w:rsid w:val="04073F84"/>
    <w:rsid w:val="05E56F21"/>
    <w:rsid w:val="0B60750A"/>
    <w:rsid w:val="0B7D0315"/>
    <w:rsid w:val="0BAF5F18"/>
    <w:rsid w:val="0CD76BF7"/>
    <w:rsid w:val="10686488"/>
    <w:rsid w:val="10DF728A"/>
    <w:rsid w:val="1264200E"/>
    <w:rsid w:val="141C5B77"/>
    <w:rsid w:val="172A7759"/>
    <w:rsid w:val="18D8339D"/>
    <w:rsid w:val="19D237E7"/>
    <w:rsid w:val="1A21388F"/>
    <w:rsid w:val="1A570D2F"/>
    <w:rsid w:val="1AD854F1"/>
    <w:rsid w:val="1D5E6FC6"/>
    <w:rsid w:val="1D7D2772"/>
    <w:rsid w:val="219C219E"/>
    <w:rsid w:val="24277088"/>
    <w:rsid w:val="2737189E"/>
    <w:rsid w:val="27D34970"/>
    <w:rsid w:val="28CC790F"/>
    <w:rsid w:val="28FB0B8D"/>
    <w:rsid w:val="2A9870FC"/>
    <w:rsid w:val="2D2B7942"/>
    <w:rsid w:val="2D46481D"/>
    <w:rsid w:val="2E733B28"/>
    <w:rsid w:val="2E936952"/>
    <w:rsid w:val="2F551D53"/>
    <w:rsid w:val="30B50E56"/>
    <w:rsid w:val="31852B5A"/>
    <w:rsid w:val="32D01238"/>
    <w:rsid w:val="35CE020A"/>
    <w:rsid w:val="365C4784"/>
    <w:rsid w:val="39A4122C"/>
    <w:rsid w:val="3B2C5187"/>
    <w:rsid w:val="3C5764EE"/>
    <w:rsid w:val="3D1A6968"/>
    <w:rsid w:val="3DFC59A8"/>
    <w:rsid w:val="3ECF245E"/>
    <w:rsid w:val="3FB96314"/>
    <w:rsid w:val="439B23EA"/>
    <w:rsid w:val="43D20255"/>
    <w:rsid w:val="4A01311F"/>
    <w:rsid w:val="4DAB51C9"/>
    <w:rsid w:val="4F3E1D08"/>
    <w:rsid w:val="53A44FAF"/>
    <w:rsid w:val="563D7152"/>
    <w:rsid w:val="594329EC"/>
    <w:rsid w:val="5BEE1540"/>
    <w:rsid w:val="5DE61A5D"/>
    <w:rsid w:val="62F220EB"/>
    <w:rsid w:val="63C04243"/>
    <w:rsid w:val="649C01C7"/>
    <w:rsid w:val="65C80E59"/>
    <w:rsid w:val="67416918"/>
    <w:rsid w:val="699A3F60"/>
    <w:rsid w:val="6E031004"/>
    <w:rsid w:val="6F78017D"/>
    <w:rsid w:val="72902E62"/>
    <w:rsid w:val="73C61104"/>
    <w:rsid w:val="77406D96"/>
    <w:rsid w:val="776452EA"/>
    <w:rsid w:val="7C9C4DBF"/>
    <w:rsid w:val="7DC663B9"/>
    <w:rsid w:val="7FA04403"/>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3.xml"/><Relationship Id="rId8" Type="http://schemas.openxmlformats.org/officeDocument/2006/relationships/chart" Target="charts/chart2.xml"/><Relationship Id="rId7" Type="http://schemas.openxmlformats.org/officeDocument/2006/relationships/chart" Target="charts/chart1.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3.xml"/><Relationship Id="rId15" Type="http://schemas.openxmlformats.org/officeDocument/2006/relationships/customXml" Target="../customXml/item2.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3.jpeg"/><Relationship Id="rId11" Type="http://schemas.openxmlformats.org/officeDocument/2006/relationships/chart" Target="charts/chart5.xml"/><Relationship Id="rId10" Type="http://schemas.openxmlformats.org/officeDocument/2006/relationships/chart" Target="charts/chart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E:\2018&#20250;&#35745;\&#39044;&#31639;&#31185;\2019&#24180;&#37096;&#38376;&#19987;&#39033;&#39033;&#30446;&#24314;&#35758;&#35745;&#21010;&#34920;.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E:\2018&#20250;&#35745;\&#39044;&#31639;&#31185;\2019&#24180;&#37096;&#38376;&#19987;&#39033;&#39033;&#30446;&#24314;&#35758;&#35745;&#21010;&#34920;.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E:\2018&#20250;&#35745;\&#39044;&#31639;&#31185;\2019&#24180;&#37096;&#38376;&#19987;&#39033;&#39033;&#30446;&#24314;&#35758;&#35745;&#21010;&#34920;.xls"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E:\2018&#20250;&#35745;\&#39044;&#31639;&#31185;\2019&#24180;&#37096;&#38376;&#19987;&#39033;&#39033;&#30446;&#24314;&#35758;&#35745;&#21010;&#34920;.xls"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E:\2018&#20250;&#35745;\&#39044;&#31639;&#31185;\2019&#24180;&#37096;&#38376;&#19987;&#39033;&#39033;&#30446;&#24314;&#35758;&#35745;&#21010;&#3492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solidFill>
                  <a:schemeClr val="accent1"/>
                </a:solidFill>
                <a:uFillTx/>
              </a:rPr>
              <a:t>财政拨款收入</a:t>
            </a:r>
            <a:endParaRPr>
              <a:solidFill>
                <a:schemeClr val="accent1"/>
              </a:solidFill>
              <a:uFillTx/>
            </a:endParaRPr>
          </a:p>
        </c:rich>
      </c:tx>
      <c:layout>
        <c:manualLayout>
          <c:xMode val="edge"/>
          <c:yMode val="edge"/>
          <c:x val="0.392222222222222"/>
          <c:y val="0.09375"/>
        </c:manualLayout>
      </c:layout>
      <c:overlay val="0"/>
      <c:spPr>
        <a:noFill/>
        <a:ln>
          <a:noFill/>
        </a:ln>
        <a:effectLst/>
      </c:spPr>
    </c:title>
    <c:autoTitleDeleted val="0"/>
    <c:plotArea>
      <c:layout/>
      <c:pieChart>
        <c:varyColors val="1"/>
        <c:ser>
          <c:idx val="0"/>
          <c:order val="0"/>
          <c:tx>
            <c:strRef>
              <c:f>'[1]#REF!'!$B$2</c:f>
              <c:strCache>
                <c:ptCount val="1"/>
                <c:pt idx="0">
                  <c:v>财政拨款收入</c:v>
                </c:pt>
              </c:strCache>
            </c:strRef>
          </c:tx>
          <c:spPr/>
          <c:explosion val="0"/>
          <c:dPt>
            <c:idx val="0"/>
            <c:bubble3D val="0"/>
            <c:spPr>
              <a:solidFill>
                <a:schemeClr val="accent1"/>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100%</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{"收入构成情况"}</c:f>
              <c:strCache>
                <c:ptCount val="1"/>
                <c:pt idx="0">
                  <c:v>收入构成情况</c:v>
                </c:pt>
              </c:strCache>
            </c:strRef>
          </c:cat>
          <c:val>
            <c:numRef>
              <c:f>'[1]#REF!'!$C$2</c:f>
              <c:numCache>
                <c:formatCode>General</c:formatCode>
                <c:ptCount val="1"/>
                <c:pt idx="0">
                  <c:v>350.96</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2017-2018年财政拨款收支情况</a:t>
            </a:r>
          </a:p>
        </c:rich>
      </c:tx>
      <c:layout>
        <c:manualLayout>
          <c:xMode val="edge"/>
          <c:yMode val="edge"/>
          <c:x val="0.222569444444444"/>
          <c:y val="0.0173611111111111"/>
        </c:manualLayout>
      </c:layout>
      <c:overlay val="0"/>
      <c:spPr>
        <a:noFill/>
        <a:ln>
          <a:noFill/>
        </a:ln>
        <a:effectLst/>
      </c:spPr>
    </c:title>
    <c:autoTitleDeleted val="0"/>
    <c:plotArea>
      <c:layout>
        <c:manualLayout>
          <c:layoutTarget val="inner"/>
          <c:xMode val="edge"/>
          <c:yMode val="edge"/>
          <c:x val="0.0688333333333333"/>
          <c:y val="0.134455128205129"/>
          <c:w val="0.894638888888889"/>
          <c:h val="0.711666666666667"/>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[2019年部门专项项目建议计划表.xls]Sheet1!$A$1:$A$5</c:f>
              <c:strCache>
                <c:ptCount val="5"/>
                <c:pt idx="0">
                  <c:v>2018年度收入</c:v>
                </c:pt>
                <c:pt idx="1">
                  <c:v>2017年度收入</c:v>
                </c:pt>
                <c:pt idx="3">
                  <c:v>2018年度支出</c:v>
                </c:pt>
                <c:pt idx="4">
                  <c:v>2017年度支出</c:v>
                </c:pt>
              </c:strCache>
            </c:strRef>
          </c:cat>
          <c:val>
            <c:numRef>
              <c:f>[2019年部门专项项目建议计划表.xls]Sheet1!$B$1:$B$5</c:f>
              <c:numCache>
                <c:formatCode>General</c:formatCode>
                <c:ptCount val="5"/>
                <c:pt idx="0">
                  <c:v>350.96</c:v>
                </c:pt>
                <c:pt idx="1">
                  <c:v>280.16</c:v>
                </c:pt>
                <c:pt idx="3">
                  <c:v>339.06</c:v>
                </c:pt>
                <c:pt idx="4">
                  <c:v>280.47</c:v>
                </c:pt>
              </c:numCache>
            </c:numRef>
          </c:val>
        </c:ser>
        <c:dLbls>
          <c:showLegendKey val="0"/>
          <c:showVal val="1"/>
          <c:showCatName val="0"/>
          <c:showSerName val="0"/>
          <c:showPercent val="0"/>
          <c:showBubbleSize val="0"/>
        </c:dLbls>
        <c:gapWidth val="219"/>
        <c:overlap val="-27"/>
        <c:axId val="946092780"/>
        <c:axId val="93838927"/>
      </c:barChart>
      <c:catAx>
        <c:axId val="94609278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3838927"/>
        <c:crosses val="autoZero"/>
        <c:auto val="1"/>
        <c:lblAlgn val="ctr"/>
        <c:lblOffset val="100"/>
        <c:noMultiLvlLbl val="0"/>
      </c:catAx>
      <c:valAx>
        <c:axId val="938389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460927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2017-2018年财政拨款收支情况</a:t>
            </a:r>
          </a:p>
        </c:rich>
      </c:tx>
      <c:layout>
        <c:manualLayout>
          <c:xMode val="edge"/>
          <c:yMode val="edge"/>
          <c:x val="0.235069444444444"/>
          <c:y val="0.0243055555555556"/>
        </c:manualLayout>
      </c:layout>
      <c:overlay val="0"/>
      <c:spPr>
        <a:noFill/>
        <a:ln>
          <a:noFill/>
        </a:ln>
        <a:effectLst/>
      </c:spPr>
    </c:title>
    <c:autoTitleDeleted val="0"/>
    <c:plotArea>
      <c:layout>
        <c:manualLayout>
          <c:layoutTarget val="inner"/>
          <c:xMode val="edge"/>
          <c:yMode val="edge"/>
          <c:x val="0.0688333333333333"/>
          <c:y val="0.193055555555555"/>
          <c:w val="0.894638888888889"/>
          <c:h val="0.711666666666667"/>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'#REF!'!$A$1:$A$5</c:f>
              <c:numCache>
                <c:ptCount val="0"/>
              </c:numCache>
            </c:numRef>
          </c:cat>
          <c:val>
            <c:numRef>
              <c:f>'#REF!'!$B$1:$B$5</c:f>
              <c:numCache>
                <c:formatCode>General</c:formatCode>
                <c:ptCount val="5"/>
                <c:pt idx="0">
                  <c:v>350.96</c:v>
                </c:pt>
                <c:pt idx="1">
                  <c:v>280.16</c:v>
                </c:pt>
                <c:pt idx="3">
                  <c:v>339.06</c:v>
                </c:pt>
                <c:pt idx="4">
                  <c:v>280.47</c:v>
                </c:pt>
              </c:numCache>
            </c:numRef>
          </c:val>
        </c:ser>
        <c:dLbls>
          <c:showLegendKey val="0"/>
          <c:showVal val="1"/>
          <c:showCatName val="0"/>
          <c:showSerName val="0"/>
          <c:showPercent val="0"/>
          <c:showBubbleSize val="0"/>
        </c:dLbls>
        <c:gapWidth val="219"/>
        <c:overlap val="-27"/>
        <c:axId val="946092780"/>
        <c:axId val="93838927"/>
      </c:barChart>
      <c:catAx>
        <c:axId val="94609278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3838927"/>
        <c:crosses val="autoZero"/>
        <c:auto val="1"/>
        <c:lblAlgn val="ctr"/>
        <c:lblOffset val="100"/>
        <c:noMultiLvlLbl val="0"/>
      </c:catAx>
      <c:valAx>
        <c:axId val="938389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460927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财政拨款收支预决算对比情况</a:t>
            </a:r>
          </a:p>
        </c:rich>
      </c:tx>
      <c:layout>
        <c:manualLayout>
          <c:xMode val="edge"/>
          <c:yMode val="edge"/>
          <c:x val="0.266527777777778"/>
          <c:y val="0.00694444444444444"/>
        </c:manualLayout>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[2019年部门专项项目建议计划表.xls]Sheet1!$A$1:$A$5</c:f>
              <c:strCache>
                <c:ptCount val="5"/>
                <c:pt idx="0">
                  <c:v>收入预算数</c:v>
                </c:pt>
                <c:pt idx="1">
                  <c:v>收入决算数</c:v>
                </c:pt>
                <c:pt idx="3">
                  <c:v>支出预算数</c:v>
                </c:pt>
                <c:pt idx="4">
                  <c:v>支出决算数</c:v>
                </c:pt>
              </c:strCache>
            </c:strRef>
          </c:cat>
          <c:val>
            <c:numRef>
              <c:f>[2019年部门专项项目建议计划表.xls]Sheet1!$B$1:$B$5</c:f>
              <c:numCache>
                <c:formatCode>General</c:formatCode>
                <c:ptCount val="5"/>
                <c:pt idx="0">
                  <c:v>340.32</c:v>
                </c:pt>
                <c:pt idx="1">
                  <c:v>350.96</c:v>
                </c:pt>
                <c:pt idx="3">
                  <c:v>340.32</c:v>
                </c:pt>
                <c:pt idx="4">
                  <c:v>339.06</c:v>
                </c:pt>
              </c:numCache>
            </c:numRef>
          </c:val>
        </c:ser>
        <c:dLbls>
          <c:showLegendKey val="0"/>
          <c:showVal val="1"/>
          <c:showCatName val="0"/>
          <c:showSerName val="0"/>
          <c:showPercent val="0"/>
          <c:showBubbleSize val="0"/>
        </c:dLbls>
        <c:gapWidth val="219"/>
        <c:overlap val="-27"/>
        <c:axId val="134972713"/>
        <c:axId val="773704119"/>
      </c:barChart>
      <c:catAx>
        <c:axId val="13497271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73704119"/>
        <c:crosses val="autoZero"/>
        <c:auto val="1"/>
        <c:lblAlgn val="ctr"/>
        <c:lblOffset val="100"/>
        <c:noMultiLvlLbl val="0"/>
      </c:catAx>
      <c:valAx>
        <c:axId val="7737041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497271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财政拨款支出决算结构（按功能分类）</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[2019年部门专项项目建议计划表.xls]Sheet1!$A$1:$A$5</c:f>
              <c:strCache>
                <c:ptCount val="5"/>
                <c:pt idx="0">
                  <c:v>一般公共服务</c:v>
                </c:pt>
                <c:pt idx="1">
                  <c:v>教育</c:v>
                </c:pt>
                <c:pt idx="2">
                  <c:v>社会保障和就业</c:v>
                </c:pt>
                <c:pt idx="3">
                  <c:v>医疗卫生与计划生育</c:v>
                </c:pt>
                <c:pt idx="4">
                  <c:v>住房保障</c:v>
                </c:pt>
              </c:strCache>
            </c:strRef>
          </c:cat>
          <c:val>
            <c:numRef>
              <c:f>[2019年部门专项项目建议计划表.xls]Sheet1!$B$1:$B$5</c:f>
              <c:numCache>
                <c:formatCode>0.00%</c:formatCode>
                <c:ptCount val="5"/>
                <c:pt idx="0">
                  <c:v>0.012</c:v>
                </c:pt>
                <c:pt idx="1">
                  <c:v>0.831</c:v>
                </c:pt>
                <c:pt idx="2">
                  <c:v>0.065</c:v>
                </c:pt>
                <c:pt idx="3">
                  <c:v>0.046</c:v>
                </c:pt>
                <c:pt idx="4">
                  <c:v>0.046</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65E7BDE-DE8D-4B1F-9303-30D3BA4219C7}">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34</Pages>
  <Words>1691</Words>
  <Characters>9643</Characters>
  <Lines>80</Lines>
  <Paragraphs>22</Paragraphs>
  <TotalTime>0</TotalTime>
  <ScaleCrop>false</ScaleCrop>
  <LinksUpToDate>false</LinksUpToDate>
  <CharactersWithSpaces>11312</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2019-08-02T01:01:00Z</cp:lastPrinted>
  <dcterms:modified xsi:type="dcterms:W3CDTF">2023-06-26T01:49:20Z</dcterms:modified>
  <dc:subject>石家庄市xxx部门</dc:subject>
  <dc:title>2017年度部门决算</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730AAD29AD4F46F3871E184D4547B933</vt:lpwstr>
  </property>
</Properties>
</file>