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中共石家庄市鹿泉区委党校</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共产党石家庄市鹿泉区委员会党校系全额事业单位，办公场所位于鹿泉区获鹿镇龙泉路28号，单位现有编制18人。单位主要为区委、区政府轮训和培训全区各级党政领导干部和理论骨干；针对区委、区政府的中心工作进行下基层调研，并撰写出有内涵的理论文章；为区委、区政府的政治理论出谋划策；承办区委、区政府交办的其它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pPr>
              <w:spacing w:after="0" w:line="560" w:lineRule="exact"/>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w:t>
            </w:r>
          </w:p>
        </w:tc>
        <w:tc>
          <w:tcPr>
            <w:tcW w:w="3485" w:type="dxa"/>
            <w:vAlign w:val="top"/>
          </w:tcPr>
          <w:p>
            <w:pPr>
              <w:spacing w:after="0" w:line="560" w:lineRule="exac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中国共产党石家庄市鹿泉区委员会党校</w:t>
            </w:r>
          </w:p>
        </w:tc>
        <w:tc>
          <w:tcPr>
            <w:tcW w:w="2445" w:type="dxa"/>
            <w:vAlign w:val="top"/>
          </w:tcPr>
          <w:p>
            <w:pPr>
              <w:spacing w:after="0" w:line="560" w:lineRule="exact"/>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财政补助事业单位</w:t>
            </w:r>
          </w:p>
        </w:tc>
        <w:tc>
          <w:tcPr>
            <w:tcW w:w="2665" w:type="dxa"/>
            <w:vAlign w:val="top"/>
          </w:tcPr>
          <w:p>
            <w:pPr>
              <w:spacing w:after="0" w:line="560" w:lineRule="exact"/>
              <w:jc w:val="center"/>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财政性资金基本保证</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052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 w:cs="DengXian-Regular"/>
          <w:sz w:val="32"/>
          <w:szCs w:val="32"/>
          <w:lang w:val="en-US" w:eastAsia="zh-CN"/>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369.79</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18.57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%，主要原因是</w:t>
      </w:r>
      <w:r>
        <w:rPr>
          <w:rFonts w:hint="eastAsia" w:ascii="仿宋" w:hAnsi="仿宋" w:eastAsia="仿宋" w:cs="仿宋"/>
          <w:sz w:val="32"/>
          <w:szCs w:val="32"/>
          <w:lang w:val="en-US" w:eastAsia="zh-CN"/>
        </w:rPr>
        <w:t>2019年工资待遇水平提高，社保经费提高。</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val="en-US"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361.76</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358.56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99</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3.2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val="en-US" w:eastAsia="zh-CN"/>
        </w:rPr>
        <w:t>:</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78720" behindDoc="1" locked="0" layoutInCell="1" allowOverlap="1">
            <wp:simplePos x="0" y="0"/>
            <wp:positionH relativeFrom="column">
              <wp:posOffset>747395</wp:posOffset>
            </wp:positionH>
            <wp:positionV relativeFrom="paragraph">
              <wp:posOffset>153035</wp:posOffset>
            </wp:positionV>
            <wp:extent cx="3773170" cy="2552700"/>
            <wp:effectExtent l="4445" t="4445" r="51435" b="52705"/>
            <wp:wrapTight wrapText="bothSides">
              <wp:wrapPolygon>
                <wp:start x="-25" y="-38"/>
                <wp:lineTo x="-25" y="21562"/>
                <wp:lineTo x="21567" y="21562"/>
                <wp:lineTo x="21567" y="-38"/>
                <wp:lineTo x="-25" y="-38"/>
              </wp:wrapPolygon>
            </wp:wrapTight>
            <wp:docPr id="36"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362.13</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342.13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79744" behindDoc="0" locked="0" layoutInCell="1" allowOverlap="1">
            <wp:simplePos x="0" y="0"/>
            <wp:positionH relativeFrom="column">
              <wp:posOffset>642620</wp:posOffset>
            </wp:positionH>
            <wp:positionV relativeFrom="paragraph">
              <wp:posOffset>318135</wp:posOffset>
            </wp:positionV>
            <wp:extent cx="3524250" cy="2239010"/>
            <wp:effectExtent l="4445" t="4445" r="14605" b="23495"/>
            <wp:wrapSquare wrapText="bothSides"/>
            <wp:docPr id="37"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after="0"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358.56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7.6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%，主要是</w:t>
      </w:r>
      <w:r>
        <w:rPr>
          <w:rFonts w:hint="eastAsia" w:ascii="仿宋" w:hAnsi="仿宋" w:eastAsia="仿宋" w:cs="仿宋"/>
          <w:sz w:val="32"/>
          <w:szCs w:val="32"/>
          <w:lang w:val="en-US" w:eastAsia="zh-CN"/>
        </w:rPr>
        <w:t>2019年工资待遇水平提高，社保经费提高</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362.13</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23.07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%，主要是</w:t>
      </w:r>
      <w:r>
        <w:rPr>
          <w:rFonts w:hint="eastAsia" w:ascii="仿宋" w:hAnsi="仿宋" w:eastAsia="仿宋" w:cs="仿宋"/>
          <w:sz w:val="32"/>
          <w:szCs w:val="32"/>
          <w:lang w:val="en-US" w:eastAsia="zh-CN"/>
        </w:rPr>
        <w:t>2019年工资待遇水平提高，社保经费提高</w:t>
      </w:r>
      <w:r>
        <w:rPr>
          <w:rFonts w:hint="eastAsia" w:ascii="仿宋" w:hAnsi="仿宋" w:eastAsia="仿宋" w:cs="仿宋"/>
          <w:sz w:val="32"/>
          <w:szCs w:val="32"/>
        </w:rPr>
        <w:t>。</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80768" behindDoc="0" locked="0" layoutInCell="1" allowOverlap="1">
            <wp:simplePos x="0" y="0"/>
            <wp:positionH relativeFrom="column">
              <wp:posOffset>899795</wp:posOffset>
            </wp:positionH>
            <wp:positionV relativeFrom="paragraph">
              <wp:posOffset>353695</wp:posOffset>
            </wp:positionV>
            <wp:extent cx="3924935" cy="2458085"/>
            <wp:effectExtent l="4445" t="4445" r="13970" b="13970"/>
            <wp:wrapSquare wrapText="bothSides"/>
            <wp:docPr id="38"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358.56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105</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18.24</w:t>
      </w:r>
      <w:r>
        <w:rPr>
          <w:rFonts w:hint="eastAsia" w:ascii="仿宋_GB2312" w:hAnsi="Times New Roman" w:eastAsia="仿宋_GB2312" w:cs="DengXian-Regular"/>
          <w:sz w:val="32"/>
          <w:szCs w:val="32"/>
        </w:rPr>
        <w:t>万元，决算数大于预算数主要原因是</w:t>
      </w:r>
      <w:r>
        <w:rPr>
          <w:rFonts w:hint="eastAsia" w:ascii="仿宋" w:hAnsi="仿宋" w:eastAsia="仿宋" w:cs="仿宋"/>
          <w:sz w:val="32"/>
          <w:szCs w:val="32"/>
          <w:lang w:val="en-US" w:eastAsia="zh-CN"/>
        </w:rPr>
        <w:t>2019年工资待遇水平提高，社保经费提高</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362.13</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106</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21.81</w:t>
      </w:r>
      <w:r>
        <w:rPr>
          <w:rFonts w:hint="eastAsia" w:ascii="仿宋_GB2312" w:hAnsi="Times New Roman" w:eastAsia="仿宋_GB2312" w:cs="DengXian-Regular"/>
          <w:sz w:val="32"/>
          <w:szCs w:val="32"/>
        </w:rPr>
        <w:t>万元，决算数大于预算数主要原因是主要是</w:t>
      </w:r>
      <w:r>
        <w:rPr>
          <w:rFonts w:hint="eastAsia" w:ascii="仿宋" w:hAnsi="仿宋" w:eastAsia="仿宋" w:cs="仿宋"/>
          <w:sz w:val="32"/>
          <w:szCs w:val="32"/>
          <w:lang w:val="en-US" w:eastAsia="zh-CN"/>
        </w:rPr>
        <w:t>2019年工资待遇水平提高，社保经费提高</w:t>
      </w:r>
      <w:r>
        <w:rPr>
          <w:rFonts w:hint="eastAsia" w:ascii="仿宋_GB2312" w:hAnsi="Times New Roman" w:eastAsia="仿宋_GB2312" w:cs="DengXian-Regular"/>
          <w:sz w:val="32"/>
          <w:szCs w:val="32"/>
        </w:rPr>
        <w:t>。</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81792" behindDoc="0" locked="0" layoutInCell="1" allowOverlap="1">
            <wp:simplePos x="0" y="0"/>
            <wp:positionH relativeFrom="column">
              <wp:posOffset>690880</wp:posOffset>
            </wp:positionH>
            <wp:positionV relativeFrom="paragraph">
              <wp:posOffset>92710</wp:posOffset>
            </wp:positionV>
            <wp:extent cx="4427855" cy="2562860"/>
            <wp:effectExtent l="4445" t="5080" r="6350" b="22860"/>
            <wp:wrapSquare wrapText="bothSides"/>
            <wp:docPr id="39"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362.13</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教育支出</w:t>
      </w:r>
      <w:r>
        <w:rPr>
          <w:rFonts w:hint="eastAsia" w:ascii="仿宋_GB2312" w:hAnsi="Times New Roman" w:eastAsia="仿宋_GB2312" w:cs="DengXian-Regular"/>
          <w:sz w:val="32"/>
          <w:szCs w:val="32"/>
          <w:lang w:val="en-US" w:eastAsia="zh-CN"/>
        </w:rPr>
        <w:t>298.18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83</w:t>
      </w:r>
      <w:r>
        <w:rPr>
          <w:rFonts w:hint="eastAsia" w:ascii="仿宋_GB2312" w:hAnsi="Times New Roman" w:eastAsia="仿宋_GB2312" w:cs="DengXian-Regular"/>
          <w:sz w:val="32"/>
          <w:szCs w:val="32"/>
        </w:rPr>
        <w:t xml:space="preserve">%；社会保障和就业支出 </w:t>
      </w:r>
      <w:r>
        <w:rPr>
          <w:rFonts w:hint="eastAsia" w:ascii="仿宋_GB2312" w:hAnsi="Times New Roman" w:eastAsia="仿宋_GB2312" w:cs="DengXian-Regular"/>
          <w:sz w:val="32"/>
          <w:szCs w:val="32"/>
          <w:lang w:val="en-US" w:eastAsia="zh-CN"/>
        </w:rPr>
        <w:t>29.38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%；住房保障支出</w:t>
      </w:r>
      <w:r>
        <w:rPr>
          <w:rFonts w:hint="eastAsia" w:ascii="仿宋_GB2312" w:hAnsi="Times New Roman" w:eastAsia="仿宋_GB2312" w:cs="DengXian-Regular"/>
          <w:sz w:val="32"/>
          <w:szCs w:val="32"/>
          <w:lang w:val="en-US" w:eastAsia="zh-CN"/>
        </w:rPr>
        <w:t>15.42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卫生健康支出</w:t>
      </w:r>
      <w:r>
        <w:rPr>
          <w:rFonts w:hint="eastAsia" w:ascii="仿宋_GB2312" w:hAnsi="Times New Roman" w:eastAsia="仿宋_GB2312" w:cs="DengXian-Regular"/>
          <w:sz w:val="32"/>
          <w:szCs w:val="32"/>
          <w:lang w:val="en-US" w:eastAsia="zh-CN"/>
        </w:rPr>
        <w:t>19.15万元，占5%</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82816" behindDoc="0" locked="0" layoutInCell="1" allowOverlap="1">
            <wp:simplePos x="0" y="0"/>
            <wp:positionH relativeFrom="column">
              <wp:posOffset>756920</wp:posOffset>
            </wp:positionH>
            <wp:positionV relativeFrom="paragraph">
              <wp:posOffset>70485</wp:posOffset>
            </wp:positionV>
            <wp:extent cx="3934460" cy="2343785"/>
            <wp:effectExtent l="4445" t="4445" r="23495" b="13970"/>
            <wp:wrapSquare wrapText="bothSides"/>
            <wp:docPr id="41"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338.93</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298.99</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39.94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1.06</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39</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1.64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61</w:t>
      </w:r>
      <w:r>
        <w:rPr>
          <w:rFonts w:hint="eastAsia" w:ascii="仿宋_GB2312" w:hAnsi="Times New Roman" w:eastAsia="仿宋_GB2312" w:cs="DengXian-Regular"/>
          <w:sz w:val="32"/>
          <w:szCs w:val="32"/>
        </w:rPr>
        <w:t>%，主要是</w:t>
      </w:r>
      <w:r>
        <w:rPr>
          <w:rFonts w:hint="eastAsia" w:ascii="仿宋" w:hAnsi="仿宋" w:eastAsia="仿宋" w:cs="仿宋"/>
          <w:b w:val="0"/>
          <w:bCs w:val="0"/>
          <w:sz w:val="32"/>
          <w:szCs w:val="32"/>
        </w:rPr>
        <w:t>认真贯彻落实中央</w:t>
      </w:r>
      <w:r>
        <w:rPr>
          <w:rFonts w:hint="eastAsia" w:ascii="仿宋_GB2312" w:eastAsia="仿宋_GB2312" w:cs="DengXian-Regular"/>
          <w:sz w:val="32"/>
          <w:szCs w:val="32"/>
        </w:rPr>
        <w:t>八项规定精神和厉行节约要求，从严控制“三公”经费开支，全年实际支出比预算有所节约</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0.44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2019年对车辆进行了维修</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hint="default" w:ascii="仿宋_GB2312" w:hAnsi="Times New Roman" w:eastAsia="仿宋_GB2312" w:cs="DengXian-Regular"/>
          <w:sz w:val="32"/>
          <w:szCs w:val="32"/>
          <w:lang w:val="en-US" w:eastAsia="zh-CN"/>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因公出国（境）费支出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w:t>
      </w:r>
      <w:r>
        <w:rPr>
          <w:rFonts w:hint="eastAsia" w:ascii="仿宋_GB2312"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1.06</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1.64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61</w:t>
      </w:r>
      <w:r>
        <w:rPr>
          <w:rFonts w:hint="eastAsia" w:ascii="仿宋_GB2312" w:hAnsi="Times New Roman" w:eastAsia="仿宋_GB2312" w:cs="DengXian-Regular"/>
          <w:sz w:val="32"/>
          <w:szCs w:val="32"/>
        </w:rPr>
        <w:t>%,主要是</w:t>
      </w:r>
      <w:r>
        <w:rPr>
          <w:rFonts w:hint="eastAsia" w:ascii="仿宋" w:hAnsi="仿宋" w:eastAsia="仿宋" w:cs="仿宋"/>
          <w:b w:val="0"/>
          <w:bCs w:val="0"/>
          <w:sz w:val="32"/>
          <w:szCs w:val="32"/>
        </w:rPr>
        <w:t>认真贯彻落实中央</w:t>
      </w:r>
      <w:r>
        <w:rPr>
          <w:rFonts w:hint="eastAsia" w:ascii="仿宋_GB2312" w:eastAsia="仿宋_GB2312" w:cs="DengXian-Regular"/>
          <w:sz w:val="32"/>
          <w:szCs w:val="32"/>
        </w:rPr>
        <w:t>八项规定精神和厉行节约要求，从严控制“三公”经费开支，全年实际支出比预算有所节约</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0.44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2019年对车辆进行了维修</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hint="default" w:ascii="仿宋_GB2312" w:hAnsi="Times New Roman" w:eastAsia="仿宋_GB2312" w:cs="DengXian-Regular"/>
          <w:sz w:val="32"/>
          <w:szCs w:val="32"/>
          <w:lang w:val="en-US"/>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公务用车购置费支出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w:t>
      </w:r>
      <w:r>
        <w:rPr>
          <w:rFonts w:hint="eastAsia" w:ascii="仿宋_GB2312" w:eastAsia="仿宋_GB2312" w:cs="DengXian-Regular"/>
          <w:sz w:val="32"/>
          <w:szCs w:val="32"/>
          <w:lang w:eastAsia="zh-CN"/>
        </w:rPr>
        <w:t>持平。与</w:t>
      </w:r>
      <w:r>
        <w:rPr>
          <w:rFonts w:hint="eastAsia" w:ascii="仿宋_GB2312" w:eastAsia="仿宋_GB2312" w:cs="DengXian-Regular"/>
          <w:sz w:val="32"/>
          <w:szCs w:val="32"/>
          <w:lang w:val="en-US" w:eastAsia="zh-CN"/>
        </w:rPr>
        <w:t>2018年度持平。</w:t>
      </w:r>
    </w:p>
    <w:p>
      <w:pPr>
        <w:adjustRightInd w:val="0"/>
        <w:snapToGrid w:val="0"/>
        <w:spacing w:line="580" w:lineRule="exact"/>
        <w:ind w:firstLine="640" w:firstLineChars="200"/>
        <w:rPr>
          <w:rFonts w:ascii="仿宋_GB2312" w:hAnsi="Times New Roman" w:eastAsia="仿宋_GB2312" w:cs="DengXian-Regular"/>
          <w:color w:val="000000"/>
          <w:sz w:val="32"/>
          <w:szCs w:val="32"/>
        </w:rPr>
      </w:pP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1.64</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61</w:t>
      </w:r>
      <w:r>
        <w:rPr>
          <w:rFonts w:hint="eastAsia" w:ascii="仿宋_GB2312" w:hAnsi="Times New Roman" w:eastAsia="仿宋_GB2312" w:cs="DengXian-Regular"/>
          <w:sz w:val="32"/>
          <w:szCs w:val="32"/>
        </w:rPr>
        <w:t>%,主要是</w:t>
      </w:r>
      <w:r>
        <w:rPr>
          <w:rFonts w:hint="eastAsia" w:ascii="仿宋" w:hAnsi="仿宋" w:eastAsia="仿宋" w:cs="仿宋"/>
          <w:b w:val="0"/>
          <w:bCs w:val="0"/>
          <w:sz w:val="32"/>
          <w:szCs w:val="32"/>
        </w:rPr>
        <w:t>认真贯彻落实中央</w:t>
      </w:r>
      <w:r>
        <w:rPr>
          <w:rFonts w:hint="eastAsia" w:ascii="仿宋_GB2312" w:eastAsia="仿宋_GB2312" w:cs="DengXian-Regular"/>
          <w:sz w:val="32"/>
          <w:szCs w:val="32"/>
        </w:rPr>
        <w:t>八项规定</w:t>
      </w:r>
      <w:bookmarkStart w:id="0" w:name="_GoBack"/>
      <w:bookmarkEnd w:id="0"/>
      <w:r>
        <w:rPr>
          <w:rFonts w:hint="eastAsia" w:ascii="仿宋_GB2312" w:eastAsia="仿宋_GB2312" w:cs="DengXian-Regular"/>
          <w:sz w:val="32"/>
          <w:szCs w:val="32"/>
        </w:rPr>
        <w:t>精神和厉行节约要求，从严控制“三公”经费开支</w:t>
      </w:r>
      <w:r>
        <w:rPr>
          <w:rFonts w:hint="eastAsia" w:ascii="仿宋_GB2312" w:eastAsia="仿宋_GB2312" w:cs="DengXian-Regular"/>
          <w:sz w:val="32"/>
          <w:szCs w:val="32"/>
          <w:lang w:eastAsia="zh-CN"/>
        </w:rPr>
        <w:t>，</w:t>
      </w:r>
      <w:r>
        <w:rPr>
          <w:rFonts w:hint="eastAsia" w:ascii="仿宋_GB2312" w:eastAsia="仿宋_GB2312" w:cs="DengXian-Regular"/>
          <w:sz w:val="32"/>
          <w:szCs w:val="32"/>
        </w:rPr>
        <w:t>全年实际支出比预算有所节约</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0.44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2019年对车辆进行了维修</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default" w:ascii="仿宋_GB2312" w:hAnsi="Times New Roman" w:eastAsia="仿宋_GB2312" w:cs="DengXian-Regular"/>
          <w:sz w:val="32"/>
          <w:szCs w:val="32"/>
          <w:lang w:val="en-US"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公务接待费支出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w:t>
      </w:r>
      <w:r>
        <w:rPr>
          <w:rFonts w:hint="eastAsia" w:ascii="仿宋_GB2312" w:eastAsia="仿宋_GB2312" w:cs="DengXian-Regular"/>
          <w:sz w:val="32"/>
          <w:szCs w:val="32"/>
          <w:lang w:eastAsia="zh-CN"/>
        </w:rPr>
        <w:t>与</w:t>
      </w:r>
      <w:r>
        <w:rPr>
          <w:rFonts w:hint="eastAsia" w:ascii="仿宋_GB2312" w:eastAsia="仿宋_GB2312" w:cs="DengXian-Regular"/>
          <w:sz w:val="32"/>
          <w:szCs w:val="32"/>
          <w:lang w:val="en-US" w:eastAsia="zh-CN"/>
        </w:rPr>
        <w:t>2018年度持平。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（一）绩效管理工作开展情况。根据财政专项资金部门绩效自评价工作</w:t>
      </w:r>
      <w:r>
        <w:rPr>
          <w:rFonts w:hint="eastAsia" w:ascii="仿宋_GB2312" w:eastAsia="仿宋_GB2312" w:cs="DengXian-Regular"/>
          <w:sz w:val="32"/>
          <w:szCs w:val="32"/>
          <w:lang w:eastAsia="zh-CN"/>
        </w:rPr>
        <w:t>要求</w:t>
      </w:r>
      <w:r>
        <w:rPr>
          <w:rFonts w:hint="eastAsia" w:ascii="仿宋_GB2312" w:eastAsia="仿宋_GB2312" w:cs="DengXian-Regular"/>
          <w:sz w:val="32"/>
          <w:szCs w:val="32"/>
        </w:rPr>
        <w:t>，本单位认真开展了预算绩效管理改革开展情况自查，对部门全面规范绩效预算编制、严格预算执行管理、推进绩效评价工作、推进预决算信息公开等方面进行了自评，考核结果为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sz w:val="32"/>
          <w:szCs w:val="32"/>
          <w:lang w:eastAsia="zh-CN"/>
        </w:rPr>
        <w:t>良好。</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r>
        <w:rPr>
          <w:rFonts w:hint="eastAsia" w:ascii="仿宋_GB2312" w:eastAsia="仿宋_GB2312" w:cs="DengXian-Regular"/>
          <w:sz w:val="32"/>
          <w:szCs w:val="32"/>
          <w:lang w:eastAsia="zh-CN"/>
        </w:rPr>
        <w:t>。</w:t>
      </w:r>
      <w:r>
        <w:rPr>
          <w:rFonts w:hint="eastAsia" w:ascii="仿宋_GB2312" w:eastAsia="仿宋_GB2312" w:cs="DengXian-Regular"/>
          <w:sz w:val="32"/>
          <w:szCs w:val="32"/>
        </w:rPr>
        <w:t>根据预算绩效管理要求，本单位组织对201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年度一般公共预算项目支出全面开展绩效自评，涉及专项教学培训运行经费</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个项目，涉及资金</w:t>
      </w:r>
      <w:r>
        <w:rPr>
          <w:rFonts w:hint="eastAsia" w:ascii="仿宋_GB2312" w:eastAsia="仿宋_GB2312" w:cs="DengXian-Regular"/>
          <w:sz w:val="32"/>
          <w:szCs w:val="32"/>
          <w:lang w:val="en-US" w:eastAsia="zh-CN"/>
        </w:rPr>
        <w:t>20</w:t>
      </w:r>
      <w:r>
        <w:rPr>
          <w:rFonts w:hint="eastAsia" w:ascii="仿宋_GB2312" w:eastAsia="仿宋_GB2312" w:cs="DengXian-Regular"/>
          <w:sz w:val="32"/>
          <w:szCs w:val="32"/>
        </w:rPr>
        <w:t>万元。从评价情况看，评价结果为优秀的项目有</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个，良好的项目有</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个，一般的项目有</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pStyle w:val="3"/>
        <w:spacing w:before="0" w:after="0" w:line="580" w:lineRule="exact"/>
        <w:ind w:firstLine="643" w:firstLineChars="200"/>
        <w:rPr>
          <w:rFonts w:ascii="楷体_GB2312" w:eastAsia="楷体_GB2312" w:cs="DengXian-Bold"/>
        </w:rPr>
      </w:pPr>
      <w:r>
        <w:rPr>
          <w:rFonts w:hint="eastAsia" w:ascii="楷体_GB2312" w:eastAsia="楷体_GB2312" w:cs="DengXian-Bold"/>
        </w:rPr>
        <w:t>（</w:t>
      </w:r>
      <w:r>
        <w:rPr>
          <w:rFonts w:hint="eastAsia" w:ascii="楷体_GB2312" w:eastAsia="楷体_GB2312" w:cs="DengXian-Bold"/>
          <w:lang w:eastAsia="zh-CN"/>
        </w:rPr>
        <w:t>一</w:t>
      </w:r>
      <w:r>
        <w:rPr>
          <w:rFonts w:hint="eastAsia" w:ascii="楷体_GB2312" w:eastAsia="楷体_GB2312" w:cs="DengXian-Bold"/>
        </w:rPr>
        <w:t>）政府采购情况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pStyle w:val="3"/>
        <w:spacing w:before="0" w:after="0" w:line="580" w:lineRule="exact"/>
        <w:ind w:firstLine="643" w:firstLineChars="200"/>
        <w:rPr>
          <w:rFonts w:ascii="楷体_GB2312" w:eastAsia="楷体_GB2312" w:cs="DengXian-Bold"/>
        </w:rPr>
      </w:pPr>
      <w:r>
        <w:rPr>
          <w:rFonts w:hint="eastAsia" w:ascii="楷体_GB2312" w:eastAsia="楷体_GB2312" w:cs="DengXian-Bold"/>
        </w:rPr>
        <w:t>（</w:t>
      </w:r>
      <w:r>
        <w:rPr>
          <w:rFonts w:hint="eastAsia" w:ascii="楷体_GB2312" w:eastAsia="楷体_GB2312" w:cs="DengXian-Bold"/>
          <w:lang w:eastAsia="zh-CN"/>
        </w:rPr>
        <w:t>二</w:t>
      </w:r>
      <w:r>
        <w:rPr>
          <w:rFonts w:hint="eastAsia" w:ascii="楷体_GB2312" w:eastAsia="楷体_GB2312" w:cs="DengXian-Bold"/>
        </w:rPr>
        <w:t>）国有资产占用情况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年12月31日，本部门共有车辆</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w:t>
      </w:r>
    </w:p>
    <w:p>
      <w:pPr>
        <w:pStyle w:val="3"/>
        <w:spacing w:before="0" w:after="0" w:line="580" w:lineRule="exact"/>
        <w:ind w:firstLine="643" w:firstLineChars="200"/>
        <w:rPr>
          <w:rFonts w:ascii="楷体_GB2312" w:eastAsia="楷体_GB2312" w:cs="DengXian-Bold"/>
        </w:rPr>
      </w:pPr>
      <w:r>
        <w:rPr>
          <w:rFonts w:hint="eastAsia" w:ascii="楷体_GB2312" w:eastAsia="楷体_GB2312" w:cs="DengXian-Bold"/>
        </w:rPr>
        <w:t>（</w:t>
      </w:r>
      <w:r>
        <w:rPr>
          <w:rFonts w:hint="eastAsia" w:ascii="楷体_GB2312" w:eastAsia="楷体_GB2312" w:cs="DengXian-Bold"/>
          <w:lang w:eastAsia="zh-CN"/>
        </w:rPr>
        <w:t>三</w:t>
      </w:r>
      <w:r>
        <w:rPr>
          <w:rFonts w:hint="eastAsia" w:ascii="楷体_GB2312" w:eastAsia="楷体_GB2312" w:cs="DengXian-Bold"/>
        </w:rPr>
        <w:t>）其他需要说明的情况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1</w:t>
      </w:r>
      <w:r>
        <w:rPr>
          <w:rFonts w:hint="eastAsia" w:ascii="仿宋_GB2312" w:eastAsia="仿宋_GB2312" w:cs="DengXian-Regular"/>
          <w:sz w:val="32"/>
          <w:szCs w:val="32"/>
          <w:lang w:val="en-US" w:eastAsia="zh-CN"/>
        </w:rPr>
        <w:t>.</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w:t>
      </w:r>
      <w:r>
        <w:rPr>
          <w:rFonts w:hint="eastAsia" w:ascii="仿宋_GB2312" w:eastAsia="仿宋_GB2312" w:cs="DengXian-Regular"/>
          <w:sz w:val="32"/>
          <w:szCs w:val="32"/>
          <w:lang w:eastAsia="zh-CN"/>
        </w:rPr>
        <w:t>无政府性基金预算支出，</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政府性基金预算财政预算收入支出决算表</w:t>
      </w:r>
      <w:r>
        <w:rPr>
          <w:rFonts w:hint="eastAsia" w:ascii="仿宋_GB2312" w:eastAsia="仿宋_GB2312" w:cs="DengXian-Regular"/>
          <w:sz w:val="32"/>
          <w:szCs w:val="32"/>
        </w:rPr>
        <w:t>以空表列示。</w:t>
      </w:r>
    </w:p>
    <w:p>
      <w:pPr>
        <w:adjustRightInd w:val="0"/>
        <w:snapToGrid w:val="0"/>
        <w:spacing w:after="0" w:line="580" w:lineRule="exact"/>
        <w:ind w:firstLine="640" w:firstLineChars="200"/>
        <w:rPr>
          <w:rFonts w:hint="default" w:ascii="仿宋_GB2312" w:eastAsia="仿宋_GB2312" w:cs="DengXian-Regular"/>
          <w:sz w:val="32"/>
          <w:szCs w:val="32"/>
          <w:lang w:val="en-US" w:eastAsia="zh-CN"/>
        </w:rPr>
      </w:pPr>
      <w:r>
        <w:rPr>
          <w:rFonts w:hint="eastAsia" w:ascii="仿宋_GB2312" w:eastAsia="仿宋_GB2312" w:cs="DengXian-Regular"/>
          <w:sz w:val="32"/>
          <w:szCs w:val="32"/>
        </w:rPr>
        <w:t>2</w:t>
      </w:r>
      <w:r>
        <w:rPr>
          <w:rFonts w:hint="eastAsia" w:ascii="仿宋_GB2312" w:eastAsia="仿宋_GB2312" w:cs="DengXian-Regular"/>
          <w:sz w:val="32"/>
          <w:szCs w:val="32"/>
          <w:lang w:val="en-US" w:eastAsia="zh-CN"/>
        </w:rPr>
        <w:t>.</w:t>
      </w:r>
      <w:r>
        <w:rPr>
          <w:rFonts w:hint="eastAsia" w:ascii="仿宋_GB2312" w:eastAsia="仿宋_GB2312" w:cs="DengXian-Regular"/>
          <w:sz w:val="32"/>
          <w:szCs w:val="32"/>
          <w:lang w:eastAsia="zh-CN"/>
        </w:rPr>
        <w:t>本部门</w:t>
      </w:r>
      <w:r>
        <w:rPr>
          <w:rFonts w:hint="eastAsia" w:ascii="仿宋_GB2312" w:eastAsia="仿宋_GB2312" w:cs="DengXian-Regular"/>
          <w:sz w:val="32"/>
          <w:szCs w:val="32"/>
          <w:lang w:val="en-US" w:eastAsia="zh-CN"/>
        </w:rPr>
        <w:t>2019年度无国有资本经营预算财政拨款支出，故国有资本经营预算财政拨款支出决算表以空表列示。</w:t>
      </w:r>
    </w:p>
    <w:p>
      <w:pPr>
        <w:ind w:firstLine="640" w:firstLineChars="200"/>
        <w:jc w:val="both"/>
        <w:rPr>
          <w:rFonts w:ascii="黑体" w:hAnsi="黑体" w:eastAsia="黑体" w:cs="黑体"/>
          <w:sz w:val="56"/>
          <w:szCs w:val="72"/>
        </w:rPr>
      </w:pP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由于决算公开表格中金额数值应当保留两位小数，公开数据为四舍五入计算结</w:t>
      </w:r>
      <w:r>
        <w:rPr>
          <w:sz w:val="44"/>
        </w:rPr>
        <mc:AlternateContent>
          <mc:Choice Requires="wpg">
            <w:drawing>
              <wp:anchor distT="0" distB="0" distL="114300" distR="114300" simplePos="0" relativeHeight="251675648" behindDoc="0" locked="1" layoutInCell="1" allowOverlap="1">
                <wp:simplePos x="0" y="0"/>
                <wp:positionH relativeFrom="column">
                  <wp:posOffset>-1015365</wp:posOffset>
                </wp:positionH>
                <wp:positionV relativeFrom="topMargin">
                  <wp:posOffset>372110</wp:posOffset>
                </wp:positionV>
                <wp:extent cx="3833495" cy="558165"/>
                <wp:effectExtent l="0" t="0" r="1460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3.4pt;margin-top:29.3pt;height:43.95pt;width:301.85pt;mso-position-horizontal-relative:page;mso-position-vertical-relative:page;z-index:25167564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En7KztsAAAALAQAADwAA&#10;AAAAAAABACAAAAAiAAAAZHJzL2Rvd25yZXYueG1sUEsBAhQAFAAAAAgAh07iQB+HYJcwAwAAHAkA&#10;AA4AAAAAAAAAAQAgAAAAKgEAAGRycy9lMm9Eb2MueG1sUEsFBgAAAAAGAAYAWQEAAMw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LkPFCr0AAADb&#10;AAAADwAAAGRycy9kb3ducmV2LnhtbEWPT2sCMRTE7wW/Q3hCbzVRwdqt0YO02JP138HjY/O6Wbp5&#10;WZOo67dvBKHHYWZ+w8wWnWvEhUKsPWsYDhQI4tKbmisNh/3nyxRETMgGG8+k4UYRFvPe0wwL46+8&#10;pcsuVSJDOBaowabUFlLG0pLDOPAtcfZ+fHCYsgyVNAGvGe4aOVJqIh3WnBcstrS0VP7uzk7D5ry2&#10;1fgYXvdp1XYfRzXZmO+T1s/9oXoHkahL/+FH+8toeBvB/Uv+AXL+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Q8UK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jqHhbgAAADb&#10;AAAADwAAAGRycy9kb3ducmV2LnhtbEWPzQrCMBCE74LvEFbwpqkK/lTTHgTBgxe1eF6btS02m9JE&#10;q29vBMHjMDPfMJv0ZWrxpNZVlhVMxhEI4tzqigsF2Xk3WoJwHlljbZkUvMlBmvR7G4y17fhIz5Mv&#10;RICwi1FB6X0TS+nykgy6sW2Ig3ezrUEfZFtI3WIX4KaW0yiaS4MVh4USG9qWlN9PD6PAVIvb43o5&#10;1EcnD8ucssJm206p4WASrUF4evl/+NfeawWrGXy/hB8gk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HjqHhb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155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4624" behindDoc="0" locked="1" layoutInCell="1" allowOverlap="1">
                <wp:simplePos x="0" y="0"/>
                <wp:positionH relativeFrom="column">
                  <wp:posOffset>-1029335</wp:posOffset>
                </wp:positionH>
                <wp:positionV relativeFrom="page">
                  <wp:posOffset>503555</wp:posOffset>
                </wp:positionV>
                <wp:extent cx="3363595" cy="558165"/>
                <wp:effectExtent l="0" t="0" r="825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462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UUjNEL4AAADc&#10;AAAADwAAAGRycy9kb3ducmV2LnhtbEWPzU4DMQyE70i8Q2QkbjQpiBYtTXuoQHCC/h16tDbuZtWN&#10;s03Sdnl7fEDiZmvGM59niyF06kIpt5EtjEcGFHEdXcuNhd32/eEFVC7IDrvIZOGHMizmtzczrFy8&#10;8poum9IoCeFcoQVfSl9pnWtPAfMo9sSiHWIKWGRNjXYJrxIeOv1ozEQHbFkaPPa09FQfN+dgYXX+&#10;8s3TPk235aMf3vZmsnLfJ2vv78bmFVShofyb/64/neA/C748IxPo+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UjNEL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yHcE7UAAADb&#10;AAAADwAAAGRycy9kb3ducmV2LnhtbEVPuwrCMBTdBf8hXMHNpjpoqY0OguDgYi3O1+b2gc1NaaLV&#10;vzeD4Hg472z/Np140eBaywqWUQyCuLS65VpBcT0uEhDOI2vsLJOCDznY76aTDFNtR77QK/e1CCHs&#10;UlTQeN+nUrqyIYMusj1x4Co7GPQBDrXUA44h3HRyFcdrabDl0NBgT4eGykf+NApMu6me99u5uzh5&#10;TkoqalscRqXms2W8BeHp7f/in/ukFazC2PAl/AC5+wJ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syHcE7UAAADbAAAADwAA&#10;AAAAAAABACAAAAAiAAAAZHJzL2Rvd25yZXYueG1sUEsBAhQAFAAAAAgAh07iQDMvBZ47AAAAOQAA&#10;ABAAAAAAAAAAAQAgAAAABAEAAGRycy9zaGFwZXhtbC54bWxQSwUGAAAAAAYABgBbAQAArgMA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hint="eastAsia" w:ascii="仿宋_GB2312" w:eastAsia="仿宋_GB2312" w:hAnsiTheme="majorEastAsia"/>
          <w:color w:val="000000"/>
          <w:kern w:val="0"/>
          <w:sz w:val="32"/>
          <w:szCs w:val="32"/>
          <w:lang w:val="en-US" w:eastAsia="zh-CN"/>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r>
        <w:rPr>
          <w:rFonts w:hint="eastAsia" w:ascii="仿宋_GB2312" w:eastAsia="仿宋_GB2312" w:hAnsiTheme="majorEastAsia"/>
          <w:color w:val="000000"/>
          <w:kern w:val="0"/>
          <w:sz w:val="32"/>
          <w:szCs w:val="32"/>
          <w:lang w:eastAsia="zh-CN"/>
        </w:rPr>
        <w:t>。</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6672" behindDoc="0" locked="1" layoutInCell="1" allowOverlap="1">
                <wp:simplePos x="0" y="0"/>
                <wp:positionH relativeFrom="column">
                  <wp:posOffset>-1029335</wp:posOffset>
                </wp:positionH>
                <wp:positionV relativeFrom="page">
                  <wp:posOffset>503555</wp:posOffset>
                </wp:positionV>
                <wp:extent cx="3363595" cy="558165"/>
                <wp:effectExtent l="0" t="0" r="825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667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oapdfr0AAADb&#10;AAAADwAAAGRycy9kb3ducmV2LnhtbEWPQWsCMRSE7wX/Q3iCt5po0bZbowdp0VO12oPHx+Z1s3Tz&#10;sk2irv/eFASPw8x8w8wWnWvEiUKsPWsYDRUI4tKbmisN3/uPxxcQMSEbbDyThgtFWMx7DzMsjD/z&#10;F512qRIZwrFADTaltpAylpYcxqFvibP344PDlGWopAl4znDXyLFSU+mw5rxgsaWlpfJ3d3QatsdP&#10;Wz0dwvM+rdru/aCmW7P503rQH6k3EIm6dA/f2muj4XUC/1/yD5DzK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ql1+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k0kHbgAAADb&#10;AAAADwAAAGRycy9kb3ducmV2LnhtbEWPzQrCMBCE74LvEFbwZlM9+FNNexAED17U4nlt1rbYbEoT&#10;rb69EQSPw8x8w2yyl2nEkzpXW1YwjWIQxIXVNZcK8vNusgThPLLGxjIpeJODLB0ONpho2/ORnidf&#10;igBhl6CCyvs2kdIVFRl0kW2Jg3eznUEfZFdK3WEf4KaRszieS4M1h4UKW9pWVNxPD6PA1Ivb43o5&#10;NEcnD8uC8tLm216p8Wgar0F4evl/+NfeawWrOXy/hB8g0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Dk0kHb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7696" behindDoc="0" locked="1" layoutInCell="1" allowOverlap="1">
                <wp:simplePos x="0" y="0"/>
                <wp:positionH relativeFrom="column">
                  <wp:posOffset>-1029335</wp:posOffset>
                </wp:positionH>
                <wp:positionV relativeFrom="page">
                  <wp:posOffset>503555</wp:posOffset>
                </wp:positionV>
                <wp:extent cx="3363595" cy="558165"/>
                <wp:effectExtent l="0" t="0" r="825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769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6vy4LkAAADb&#10;AAAADwAAAGRycy9kb3ducmV2LnhtbEVPu27CMBTdK/UfrFupW7FpJWhTDAMqgolnB8ar+BJHxNfB&#10;NhD+Hg9IjEfnPZp0rhEXCrH2rKHfUyCIS29qrjT872Yf3yBiQjbYeCYNN4owGb++jLAw/sobumxT&#10;JXIIxwI12JTaQspYWnIYe74lztzBB4cpw1BJE/Caw10jP5UaSIc15waLLU0tlcft2WlYn5e2+tqH&#10;4S7N2+5vrwZrszpp/f7WV78gEnXpKX64F0bDTx6bv+QfIMd3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r8uC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9Kwb7gAAADb&#10;AAAADwAAAGRycy9kb3ducmV2LnhtbEWPMQvCMBSEd8H/EJ7gpqkOamtTB0FwcFGL87N5tsXmpTTR&#10;6r83guB43N13XLp5mUY8qXO1ZQWzaQSCuLC65lJBft5NViCcR9bYWCYFb3KwyYaDFBNtez7S8+RL&#10;ESDsElRQed8mUrqiIoNualvi4N1sZ9AH2ZVSd9gHuGnkPIoW0mDNYaHClrYVFffTwygw9fL2uF4O&#10;zdHJw6qgvLT5tldqPJpFaxCeXv4f/rX3WkEcw/dL+AEy+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f9Kwb7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hint="eastAsia" w:ascii="仿宋_GB2312" w:eastAsia="仿宋_GB2312" w:cs="ArialUnicodeMS" w:hAnsiTheme="minorHAnsi"/>
          <w:kern w:val="0"/>
          <w:sz w:val="32"/>
          <w:szCs w:val="32"/>
          <w:lang w:val="en-US" w:eastAsia="zh-CN"/>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（十六）经费形式: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r>
        <w:rPr>
          <w:rFonts w:hint="eastAsia" w:ascii="仿宋_GB2312" w:eastAsia="仿宋_GB2312" w:cs="ArialUnicodeMS"/>
          <w:kern w:val="0"/>
          <w:sz w:val="32"/>
          <w:szCs w:val="32"/>
          <w:lang w:eastAsia="zh-CN"/>
        </w:rPr>
        <w:t>。</w:t>
      </w: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2576"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257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967"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部门：中国共产党石家庄市鹿泉区委员会党校</w:t>
            </w: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358.56</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298.18</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3.20</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29.38</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19.15</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15.42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361.76</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362.13</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8.03</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7.66</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369.79</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369.79</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7"/>
        <w:tblW w:w="9889" w:type="dxa"/>
        <w:jc w:val="center"/>
        <w:tblLayout w:type="fixed"/>
        <w:tblCellMar>
          <w:top w:w="0" w:type="dxa"/>
          <w:left w:w="0" w:type="dxa"/>
          <w:bottom w:w="0" w:type="dxa"/>
          <w:right w:w="0" w:type="dxa"/>
        </w:tblCellMar>
      </w:tblPr>
      <w:tblGrid>
        <w:gridCol w:w="1006"/>
        <w:gridCol w:w="59"/>
        <w:gridCol w:w="240"/>
        <w:gridCol w:w="2073"/>
        <w:gridCol w:w="870"/>
        <w:gridCol w:w="1080"/>
        <w:gridCol w:w="765"/>
        <w:gridCol w:w="813"/>
        <w:gridCol w:w="1020"/>
        <w:gridCol w:w="945"/>
        <w:gridCol w:w="1018"/>
      </w:tblGrid>
      <w:tr>
        <w:tblPrEx>
          <w:tblCellMar>
            <w:top w:w="0" w:type="dxa"/>
            <w:left w:w="0" w:type="dxa"/>
            <w:bottom w:w="0" w:type="dxa"/>
            <w:right w:w="0" w:type="dxa"/>
          </w:tblCellMar>
        </w:tblPrEx>
        <w:trPr>
          <w:trHeight w:val="670" w:hRule="atLeast"/>
          <w:jc w:val="center"/>
        </w:trPr>
        <w:tc>
          <w:tcPr>
            <w:tcW w:w="9889"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100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7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6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4248" w:type="dxa"/>
            <w:gridSpan w:val="5"/>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部门：中国共产党石家庄市鹿泉区委员会党校</w:t>
            </w:r>
          </w:p>
        </w:tc>
        <w:tc>
          <w:tcPr>
            <w:tcW w:w="10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1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83"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337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8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76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81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2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9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1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13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07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3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7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3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7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337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337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361.76</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358.56</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3.20</w:t>
            </w: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教育支出</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298.43</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295.23</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3.20</w:t>
            </w: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20508</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进修及培训</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298.43</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295.23</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3.20</w:t>
            </w: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2050802</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干部教育</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298.43</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295.23</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3.20</w:t>
            </w: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28.77</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28.77</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28.77</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28.77</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28.77</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28.77</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2210201</w:t>
            </w: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3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0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87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889"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1523"/>
        <w:gridCol w:w="997"/>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2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4786" w:type="dxa"/>
            <w:gridSpan w:val="6"/>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部门：中国共产党石家庄市鹿泉区委员会党校</w:t>
            </w: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6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9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52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9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2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2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9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6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6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362.13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342.13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教育支出</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298.18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278.18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20508</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进修及培训</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298.18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278.18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2050802</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干部教育</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298.18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278.18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2210201</w:t>
            </w: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5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9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776"/>
        <w:gridCol w:w="2550"/>
        <w:gridCol w:w="480"/>
        <w:gridCol w:w="723"/>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7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6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4123"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部门：中国共产党石家庄市鹿泉区委员会党校</w:t>
            </w:r>
          </w:p>
        </w:tc>
        <w:tc>
          <w:tcPr>
            <w:tcW w:w="25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6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12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397"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7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5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2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2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358.56</w:t>
            </w: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294.98</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294.98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lang w:bidi="ar"/>
              </w:rPr>
              <w:t>七、文化旅游体育与传媒支出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1"/>
                <w:szCs w:val="21"/>
                <w:lang w:bidi="ar"/>
              </w:rPr>
              <w:t>十四、资源勘探信息等支出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18"/>
                <w:szCs w:val="18"/>
                <w:lang w:bidi="ar"/>
              </w:rPr>
              <w:t>十八、自然资源海洋气象等支出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16"/>
                <w:szCs w:val="16"/>
                <w:lang w:bidi="ar"/>
              </w:rPr>
              <w:t>二十一、灾害防治及应急管理支出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358.56</w:t>
            </w: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358.93</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358.93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8.03</w:t>
            </w: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7.66</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7.66</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8.03</w:t>
            </w: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7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366.60</w:t>
            </w:r>
          </w:p>
        </w:tc>
        <w:tc>
          <w:tcPr>
            <w:tcW w:w="2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2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366.60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366.60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7"/>
        <w:tblW w:w="10190" w:type="dxa"/>
        <w:jc w:val="center"/>
        <w:tblLayout w:type="fixed"/>
        <w:tblCellMar>
          <w:top w:w="0" w:type="dxa"/>
          <w:left w:w="0" w:type="dxa"/>
          <w:bottom w:w="0" w:type="dxa"/>
          <w:right w:w="0" w:type="dxa"/>
        </w:tblCellMar>
      </w:tblPr>
      <w:tblGrid>
        <w:gridCol w:w="1176"/>
        <w:gridCol w:w="66"/>
        <w:gridCol w:w="66"/>
        <w:gridCol w:w="2400"/>
        <w:gridCol w:w="1883"/>
        <w:gridCol w:w="2630"/>
        <w:gridCol w:w="1969"/>
      </w:tblGrid>
      <w:tr>
        <w:tblPrEx>
          <w:tblCellMar>
            <w:top w:w="0" w:type="dxa"/>
            <w:left w:w="0" w:type="dxa"/>
            <w:bottom w:w="0" w:type="dxa"/>
            <w:right w:w="0" w:type="dxa"/>
          </w:tblCellMar>
        </w:tblPrEx>
        <w:trPr>
          <w:trHeight w:val="600" w:hRule="atLeast"/>
          <w:jc w:val="center"/>
        </w:trPr>
        <w:tc>
          <w:tcPr>
            <w:tcW w:w="101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99"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5591" w:type="dxa"/>
            <w:gridSpan w:val="5"/>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部门：中国共产党石家庄市鹿泉区委员会党校</w:t>
            </w:r>
          </w:p>
        </w:tc>
        <w:tc>
          <w:tcPr>
            <w:tcW w:w="4599"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370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48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40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8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6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9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8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40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8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70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370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358.93</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338.93</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22"/>
              </w:rPr>
            </w:pPr>
            <w:r>
              <w:rPr>
                <w:rFonts w:hint="eastAsia" w:ascii="宋体" w:hAnsi="宋体" w:eastAsia="宋体" w:cs="宋体"/>
                <w:b/>
                <w:i w:val="0"/>
                <w:color w:val="000000"/>
                <w:kern w:val="0"/>
                <w:sz w:val="22"/>
                <w:szCs w:val="22"/>
                <w:u w:val="none"/>
                <w:lang w:val="en-US" w:eastAsia="zh-CN" w:bidi="ar"/>
              </w:rPr>
              <w:t>20.00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教育支出</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294.98</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274.98</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22"/>
                <w:lang w:val="en-US" w:eastAsia="zh-CN"/>
              </w:rPr>
            </w:pPr>
            <w:r>
              <w:rPr>
                <w:rFonts w:hint="eastAsia" w:ascii="宋体" w:hAnsi="宋体" w:eastAsia="宋体" w:cs="宋体"/>
                <w:i w:val="0"/>
                <w:color w:val="000000"/>
                <w:kern w:val="0"/>
                <w:sz w:val="22"/>
                <w:szCs w:val="22"/>
                <w:u w:val="none"/>
                <w:lang w:val="en-US" w:eastAsia="zh-CN" w:bidi="ar"/>
              </w:rPr>
              <w:t>20.00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20508</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进修及培训</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294.98</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274.98</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2050802</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干部教育</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294.98</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274.98</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社会保障和就业支出</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行政事业单位离退休</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2080505</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29.38</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卫生健康支出</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行政事业单位医疗</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2101101</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行政单位医疗</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19.15</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住房保障支出</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住房改革支出</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2210201</w:t>
            </w: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 xml:space="preserve">  住房公积金</w:t>
            </w: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15.42</w:t>
            </w: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4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8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4266"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部门：中国共产党石家庄市鹿泉区委员会党校</w:t>
            </w: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289.47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37.97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90.13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4.94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53.65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69.80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1.97</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9.31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1.19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1.97</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27.72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1.91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10.23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20.82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7.65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6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6"/>
                <w:szCs w:val="16"/>
                <w:lang w:bidi="ar"/>
              </w:rPr>
              <w:t>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0.71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0.59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17.34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0.62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9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lang w:bidi="ar"/>
              </w:rPr>
              <w:t>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9.52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1.58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7.91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2.98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1.10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1.06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07"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6"/>
                <w:szCs w:val="16"/>
                <w:lang w:bidi="ar"/>
              </w:rPr>
              <w:t>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0"/>
                <w:szCs w:val="20"/>
              </w:rPr>
            </w:pPr>
            <w:r>
              <w:rPr>
                <w:rFonts w:hint="eastAsia" w:ascii="宋体" w:hAnsi="宋体" w:eastAsia="宋体" w:cs="宋体"/>
                <w:i w:val="0"/>
                <w:color w:val="000000"/>
                <w:kern w:val="0"/>
                <w:sz w:val="22"/>
                <w:szCs w:val="22"/>
                <w:u w:val="none"/>
                <w:lang w:val="en-US" w:eastAsia="zh-CN" w:bidi="ar"/>
              </w:rPr>
              <w:t>5.71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2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298.99</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39.94</w:t>
            </w:r>
          </w:p>
        </w:tc>
      </w:tr>
    </w:tbl>
    <w:p>
      <w:r>
        <w:br w:type="page"/>
      </w:r>
    </w:p>
    <w:tbl>
      <w:tblPr>
        <w:tblStyle w:val="7"/>
        <w:tblW w:w="9223" w:type="dxa"/>
        <w:jc w:val="center"/>
        <w:tblLayout w:type="fixed"/>
        <w:tblCellMar>
          <w:top w:w="0" w:type="dxa"/>
          <w:left w:w="0" w:type="dxa"/>
          <w:bottom w:w="0" w:type="dxa"/>
          <w:right w:w="0" w:type="dxa"/>
        </w:tblCellMar>
      </w:tblPr>
      <w:tblGrid>
        <w:gridCol w:w="2370"/>
        <w:gridCol w:w="1425"/>
        <w:gridCol w:w="1035"/>
        <w:gridCol w:w="1560"/>
        <w:gridCol w:w="1261"/>
        <w:gridCol w:w="1572"/>
      </w:tblGrid>
      <w:tr>
        <w:tblPrEx>
          <w:tblCellMar>
            <w:top w:w="0" w:type="dxa"/>
            <w:left w:w="0" w:type="dxa"/>
            <w:bottom w:w="0" w:type="dxa"/>
            <w:right w:w="0" w:type="dxa"/>
          </w:tblCellMar>
        </w:tblPrEx>
        <w:trPr>
          <w:trHeight w:val="638" w:hRule="atLeast"/>
          <w:jc w:val="center"/>
        </w:trPr>
        <w:tc>
          <w:tcPr>
            <w:tcW w:w="9223"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237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3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4830"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部门：中国共产党石家庄市鹿泉区委员会党校</w:t>
            </w:r>
          </w:p>
        </w:tc>
        <w:tc>
          <w:tcPr>
            <w:tcW w:w="15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3"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237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425"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3856"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237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237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2370"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2.70</w:t>
            </w:r>
          </w:p>
        </w:tc>
        <w:tc>
          <w:tcPr>
            <w:tcW w:w="1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0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2.70</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2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CellMar>
            <w:top w:w="0" w:type="dxa"/>
            <w:left w:w="0" w:type="dxa"/>
            <w:bottom w:w="0" w:type="dxa"/>
            <w:right w:w="0" w:type="dxa"/>
          </w:tblCellMar>
        </w:tblPrEx>
        <w:trPr>
          <w:trHeight w:val="417" w:hRule="atLeast"/>
          <w:jc w:val="center"/>
        </w:trPr>
        <w:tc>
          <w:tcPr>
            <w:tcW w:w="9223"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2370"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425"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3856"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2370"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62" w:hRule="atLeast"/>
          <w:jc w:val="center"/>
        </w:trPr>
        <w:tc>
          <w:tcPr>
            <w:tcW w:w="237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0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2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2370"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w:t>
            </w:r>
          </w:p>
        </w:tc>
        <w:tc>
          <w:tcPr>
            <w:tcW w:w="142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03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w:t>
            </w:r>
          </w:p>
        </w:tc>
        <w:tc>
          <w:tcPr>
            <w:tcW w:w="1560"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261"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1.06</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4030"/>
        <w:gridCol w:w="36"/>
        <w:gridCol w:w="36"/>
        <w:gridCol w:w="910"/>
        <w:gridCol w:w="750"/>
        <w:gridCol w:w="750"/>
        <w:gridCol w:w="750"/>
        <w:gridCol w:w="750"/>
        <w:gridCol w:w="750"/>
        <w:gridCol w:w="7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部门：中国共产党石家庄市鹿泉区委员会党校</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lang w:eastAsia="zh-CN"/>
        </w:rPr>
        <w:t>注：</w:t>
      </w:r>
      <w:r>
        <w:rPr>
          <w:rFonts w:hint="eastAsia" w:ascii="宋体" w:hAnsi="宋体" w:eastAsia="宋体" w:cs="宋体"/>
        </w:rPr>
        <w:t>本部门本年度无相关收入（或支出、收支及结转结余等）情况，按要求空表列示。</w:t>
      </w:r>
      <w:r>
        <w:br w:type="page"/>
      </w:r>
    </w:p>
    <w:tbl>
      <w:tblPr>
        <w:tblStyle w:val="7"/>
        <w:tblW w:w="9915" w:type="dxa"/>
        <w:jc w:val="center"/>
        <w:tblLayout w:type="autofit"/>
        <w:tblCellMar>
          <w:top w:w="0" w:type="dxa"/>
          <w:left w:w="0" w:type="dxa"/>
          <w:bottom w:w="0" w:type="dxa"/>
          <w:right w:w="0" w:type="dxa"/>
        </w:tblCellMar>
      </w:tblPr>
      <w:tblGrid>
        <w:gridCol w:w="4843"/>
        <w:gridCol w:w="43"/>
        <w:gridCol w:w="43"/>
        <w:gridCol w:w="2233"/>
        <w:gridCol w:w="565"/>
        <w:gridCol w:w="1094"/>
        <w:gridCol w:w="1094"/>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部门：中国共产党石家庄市鹿泉区委员会党校</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lang w:eastAsia="zh-CN"/>
        </w:rPr>
        <w:t>注：</w:t>
      </w:r>
      <w:r>
        <w:rPr>
          <w:rFonts w:hint="eastAsia" w:ascii="宋体" w:hAnsi="宋体" w:eastAsia="宋体" w:cs="宋体"/>
        </w:rPr>
        <w:t>本部门本年度无相关收入（或支出、收支及结转结余等）情况，按要求空表列示。</w:t>
      </w:r>
      <w:r>
        <w:br w:type="page"/>
      </w:r>
    </w:p>
    <w:p>
      <w:r>
        <mc:AlternateContent>
          <mc:Choice Requires="wps">
            <w:drawing>
              <wp:anchor distT="0" distB="0" distL="114300" distR="114300" simplePos="0" relativeHeight="251673600"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3600;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楷体">
    <w:panose1 w:val="02010609060101010101"/>
    <w:charset w:val="86"/>
    <w:family w:val="modern"/>
    <w:pitch w:val="default"/>
    <w:sig w:usb0="800002BF" w:usb1="38CF7CFA" w:usb2="00000016" w:usb3="00000000" w:csb0="00040001" w:csb1="00000000"/>
  </w:font>
  <w:font w:name="等线 Light">
    <w:altName w:val="Segoe Print"/>
    <w:panose1 w:val="00000000000000000000"/>
    <w:charset w:val="00"/>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Meiryo UI">
    <w:panose1 w:val="020B0604030504040204"/>
    <w:charset w:val="80"/>
    <w:family w:val="auto"/>
    <w:pitch w:val="default"/>
    <w:sig w:usb0="E10102FF" w:usb1="EAC7FFFF" w:usb2="00010012" w:usb3="00000000" w:csb0="6002009F" w:csb1="DFD70000"/>
  </w:font>
  <w:font w:name="Gulim">
    <w:panose1 w:val="020B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203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92032;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305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93056;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408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408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510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9510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9817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817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896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896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793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793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701248"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701248;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702272"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702272;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9200"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9200;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00224"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700224;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96128"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96128;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7152"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7152;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9984"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998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100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9100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486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8486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8384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43.35pt;height:37.85pt;width:594.8pt;mso-position-horizontal-relative:page;mso-position-vertical-relative:page;z-index:25168588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691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7285A24"/>
    <w:rsid w:val="077916AB"/>
    <w:rsid w:val="0B011416"/>
    <w:rsid w:val="12861A0B"/>
    <w:rsid w:val="141A3668"/>
    <w:rsid w:val="17293C86"/>
    <w:rsid w:val="1A6907A4"/>
    <w:rsid w:val="1FC02548"/>
    <w:rsid w:val="31C2036A"/>
    <w:rsid w:val="320D02A5"/>
    <w:rsid w:val="322C0AAB"/>
    <w:rsid w:val="348E566F"/>
    <w:rsid w:val="36E031D2"/>
    <w:rsid w:val="3A226944"/>
    <w:rsid w:val="3AEE6A48"/>
    <w:rsid w:val="3B1A1041"/>
    <w:rsid w:val="3C1620AA"/>
    <w:rsid w:val="3CF55B6E"/>
    <w:rsid w:val="3D8F080F"/>
    <w:rsid w:val="41112B01"/>
    <w:rsid w:val="419D6439"/>
    <w:rsid w:val="44CE1FA4"/>
    <w:rsid w:val="46D03A16"/>
    <w:rsid w:val="47274117"/>
    <w:rsid w:val="487F73ED"/>
    <w:rsid w:val="4A347EAE"/>
    <w:rsid w:val="4C9027C2"/>
    <w:rsid w:val="4F6A3318"/>
    <w:rsid w:val="52600405"/>
    <w:rsid w:val="529B4319"/>
    <w:rsid w:val="532A0EC8"/>
    <w:rsid w:val="57773DD6"/>
    <w:rsid w:val="578B79AB"/>
    <w:rsid w:val="5CCD3FD5"/>
    <w:rsid w:val="5DE26D0C"/>
    <w:rsid w:val="607F190F"/>
    <w:rsid w:val="61FA5F9D"/>
    <w:rsid w:val="64CD6910"/>
    <w:rsid w:val="6789158D"/>
    <w:rsid w:val="67D81BA4"/>
    <w:rsid w:val="68624011"/>
    <w:rsid w:val="6AAF1C96"/>
    <w:rsid w:val="75681757"/>
    <w:rsid w:val="75A346A8"/>
    <w:rsid w:val="79B9382C"/>
    <w:rsid w:val="7B043B76"/>
    <w:rsid w:val="7C041A6A"/>
    <w:rsid w:val="7E327570"/>
    <w:rsid w:val="7E9F23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3"/>
    <w:basedOn w:val="1"/>
    <w:next w:val="1"/>
    <w:unhideWhenUsed/>
    <w:qFormat/>
    <w:uiPriority w:val="9"/>
    <w:pPr>
      <w:keepNext/>
      <w:keepLines/>
      <w:spacing w:before="260" w:after="260" w:line="416" w:lineRule="auto"/>
      <w:outlineLvl w:val="2"/>
    </w:pPr>
    <w:rPr>
      <w:b/>
      <w:bCs/>
      <w:sz w:val="32"/>
      <w:szCs w:val="32"/>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Body Text"/>
    <w:basedOn w:val="1"/>
    <w:unhideWhenUsed/>
    <w:qFormat/>
    <w:uiPriority w:val="99"/>
    <w:rPr>
      <w:rFonts w:ascii="仿宋_GB2312" w:hAnsi="仿宋_GB2312" w:eastAsia="仿宋_GB2312" w:cs="仿宋_GB2312"/>
      <w:sz w:val="32"/>
      <w:szCs w:val="32"/>
      <w:lang w:val="zh-CN" w:bidi="zh-CN"/>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customXml" Target="../customXml/item2.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E:\2019&#20250;&#35745;\&#22269;&#24211;\2018&#20915;&#31639;&#20844;&#24320;\&#22270;&#26631;.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E:\2019&#20250;&#35745;\&#22269;&#24211;\2018&#20915;&#31639;&#20844;&#24320;\&#22270;&#26631;.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E:\2019&#20250;&#35745;\&#22269;&#24211;\2018&#20915;&#31639;&#20844;&#24320;\&#22270;&#26631;.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E:\2019&#20250;&#35745;\&#22269;&#24211;\2018&#20915;&#31639;&#20844;&#24320;\&#22270;&#26631;.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E:\2019&#20250;&#35745;\&#22269;&#24211;\2018&#20915;&#31639;&#20844;&#24320;\&#22270;&#26631;.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收入构成情况</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multiLvlStrRef>
              <c:f>'[图标.XLS]CS06 政府采购情况表(公开10表)'!$B$8:$C$9</c:f>
              <c:multiLvlStrCache>
                <c:ptCount val="2"/>
                <c:lvl>
                  <c:pt idx="0">
                    <c:v>358.56万元</c:v>
                  </c:pt>
                  <c:pt idx="1">
                    <c:v>3.2万元</c:v>
                  </c:pt>
                </c:lvl>
                <c:lvl>
                  <c:pt idx="0">
                    <c:v>财政拨款收入</c:v>
                  </c:pt>
                  <c:pt idx="1">
                    <c:v>其他收入</c:v>
                  </c:pt>
                </c:lvl>
              </c:multiLvlStrCache>
            </c:multiLvlStrRef>
          </c:cat>
          <c:val>
            <c:numRef>
              <c:f>'[图标.XLS]CS06 政府采购情况表(公开10表)'!$D$8:$D$9</c:f>
              <c:numCache>
                <c:formatCode>0%</c:formatCode>
                <c:ptCount val="2"/>
                <c:pt idx="0">
                  <c:v>0.99</c:v>
                </c:pt>
                <c:pt idx="1">
                  <c:v>0.01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支出构成情况</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multiLvlStrRef>
              <c:f>'[图标.XLS]CS06 政府采购情况表(公开10表)'!$B$8:$C$9</c:f>
              <c:multiLvlStrCache>
                <c:ptCount val="2"/>
                <c:lvl>
                  <c:pt idx="0">
                    <c:v>342.13万元</c:v>
                  </c:pt>
                  <c:pt idx="1">
                    <c:v>20万元</c:v>
                  </c:pt>
                </c:lvl>
                <c:lvl>
                  <c:pt idx="0">
                    <c:v>基本支出</c:v>
                  </c:pt>
                  <c:pt idx="1">
                    <c:v>项目支出</c:v>
                  </c:pt>
                </c:lvl>
              </c:multiLvlStrCache>
            </c:multiLvlStrRef>
          </c:cat>
          <c:val>
            <c:numRef>
              <c:f>'[图标.XLS]CS06 政府采购情况表(公开10表)'!$D$8:$D$9</c:f>
              <c:numCache>
                <c:formatCode>0%</c:formatCode>
                <c:ptCount val="2"/>
                <c:pt idx="0">
                  <c:v>0.94</c:v>
                </c:pt>
                <c:pt idx="1">
                  <c:v>0.06</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2018—2019</a:t>
            </a:r>
            <a:r>
              <a:rPr altLang="en-US"/>
              <a:t>年财政拨款收支情况</a:t>
            </a:r>
            <a:endParaRPr altLang="en-US"/>
          </a:p>
        </c:rich>
      </c:tx>
      <c:layout/>
      <c:overlay val="0"/>
      <c:spPr>
        <a:noFill/>
        <a:ln>
          <a:noFill/>
        </a:ln>
        <a:effectLst/>
      </c:spPr>
    </c:title>
    <c:autoTitleDeleted val="0"/>
    <c:plotArea>
      <c:layout>
        <c:manualLayout>
          <c:layoutTarget val="inner"/>
          <c:xMode val="edge"/>
          <c:yMode val="edge"/>
          <c:x val="0.125157741465782"/>
          <c:y val="0.225135623869801"/>
          <c:w val="0.869988674971687"/>
          <c:h val="0.434228881425988"/>
        </c:manualLayout>
      </c:layout>
      <c:barChart>
        <c:barDir val="col"/>
        <c:grouping val="clustered"/>
        <c:varyColors val="0"/>
        <c:ser>
          <c:idx val="0"/>
          <c:order val="0"/>
          <c:tx>
            <c:strRef>
              <c:f>'[图标.XLS]CS06 政府采购情况表(公开10表)'!$B$12</c:f>
              <c:strCache>
                <c:ptCount val="1"/>
                <c:pt idx="0">
                  <c:v>收入</c:v>
                </c:pt>
              </c:strCache>
            </c:strRef>
          </c:tx>
          <c:spPr>
            <a:solidFill>
              <a:schemeClr val="accent1"/>
            </a:solidFill>
            <a:ln>
              <a:noFill/>
            </a:ln>
            <a:effectLst/>
          </c:spPr>
          <c:invertIfNegative val="0"/>
          <c:dLbls>
            <c:delete val="1"/>
          </c:dLbls>
          <c:cat>
            <c:strRef>
              <c:f>'[图标.XLS]CS06 政府采购情况表(公开10表)'!$C$11:$D$11</c:f>
              <c:strCache>
                <c:ptCount val="2"/>
                <c:pt idx="0">
                  <c:v>2018年</c:v>
                </c:pt>
                <c:pt idx="1">
                  <c:v>2019年</c:v>
                </c:pt>
              </c:strCache>
            </c:strRef>
          </c:cat>
          <c:val>
            <c:numRef>
              <c:f>'[图标.XLS]CS06 政府采购情况表(公开10表)'!$C$12:$D$12</c:f>
              <c:numCache>
                <c:formatCode>General</c:formatCode>
                <c:ptCount val="2"/>
                <c:pt idx="0">
                  <c:v>350.96</c:v>
                </c:pt>
                <c:pt idx="1">
                  <c:v>358.56</c:v>
                </c:pt>
              </c:numCache>
            </c:numRef>
          </c:val>
        </c:ser>
        <c:ser>
          <c:idx val="1"/>
          <c:order val="1"/>
          <c:tx>
            <c:strRef>
              <c:f>'[图标.XLS]CS06 政府采购情况表(公开10表)'!$B$13</c:f>
              <c:strCache>
                <c:ptCount val="1"/>
                <c:pt idx="0">
                  <c:v>支出</c:v>
                </c:pt>
              </c:strCache>
            </c:strRef>
          </c:tx>
          <c:spPr>
            <a:solidFill>
              <a:schemeClr val="accent2"/>
            </a:solidFill>
            <a:ln>
              <a:noFill/>
            </a:ln>
            <a:effectLst/>
          </c:spPr>
          <c:invertIfNegative val="0"/>
          <c:dLbls>
            <c:delete val="1"/>
          </c:dLbls>
          <c:cat>
            <c:strRef>
              <c:f>'[图标.XLS]CS06 政府采购情况表(公开10表)'!$C$11:$D$11</c:f>
              <c:strCache>
                <c:ptCount val="2"/>
                <c:pt idx="0">
                  <c:v>2018年</c:v>
                </c:pt>
                <c:pt idx="1">
                  <c:v>2019年</c:v>
                </c:pt>
              </c:strCache>
            </c:strRef>
          </c:cat>
          <c:val>
            <c:numRef>
              <c:f>'[图标.XLS]CS06 政府采购情况表(公开10表)'!$C$13:$D$13</c:f>
              <c:numCache>
                <c:formatCode>General</c:formatCode>
                <c:ptCount val="2"/>
                <c:pt idx="0">
                  <c:v>339.06</c:v>
                </c:pt>
                <c:pt idx="1">
                  <c:v>362.13</c:v>
                </c:pt>
              </c:numCache>
            </c:numRef>
          </c:val>
        </c:ser>
        <c:dLbls>
          <c:showLegendKey val="0"/>
          <c:showVal val="0"/>
          <c:showCatName val="0"/>
          <c:showSerName val="0"/>
          <c:showPercent val="0"/>
          <c:showBubbleSize val="0"/>
        </c:dLbls>
        <c:gapWidth val="219"/>
        <c:overlap val="-27"/>
        <c:axId val="548573367"/>
        <c:axId val="586737335"/>
      </c:barChart>
      <c:catAx>
        <c:axId val="54857336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6737335"/>
        <c:crosses val="autoZero"/>
        <c:auto val="1"/>
        <c:lblAlgn val="ctr"/>
        <c:lblOffset val="100"/>
        <c:noMultiLvlLbl val="0"/>
      </c:catAx>
      <c:valAx>
        <c:axId val="5867373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4857336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en-US"/>
              <a:t>财政拨款收支与年初预算数对比情况</a:t>
            </a:r>
            <a:endParaRPr altLang="en-US"/>
          </a:p>
        </c:rich>
      </c:tx>
      <c:layout>
        <c:manualLayout>
          <c:xMode val="edge"/>
          <c:yMode val="edge"/>
          <c:x val="0.209450738563029"/>
          <c:y val="0.0408820614469772"/>
        </c:manualLayout>
      </c:layout>
      <c:overlay val="0"/>
      <c:spPr>
        <a:noFill/>
        <a:ln>
          <a:noFill/>
        </a:ln>
        <a:effectLst/>
      </c:spPr>
    </c:title>
    <c:autoTitleDeleted val="0"/>
    <c:plotArea>
      <c:layout>
        <c:manualLayout>
          <c:layoutTarget val="inner"/>
          <c:xMode val="edge"/>
          <c:yMode val="edge"/>
          <c:x val="0.15226750261233"/>
          <c:y val="0.237810945273632"/>
          <c:w val="0.832058516196447"/>
          <c:h val="0.481194029850746"/>
        </c:manualLayout>
      </c:layout>
      <c:barChart>
        <c:barDir val="col"/>
        <c:grouping val="clustered"/>
        <c:varyColors val="0"/>
        <c:ser>
          <c:idx val="0"/>
          <c:order val="0"/>
          <c:tx>
            <c:strRef>
              <c:f>'[图标.XLS]CS06 政府采购情况表(公开10表)'!$B$12</c:f>
              <c:strCache>
                <c:ptCount val="1"/>
                <c:pt idx="0">
                  <c:v>预算数</c:v>
                </c:pt>
              </c:strCache>
            </c:strRef>
          </c:tx>
          <c:spPr>
            <a:solidFill>
              <a:schemeClr val="accent1"/>
            </a:solidFill>
            <a:ln>
              <a:noFill/>
            </a:ln>
            <a:effectLst/>
          </c:spPr>
          <c:invertIfNegative val="0"/>
          <c:dLbls>
            <c:delete val="1"/>
          </c:dLbls>
          <c:cat>
            <c:strRef>
              <c:f>'[图标.XLS]CS06 政府采购情况表(公开10表)'!$C$11:$D$11</c:f>
              <c:strCache>
                <c:ptCount val="2"/>
                <c:pt idx="0">
                  <c:v>收入</c:v>
                </c:pt>
                <c:pt idx="1">
                  <c:v>支出</c:v>
                </c:pt>
              </c:strCache>
            </c:strRef>
          </c:cat>
          <c:val>
            <c:numRef>
              <c:f>'[图标.XLS]CS06 政府采购情况表(公开10表)'!$C$12:$D$12</c:f>
              <c:numCache>
                <c:formatCode>General</c:formatCode>
                <c:ptCount val="2"/>
                <c:pt idx="0">
                  <c:v>340.32</c:v>
                </c:pt>
                <c:pt idx="1">
                  <c:v>340.32</c:v>
                </c:pt>
              </c:numCache>
            </c:numRef>
          </c:val>
        </c:ser>
        <c:ser>
          <c:idx val="1"/>
          <c:order val="1"/>
          <c:tx>
            <c:strRef>
              <c:f>'[图标.XLS]CS06 政府采购情况表(公开10表)'!$B$13</c:f>
              <c:strCache>
                <c:ptCount val="1"/>
                <c:pt idx="0">
                  <c:v>决算数</c:v>
                </c:pt>
              </c:strCache>
            </c:strRef>
          </c:tx>
          <c:spPr>
            <a:solidFill>
              <a:schemeClr val="accent2"/>
            </a:solidFill>
            <a:ln>
              <a:noFill/>
            </a:ln>
            <a:effectLst/>
          </c:spPr>
          <c:invertIfNegative val="0"/>
          <c:dLbls>
            <c:delete val="1"/>
          </c:dLbls>
          <c:cat>
            <c:strRef>
              <c:f>'[图标.XLS]CS06 政府采购情况表(公开10表)'!$C$11:$D$11</c:f>
              <c:strCache>
                <c:ptCount val="2"/>
                <c:pt idx="0">
                  <c:v>收入</c:v>
                </c:pt>
                <c:pt idx="1">
                  <c:v>支出</c:v>
                </c:pt>
              </c:strCache>
            </c:strRef>
          </c:cat>
          <c:val>
            <c:numRef>
              <c:f>'[图标.XLS]CS06 政府采购情况表(公开10表)'!$C$13:$D$13</c:f>
              <c:numCache>
                <c:formatCode>General</c:formatCode>
                <c:ptCount val="2"/>
                <c:pt idx="0">
                  <c:v>358.56</c:v>
                </c:pt>
                <c:pt idx="1">
                  <c:v>362.13</c:v>
                </c:pt>
              </c:numCache>
            </c:numRef>
          </c:val>
        </c:ser>
        <c:dLbls>
          <c:showLegendKey val="0"/>
          <c:showVal val="0"/>
          <c:showCatName val="0"/>
          <c:showSerName val="0"/>
          <c:showPercent val="0"/>
          <c:showBubbleSize val="0"/>
        </c:dLbls>
        <c:gapWidth val="219"/>
        <c:overlap val="-27"/>
        <c:axId val="548573367"/>
        <c:axId val="586737335"/>
      </c:barChart>
      <c:catAx>
        <c:axId val="54857336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6737335"/>
        <c:crosses val="autoZero"/>
        <c:auto val="1"/>
        <c:lblAlgn val="ctr"/>
        <c:lblOffset val="100"/>
        <c:noMultiLvlLbl val="0"/>
      </c:catAx>
      <c:valAx>
        <c:axId val="5867373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4857336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财政拨款支出</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multiLvlStrRef>
              <c:f>'[图标.XLS]CS06 政府采购情况表(公开10表)'!$B$12:$C$15</c:f>
              <c:multiLvlStrCache>
                <c:ptCount val="4"/>
                <c:lvl>
                  <c:pt idx="0">
                    <c:v>298.18万元</c:v>
                  </c:pt>
                  <c:pt idx="1">
                    <c:v>29.38万元</c:v>
                  </c:pt>
                  <c:pt idx="2">
                    <c:v>15.42万元</c:v>
                  </c:pt>
                  <c:pt idx="3">
                    <c:v>19.15万元</c:v>
                  </c:pt>
                </c:lvl>
                <c:lvl>
                  <c:pt idx="0">
                    <c:v>教育支出</c:v>
                  </c:pt>
                  <c:pt idx="1">
                    <c:v>社会保障和就业支出</c:v>
                  </c:pt>
                  <c:pt idx="2">
                    <c:v>住房保障支出</c:v>
                  </c:pt>
                  <c:pt idx="3">
                    <c:v>卫生健康支出</c:v>
                  </c:pt>
                </c:lvl>
              </c:multiLvlStrCache>
            </c:multiLvlStrRef>
          </c:cat>
          <c:val>
            <c:numRef>
              <c:f>'[图标.XLS]CS06 政府采购情况表(公开10表)'!$D$12:$D$15</c:f>
              <c:numCache>
                <c:formatCode>0%</c:formatCode>
                <c:ptCount val="4"/>
                <c:pt idx="0">
                  <c:v>0.83</c:v>
                </c:pt>
                <c:pt idx="1">
                  <c:v>0.08</c:v>
                </c:pt>
                <c:pt idx="2">
                  <c:v>0.04</c:v>
                </c:pt>
                <c:pt idx="3">
                  <c:v>0.05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2</TotalTime>
  <ScaleCrop>false</ScaleCrop>
  <LinksUpToDate>false</LinksUpToDate>
  <CharactersWithSpaces>11119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2023-05-26T08:34:41Z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6D32F674414C404E9760ADD507FEB7ED</vt:lpwstr>
  </property>
</Properties>
</file>