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仿宋" w:hAnsi="仿宋" w:eastAsia="仿宋" w:cs="方正小标宋简体"/>
          <w:sz w:val="36"/>
          <w:szCs w:val="36"/>
        </w:rPr>
      </w:pPr>
      <w:bookmarkStart w:id="1" w:name="_GoBack"/>
      <w:bookmarkEnd w:id="1"/>
      <w:r>
        <w:rPr>
          <w:rFonts w:hint="eastAsia" w:ascii="仿宋" w:hAnsi="仿宋" w:eastAsia="仿宋" w:cs="方正小标宋简体"/>
          <w:sz w:val="36"/>
          <w:szCs w:val="36"/>
        </w:rPr>
        <w:t>鹿泉红色历史文化项目绩效评价报告</w:t>
      </w:r>
    </w:p>
    <w:p>
      <w:pPr>
        <w:spacing w:line="560" w:lineRule="exact"/>
        <w:ind w:firstLine="640" w:firstLineChars="200"/>
        <w:rPr>
          <w:rFonts w:ascii="仿宋" w:hAnsi="仿宋" w:eastAsia="仿宋" w:cs="仿宋_GB2312"/>
          <w:sz w:val="32"/>
          <w:szCs w:val="32"/>
        </w:rPr>
      </w:pP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根据《石家庄市鹿泉区区级部门预算绩效管理办法》（鹿财字</w:t>
      </w:r>
      <w:r>
        <w:rPr>
          <w:rFonts w:ascii="仿宋" w:hAnsi="仿宋" w:eastAsia="仿宋" w:cs="仿宋_GB2312"/>
          <w:sz w:val="32"/>
          <w:szCs w:val="32"/>
        </w:rPr>
        <w:t>[2019]65</w:t>
      </w:r>
      <w:r>
        <w:rPr>
          <w:rFonts w:hint="eastAsia" w:ascii="仿宋" w:hAnsi="仿宋" w:eastAsia="仿宋" w:cs="仿宋_GB2312"/>
          <w:sz w:val="32"/>
          <w:szCs w:val="32"/>
        </w:rPr>
        <w:t>号），遵循“科学性、规范性、客观性和公正性”的原则，对</w:t>
      </w:r>
      <w:r>
        <w:rPr>
          <w:rFonts w:hint="eastAsia" w:ascii="仿宋" w:hAnsi="仿宋" w:eastAsia="仿宋" w:cs="方正小标宋简体"/>
          <w:sz w:val="32"/>
          <w:szCs w:val="32"/>
        </w:rPr>
        <w:t>鹿泉红色历史文化</w:t>
      </w:r>
      <w:r>
        <w:rPr>
          <w:rFonts w:hint="eastAsia" w:ascii="仿宋" w:hAnsi="仿宋" w:eastAsia="仿宋" w:cs="仿宋_GB2312"/>
          <w:sz w:val="32"/>
          <w:szCs w:val="32"/>
        </w:rPr>
        <w:t>项目实施了绩效评价，形成本评价报告。</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一、项目基本情况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（一）项目概况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鹿泉红色历史文化领导小组活动经费：</w:t>
      </w:r>
      <w:r>
        <w:rPr>
          <w:rFonts w:ascii="仿宋" w:hAnsi="仿宋" w:eastAsia="仿宋" w:cs="仿宋_GB2312"/>
          <w:sz w:val="32"/>
          <w:szCs w:val="32"/>
        </w:rPr>
        <w:t>2019</w:t>
      </w:r>
      <w:r>
        <w:rPr>
          <w:rFonts w:hint="eastAsia" w:ascii="仿宋" w:hAnsi="仿宋" w:eastAsia="仿宋" w:cs="仿宋_GB2312"/>
          <w:sz w:val="32"/>
          <w:szCs w:val="32"/>
        </w:rPr>
        <w:t>年申请安排金额</w:t>
      </w:r>
      <w:r>
        <w:rPr>
          <w:rFonts w:ascii="仿宋" w:hAnsi="仿宋" w:eastAsia="仿宋" w:cs="仿宋_GB2312"/>
          <w:sz w:val="32"/>
          <w:szCs w:val="32"/>
        </w:rPr>
        <w:t xml:space="preserve"> 10 </w:t>
      </w:r>
      <w:r>
        <w:rPr>
          <w:rFonts w:hint="eastAsia" w:ascii="仿宋" w:hAnsi="仿宋" w:eastAsia="仿宋" w:cs="仿宋_GB2312"/>
          <w:sz w:val="32"/>
          <w:szCs w:val="32"/>
        </w:rPr>
        <w:t>万元</w:t>
      </w:r>
      <w:r>
        <w:rPr>
          <w:rFonts w:ascii="仿宋" w:hAnsi="仿宋" w:eastAsia="仿宋" w:cs="仿宋_GB2312"/>
          <w:sz w:val="32"/>
          <w:szCs w:val="32"/>
        </w:rPr>
        <w:t>2019</w:t>
      </w:r>
      <w:r>
        <w:rPr>
          <w:rFonts w:hint="eastAsia" w:ascii="仿宋" w:hAnsi="仿宋" w:eastAsia="仿宋" w:cs="仿宋_GB2312"/>
          <w:sz w:val="32"/>
          <w:szCs w:val="32"/>
        </w:rPr>
        <w:t>年预算安排（实际拨付金额）</w:t>
      </w:r>
      <w:r>
        <w:rPr>
          <w:rFonts w:ascii="仿宋" w:hAnsi="仿宋" w:eastAsia="仿宋" w:cs="仿宋_GB2312"/>
          <w:sz w:val="32"/>
          <w:szCs w:val="32"/>
        </w:rPr>
        <w:t xml:space="preserve">10 </w:t>
      </w:r>
      <w:r>
        <w:rPr>
          <w:rFonts w:hint="eastAsia" w:ascii="仿宋" w:hAnsi="仿宋" w:eastAsia="仿宋" w:cs="仿宋_GB2312"/>
          <w:sz w:val="32"/>
          <w:szCs w:val="32"/>
        </w:rPr>
        <w:t>万元。</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关于红色历史文化建设领导小组活动经费的申请，用于进一步挖掘、保护和利用红色历史文化资源，推进乡村志和红色历史文化“五个一”工程，助力经济社会发展。</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（二）项目预期绩效目标</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红色文化建设创出鹿泉特色。为迎接新中国成立</w:t>
      </w:r>
      <w:r>
        <w:rPr>
          <w:rFonts w:ascii="仿宋" w:hAnsi="仿宋" w:eastAsia="仿宋"/>
          <w:sz w:val="32"/>
          <w:szCs w:val="32"/>
        </w:rPr>
        <w:t>70</w:t>
      </w:r>
      <w:r>
        <w:rPr>
          <w:rFonts w:hint="eastAsia" w:ascii="仿宋" w:hAnsi="仿宋" w:eastAsia="仿宋"/>
          <w:sz w:val="32"/>
          <w:szCs w:val="32"/>
        </w:rPr>
        <w:t>周年，充分发挥红色陈列馆的作用，史志办及时逐点进行检查督导，要求进一步规范建设质量，完善相关设施，提升服务水平。今年以来，包括北京市史志办等单位来我区参观革命陈列馆；“省会红色名校寻根之旅”启动，裕华区智汇小学与鹿泉区古贤小学联合开展“手拉手红心向党”活动；与</w:t>
      </w:r>
      <w:r>
        <w:rPr>
          <w:rFonts w:hint="eastAsia" w:ascii="仿宋" w:hAnsi="仿宋" w:eastAsia="仿宋"/>
          <w:sz w:val="32"/>
          <w:szCs w:val="32"/>
          <w:shd w:val="clear" w:color="auto" w:fill="FFFFFF"/>
        </w:rPr>
        <w:t>文化广电体育和旅游局、区档案馆、区红色文化研究会、李村镇政府联合举办“鹿泉红色历史图片实物展”</w:t>
      </w:r>
      <w:r>
        <w:rPr>
          <w:rFonts w:hint="eastAsia" w:ascii="仿宋" w:hAnsi="仿宋" w:eastAsia="仿宋"/>
          <w:sz w:val="32"/>
          <w:szCs w:val="32"/>
        </w:rPr>
        <w:t>。在东坡山文化园修建了“鹿泉革命史展馆”，配合区委宣传部打造了具有鹿泉特色的红色之旅，在全区</w:t>
      </w:r>
      <w:r>
        <w:rPr>
          <w:rFonts w:hint="eastAsia" w:ascii="仿宋" w:hAnsi="仿宋" w:eastAsia="仿宋"/>
          <w:sz w:val="32"/>
          <w:szCs w:val="32"/>
          <w:lang w:eastAsia="zh-CN"/>
        </w:rPr>
        <w:t>“不忘初心、牢记使命”主题教育</w:t>
      </w:r>
      <w:r>
        <w:rPr>
          <w:rFonts w:hint="eastAsia" w:ascii="仿宋" w:hAnsi="仿宋" w:eastAsia="仿宋"/>
          <w:sz w:val="32"/>
          <w:szCs w:val="32"/>
        </w:rPr>
        <w:t>预热活动中发挥了较好的作用，得到各级领导、部门广泛好评。目前，已出版红色文化书籍</w:t>
      </w:r>
      <w:r>
        <w:rPr>
          <w:rFonts w:ascii="仿宋" w:hAnsi="仿宋" w:eastAsia="仿宋"/>
          <w:sz w:val="32"/>
          <w:szCs w:val="32"/>
        </w:rPr>
        <w:t>5</w:t>
      </w:r>
      <w:r>
        <w:rPr>
          <w:rFonts w:hint="eastAsia" w:ascii="仿宋" w:hAnsi="仿宋" w:eastAsia="仿宋"/>
          <w:sz w:val="32"/>
          <w:szCs w:val="32"/>
        </w:rPr>
        <w:t>部，建成陈列馆</w:t>
      </w:r>
      <w:r>
        <w:rPr>
          <w:rFonts w:ascii="仿宋" w:hAnsi="仿宋" w:eastAsia="仿宋"/>
          <w:sz w:val="32"/>
          <w:szCs w:val="32"/>
        </w:rPr>
        <w:t>7</w:t>
      </w:r>
      <w:r>
        <w:rPr>
          <w:rFonts w:hint="eastAsia" w:ascii="仿宋" w:hAnsi="仿宋" w:eastAsia="仿宋"/>
          <w:sz w:val="32"/>
          <w:szCs w:val="32"/>
        </w:rPr>
        <w:t>个，拍摄电视专题片</w:t>
      </w:r>
      <w:r>
        <w:rPr>
          <w:rFonts w:ascii="仿宋" w:hAnsi="仿宋" w:eastAsia="仿宋"/>
          <w:sz w:val="32"/>
          <w:szCs w:val="32"/>
        </w:rPr>
        <w:t>9</w:t>
      </w:r>
      <w:r>
        <w:rPr>
          <w:rFonts w:hint="eastAsia" w:ascii="仿宋" w:hAnsi="仿宋" w:eastAsia="仿宋"/>
          <w:sz w:val="32"/>
          <w:szCs w:val="32"/>
        </w:rPr>
        <w:t>部，我区与相关院校签定多个合作项目，红色文化功效得到初步显现。</w:t>
      </w:r>
      <w:r>
        <w:rPr>
          <w:rFonts w:ascii="仿宋" w:hAnsi="仿宋" w:eastAsia="仿宋" w:cs="Arial"/>
          <w:sz w:val="32"/>
          <w:szCs w:val="32"/>
        </w:rPr>
        <w:t>3</w:t>
      </w:r>
      <w:r>
        <w:rPr>
          <w:rFonts w:hint="eastAsia" w:ascii="仿宋" w:hAnsi="仿宋" w:eastAsia="仿宋" w:cs="Arial"/>
          <w:sz w:val="32"/>
          <w:szCs w:val="32"/>
        </w:rPr>
        <w:t>月，中宣部、财政部、文化和旅游部、国家文物局</w:t>
      </w:r>
      <w:r>
        <w:rPr>
          <w:rFonts w:hint="eastAsia" w:ascii="仿宋" w:hAnsi="仿宋" w:eastAsia="仿宋"/>
          <w:sz w:val="32"/>
          <w:szCs w:val="32"/>
        </w:rPr>
        <w:t>公布“革命文物保护利用片区分县名单（第一批）”，我区成功入选。</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积极参与宣传部国教办、教育局在学校组织开展的国防教育活动，为中小学校师生讲课。与市委党史研究室、石门地下斗争历史研究会筹备组在西良厢村联合举办了“太行区石门城工委获鹿地下斗争考察调研座谈会”。积极协助区老促会编撰《鹿泉革命老区史》，已正式出版。</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二、绩效评价工作情况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（一）项目绩效总体情况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根据工作安排，成立评价工作小组，拟定本次绩效评价工作方案，准备绩效评价资料。初步评价结论征求意见后，评价工作组撰写绩效评价报告。</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红色文化建设创出鹿泉特色。为迎接新中国成立</w:t>
      </w:r>
      <w:r>
        <w:rPr>
          <w:rFonts w:ascii="仿宋" w:hAnsi="仿宋" w:eastAsia="仿宋"/>
          <w:sz w:val="32"/>
          <w:szCs w:val="32"/>
        </w:rPr>
        <w:t>70</w:t>
      </w:r>
      <w:r>
        <w:rPr>
          <w:rFonts w:hint="eastAsia" w:ascii="仿宋" w:hAnsi="仿宋" w:eastAsia="仿宋"/>
          <w:sz w:val="32"/>
          <w:szCs w:val="32"/>
        </w:rPr>
        <w:t>周年，充分发挥红色陈列馆的作用，史志办与</w:t>
      </w:r>
      <w:r>
        <w:rPr>
          <w:rFonts w:hint="eastAsia" w:ascii="仿宋" w:hAnsi="仿宋" w:eastAsia="仿宋"/>
          <w:sz w:val="32"/>
          <w:szCs w:val="32"/>
          <w:shd w:val="clear" w:color="auto" w:fill="FFFFFF"/>
        </w:rPr>
        <w:t>文化广电体育和旅游局、区档案馆、区红色文化研究会、李村镇政府联合举办“鹿泉红色历史图片实物展”</w:t>
      </w:r>
      <w:r>
        <w:rPr>
          <w:rFonts w:hint="eastAsia" w:ascii="仿宋" w:hAnsi="仿宋" w:eastAsia="仿宋"/>
          <w:sz w:val="32"/>
          <w:szCs w:val="32"/>
        </w:rPr>
        <w:t>。在东坡山文化园修建了“鹿泉革命史展馆”，配合区委宣传部打造了具有鹿泉特色的红色之旅，在全区</w:t>
      </w:r>
      <w:r>
        <w:rPr>
          <w:rFonts w:hint="eastAsia" w:ascii="仿宋" w:hAnsi="仿宋" w:eastAsia="仿宋"/>
          <w:sz w:val="32"/>
          <w:szCs w:val="32"/>
          <w:lang w:eastAsia="zh-CN"/>
        </w:rPr>
        <w:t>“不忘初心、牢记使命”主题教育</w:t>
      </w:r>
      <w:r>
        <w:rPr>
          <w:rFonts w:hint="eastAsia" w:ascii="仿宋" w:hAnsi="仿宋" w:eastAsia="仿宋"/>
          <w:sz w:val="32"/>
          <w:szCs w:val="32"/>
        </w:rPr>
        <w:t>预热活动中发挥了较好的作用，得到各级领导、部门广泛好评。目前，已出版红色文化书籍</w:t>
      </w:r>
      <w:r>
        <w:rPr>
          <w:rFonts w:ascii="仿宋" w:hAnsi="仿宋" w:eastAsia="仿宋"/>
          <w:sz w:val="32"/>
          <w:szCs w:val="32"/>
        </w:rPr>
        <w:t>5</w:t>
      </w:r>
      <w:r>
        <w:rPr>
          <w:rFonts w:hint="eastAsia" w:ascii="仿宋" w:hAnsi="仿宋" w:eastAsia="仿宋"/>
          <w:sz w:val="32"/>
          <w:szCs w:val="32"/>
        </w:rPr>
        <w:t>部，建成陈列馆</w:t>
      </w:r>
      <w:r>
        <w:rPr>
          <w:rFonts w:ascii="仿宋" w:hAnsi="仿宋" w:eastAsia="仿宋"/>
          <w:sz w:val="32"/>
          <w:szCs w:val="32"/>
        </w:rPr>
        <w:t>7</w:t>
      </w:r>
      <w:r>
        <w:rPr>
          <w:rFonts w:hint="eastAsia" w:ascii="仿宋" w:hAnsi="仿宋" w:eastAsia="仿宋"/>
          <w:sz w:val="32"/>
          <w:szCs w:val="32"/>
        </w:rPr>
        <w:t>个，拍摄电视专题片</w:t>
      </w:r>
      <w:r>
        <w:rPr>
          <w:rFonts w:ascii="仿宋" w:hAnsi="仿宋" w:eastAsia="仿宋"/>
          <w:sz w:val="32"/>
          <w:szCs w:val="32"/>
        </w:rPr>
        <w:t>9</w:t>
      </w:r>
      <w:r>
        <w:rPr>
          <w:rFonts w:hint="eastAsia" w:ascii="仿宋" w:hAnsi="仿宋" w:eastAsia="仿宋"/>
          <w:sz w:val="32"/>
          <w:szCs w:val="32"/>
        </w:rPr>
        <w:t>部，我区与相关院校签定多个合作项目，红色文化功效得到初步显现。</w:t>
      </w:r>
      <w:r>
        <w:rPr>
          <w:rFonts w:ascii="仿宋" w:hAnsi="仿宋" w:eastAsia="仿宋" w:cs="Arial"/>
          <w:sz w:val="32"/>
          <w:szCs w:val="32"/>
        </w:rPr>
        <w:t>3</w:t>
      </w:r>
      <w:r>
        <w:rPr>
          <w:rFonts w:hint="eastAsia" w:ascii="仿宋" w:hAnsi="仿宋" w:eastAsia="仿宋" w:cs="Arial"/>
          <w:sz w:val="32"/>
          <w:szCs w:val="32"/>
        </w:rPr>
        <w:t>月，中宣部、财政部、文化和旅游部、国家文物局</w:t>
      </w:r>
      <w:r>
        <w:rPr>
          <w:rFonts w:hint="eastAsia" w:ascii="仿宋" w:hAnsi="仿宋" w:eastAsia="仿宋"/>
          <w:sz w:val="32"/>
          <w:szCs w:val="32"/>
        </w:rPr>
        <w:t>公布“革命文物保护利用片区分县名单（第一批）”，我区成功入选。</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积极参与宣传部国教办、教育局在学校组织开展的国防教育活动，为中小学校师生讲课。与市委党史研究室、石门地下斗争历史研究会筹备组在西良厢村联合举办了“太行区石门城工委获鹿地下斗争考察调研座谈会”。</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（二）绩效评价指标体系、评价方法和结论</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本次绩效评价指标采用共性指标与个性指标相结合的方式，使用项目投入（</w:t>
      </w:r>
      <w:r>
        <w:rPr>
          <w:rFonts w:ascii="仿宋" w:hAnsi="仿宋" w:eastAsia="仿宋" w:cs="仿宋_GB2312"/>
          <w:sz w:val="32"/>
          <w:szCs w:val="32"/>
        </w:rPr>
        <w:t>12</w:t>
      </w:r>
      <w:r>
        <w:rPr>
          <w:rFonts w:hint="eastAsia" w:ascii="仿宋" w:hAnsi="仿宋" w:eastAsia="仿宋" w:cs="仿宋_GB2312"/>
          <w:sz w:val="32"/>
          <w:szCs w:val="32"/>
        </w:rPr>
        <w:t>分）、项目过程（</w:t>
      </w:r>
      <w:r>
        <w:rPr>
          <w:rFonts w:ascii="仿宋" w:hAnsi="仿宋" w:eastAsia="仿宋" w:cs="仿宋_GB2312"/>
          <w:sz w:val="32"/>
          <w:szCs w:val="32"/>
        </w:rPr>
        <w:t>23</w:t>
      </w:r>
      <w:r>
        <w:rPr>
          <w:rFonts w:hint="eastAsia" w:ascii="仿宋" w:hAnsi="仿宋" w:eastAsia="仿宋" w:cs="仿宋_GB2312"/>
          <w:sz w:val="32"/>
          <w:szCs w:val="32"/>
        </w:rPr>
        <w:t>分）、项目产出（</w:t>
      </w:r>
      <w:r>
        <w:rPr>
          <w:rFonts w:ascii="仿宋" w:hAnsi="仿宋" w:eastAsia="仿宋" w:cs="仿宋_GB2312"/>
          <w:sz w:val="32"/>
          <w:szCs w:val="32"/>
        </w:rPr>
        <w:t>35</w:t>
      </w:r>
      <w:r>
        <w:rPr>
          <w:rFonts w:hint="eastAsia" w:ascii="仿宋" w:hAnsi="仿宋" w:eastAsia="仿宋" w:cs="仿宋_GB2312"/>
          <w:sz w:val="32"/>
          <w:szCs w:val="32"/>
        </w:rPr>
        <w:t>分）和项目效果（</w:t>
      </w:r>
      <w:r>
        <w:rPr>
          <w:rFonts w:ascii="仿宋" w:hAnsi="仿宋" w:eastAsia="仿宋" w:cs="仿宋_GB2312"/>
          <w:sz w:val="32"/>
          <w:szCs w:val="32"/>
        </w:rPr>
        <w:t>30</w:t>
      </w:r>
      <w:r>
        <w:rPr>
          <w:rFonts w:hint="eastAsia" w:ascii="仿宋" w:hAnsi="仿宋" w:eastAsia="仿宋" w:cs="仿宋_GB2312"/>
          <w:sz w:val="32"/>
          <w:szCs w:val="32"/>
        </w:rPr>
        <w:t>分）</w:t>
      </w:r>
      <w:r>
        <w:rPr>
          <w:rFonts w:ascii="仿宋" w:hAnsi="仿宋" w:eastAsia="仿宋" w:cs="仿宋_GB2312"/>
          <w:sz w:val="32"/>
          <w:szCs w:val="32"/>
        </w:rPr>
        <w:t>4</w:t>
      </w:r>
      <w:r>
        <w:rPr>
          <w:rFonts w:hint="eastAsia" w:ascii="仿宋" w:hAnsi="仿宋" w:eastAsia="仿宋" w:cs="仿宋_GB2312"/>
          <w:sz w:val="32"/>
          <w:szCs w:val="32"/>
        </w:rPr>
        <w:t>个指标，</w:t>
      </w:r>
      <w:bookmarkStart w:id="0" w:name="_Toc457757116"/>
      <w:bookmarkEnd w:id="0"/>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三、项目执行及绩效实现情况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（一）项目投入情况（满分</w:t>
      </w:r>
      <w:r>
        <w:rPr>
          <w:rFonts w:ascii="仿宋" w:hAnsi="仿宋" w:eastAsia="仿宋" w:cs="仿宋_GB2312"/>
          <w:sz w:val="32"/>
          <w:szCs w:val="32"/>
        </w:rPr>
        <w:t>12</w:t>
      </w:r>
      <w:r>
        <w:rPr>
          <w:rFonts w:hint="eastAsia" w:ascii="仿宋" w:hAnsi="仿宋" w:eastAsia="仿宋" w:cs="仿宋_GB2312"/>
          <w:sz w:val="32"/>
          <w:szCs w:val="32"/>
        </w:rPr>
        <w:t>分，实得</w:t>
      </w:r>
      <w:r>
        <w:rPr>
          <w:rFonts w:ascii="仿宋" w:hAnsi="仿宋" w:eastAsia="仿宋" w:cs="仿宋_GB2312"/>
          <w:sz w:val="32"/>
          <w:szCs w:val="32"/>
        </w:rPr>
        <w:t>12</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、项目立项（满分</w:t>
      </w:r>
      <w:r>
        <w:rPr>
          <w:rFonts w:ascii="仿宋" w:hAnsi="仿宋" w:eastAsia="仿宋" w:cs="仿宋_GB2312"/>
          <w:sz w:val="32"/>
          <w:szCs w:val="32"/>
        </w:rPr>
        <w:t>6</w:t>
      </w:r>
      <w:r>
        <w:rPr>
          <w:rFonts w:hint="eastAsia" w:ascii="仿宋" w:hAnsi="仿宋" w:eastAsia="仿宋" w:cs="仿宋_GB2312"/>
          <w:sz w:val="32"/>
          <w:szCs w:val="32"/>
        </w:rPr>
        <w:t>分，实得</w:t>
      </w:r>
      <w:r>
        <w:rPr>
          <w:rFonts w:ascii="仿宋" w:hAnsi="仿宋" w:eastAsia="仿宋" w:cs="仿宋_GB2312"/>
          <w:sz w:val="32"/>
          <w:szCs w:val="32"/>
        </w:rPr>
        <w:t>6</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1</w:t>
      </w:r>
      <w:r>
        <w:rPr>
          <w:rFonts w:hint="eastAsia" w:ascii="仿宋" w:hAnsi="仿宋" w:eastAsia="仿宋" w:cs="仿宋_GB2312"/>
          <w:sz w:val="32"/>
          <w:szCs w:val="32"/>
        </w:rPr>
        <w:t>）绩效目标合理性（满分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史志办制定了《岗位职责》、《财务管理制度》、并严格落实执行。</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2</w:t>
      </w:r>
      <w:r>
        <w:rPr>
          <w:rFonts w:hint="eastAsia" w:ascii="仿宋" w:hAnsi="仿宋" w:eastAsia="仿宋" w:cs="仿宋_GB2312"/>
          <w:sz w:val="32"/>
          <w:szCs w:val="32"/>
        </w:rPr>
        <w:t>）绩效目标明确性（满分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绩效目标具体、清晰、可衡量，绩效目标任务数与年度预算投资补贴额相匹配。</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、资金落实（满分</w:t>
      </w:r>
      <w:r>
        <w:rPr>
          <w:rFonts w:ascii="仿宋" w:hAnsi="仿宋" w:eastAsia="仿宋" w:cs="仿宋_GB2312"/>
          <w:sz w:val="32"/>
          <w:szCs w:val="32"/>
        </w:rPr>
        <w:t>6</w:t>
      </w:r>
      <w:r>
        <w:rPr>
          <w:rFonts w:hint="eastAsia" w:ascii="仿宋" w:hAnsi="仿宋" w:eastAsia="仿宋" w:cs="仿宋_GB2312"/>
          <w:sz w:val="32"/>
          <w:szCs w:val="32"/>
        </w:rPr>
        <w:t>分，实得</w:t>
      </w:r>
      <w:r>
        <w:rPr>
          <w:rFonts w:ascii="仿宋" w:hAnsi="仿宋" w:eastAsia="仿宋" w:cs="仿宋_GB2312"/>
          <w:sz w:val="32"/>
          <w:szCs w:val="32"/>
        </w:rPr>
        <w:t>6</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1</w:t>
      </w:r>
      <w:r>
        <w:rPr>
          <w:rFonts w:hint="eastAsia" w:ascii="仿宋" w:hAnsi="仿宋" w:eastAsia="仿宋" w:cs="仿宋_GB2312"/>
          <w:sz w:val="32"/>
          <w:szCs w:val="32"/>
        </w:rPr>
        <w:t>）资金到位率</w:t>
      </w:r>
      <w:r>
        <w:rPr>
          <w:rFonts w:ascii="仿宋" w:hAnsi="仿宋" w:eastAsia="仿宋" w:cs="仿宋_GB2312"/>
          <w:sz w:val="32"/>
          <w:szCs w:val="32"/>
        </w:rPr>
        <w:t>100%</w:t>
      </w:r>
      <w:r>
        <w:rPr>
          <w:rFonts w:hint="eastAsia" w:ascii="仿宋" w:hAnsi="仿宋" w:eastAsia="仿宋" w:cs="仿宋_GB2312"/>
          <w:sz w:val="32"/>
          <w:szCs w:val="32"/>
        </w:rPr>
        <w:t>（满分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numPr>
          <w:ilvl w:val="0"/>
          <w:numId w:val="1"/>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资金到位及时性（满分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财政资金下达后，财政及时将资金拨付到专用账户，无拖延滞后现象。</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（二）项目实施过程情况（满分</w:t>
      </w:r>
      <w:r>
        <w:rPr>
          <w:rFonts w:ascii="仿宋" w:hAnsi="仿宋" w:eastAsia="仿宋" w:cs="仿宋_GB2312"/>
          <w:sz w:val="32"/>
          <w:szCs w:val="32"/>
        </w:rPr>
        <w:t>23</w:t>
      </w:r>
      <w:r>
        <w:rPr>
          <w:rFonts w:hint="eastAsia" w:ascii="仿宋" w:hAnsi="仿宋" w:eastAsia="仿宋" w:cs="仿宋_GB2312"/>
          <w:sz w:val="32"/>
          <w:szCs w:val="32"/>
        </w:rPr>
        <w:t>分，实得</w:t>
      </w:r>
      <w:r>
        <w:rPr>
          <w:rFonts w:ascii="仿宋" w:hAnsi="仿宋" w:eastAsia="仿宋" w:cs="仿宋_GB2312"/>
          <w:sz w:val="32"/>
          <w:szCs w:val="32"/>
        </w:rPr>
        <w:t>23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、项目管理情况（满分</w:t>
      </w:r>
      <w:r>
        <w:rPr>
          <w:rFonts w:ascii="仿宋" w:hAnsi="仿宋" w:eastAsia="仿宋" w:cs="仿宋_GB2312"/>
          <w:sz w:val="32"/>
          <w:szCs w:val="32"/>
        </w:rPr>
        <w:t>11</w:t>
      </w:r>
      <w:r>
        <w:rPr>
          <w:rFonts w:hint="eastAsia" w:ascii="仿宋" w:hAnsi="仿宋" w:eastAsia="仿宋" w:cs="仿宋_GB2312"/>
          <w:sz w:val="32"/>
          <w:szCs w:val="32"/>
        </w:rPr>
        <w:t>分，实得</w:t>
      </w:r>
      <w:r>
        <w:rPr>
          <w:rFonts w:ascii="仿宋" w:hAnsi="仿宋" w:eastAsia="仿宋" w:cs="仿宋_GB2312"/>
          <w:sz w:val="32"/>
          <w:szCs w:val="32"/>
        </w:rPr>
        <w:t>11</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对管理制度健全性、制度执行有效性和项目质量可控性等情况进行分析后，根据指标体系评分标准制定计算分值。史志办依据相关的制度和经办规程结合实际制定详细的内部控制实施细则，在单位内部公开并严格执行，切实加强内控管理。</w:t>
      </w:r>
      <w:r>
        <w:rPr>
          <w:rFonts w:ascii="仿宋_GB2312" w:hAnsi="仿宋_GB2312" w:eastAsia="仿宋" w:cs="仿宋_GB2312"/>
          <w:sz w:val="32"/>
          <w:szCs w:val="32"/>
        </w:rPr>
        <w:t> </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、财务管理情况（满分</w:t>
      </w:r>
      <w:r>
        <w:rPr>
          <w:rFonts w:ascii="仿宋" w:hAnsi="仿宋" w:eastAsia="仿宋" w:cs="仿宋_GB2312"/>
          <w:sz w:val="32"/>
          <w:szCs w:val="32"/>
        </w:rPr>
        <w:t>12</w:t>
      </w:r>
      <w:r>
        <w:rPr>
          <w:rFonts w:hint="eastAsia" w:ascii="仿宋" w:hAnsi="仿宋" w:eastAsia="仿宋" w:cs="仿宋_GB2312"/>
          <w:sz w:val="32"/>
          <w:szCs w:val="32"/>
        </w:rPr>
        <w:t>分，实得</w:t>
      </w:r>
      <w:r>
        <w:rPr>
          <w:rFonts w:ascii="仿宋" w:hAnsi="仿宋" w:eastAsia="仿宋" w:cs="仿宋_GB2312"/>
          <w:sz w:val="32"/>
          <w:szCs w:val="32"/>
        </w:rPr>
        <w:t>12</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1</w:t>
      </w:r>
      <w:r>
        <w:rPr>
          <w:rFonts w:hint="eastAsia" w:ascii="仿宋" w:hAnsi="仿宋" w:eastAsia="仿宋" w:cs="仿宋_GB2312"/>
          <w:sz w:val="32"/>
          <w:szCs w:val="32"/>
        </w:rPr>
        <w:t>）账户管理（满分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严格执行财务收支两条线管理。按照规定开设授权户和基本户，做到专款专用，单独记账、核算，财务管理严格，授权户和基本户支出依据合规。</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2</w:t>
      </w:r>
      <w:r>
        <w:rPr>
          <w:rFonts w:hint="eastAsia" w:ascii="仿宋" w:hAnsi="仿宋" w:eastAsia="仿宋" w:cs="仿宋_GB2312"/>
          <w:sz w:val="32"/>
          <w:szCs w:val="32"/>
        </w:rPr>
        <w:t>）资金使用规范（满分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资金使用严格规范，不存在支出依据不合规、虚列项目支出以及截留、挤占、挪用资金等情况；不存在将个人账户储存额用于非个人账户支出等违法违规问题。</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3</w:t>
      </w:r>
      <w:r>
        <w:rPr>
          <w:rFonts w:hint="eastAsia" w:ascii="仿宋" w:hAnsi="仿宋" w:eastAsia="仿宋" w:cs="仿宋_GB2312"/>
          <w:sz w:val="32"/>
          <w:szCs w:val="32"/>
        </w:rPr>
        <w:t>）资金申请和审批程序（满分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每月的资金划拨都有完整的申请、审核、审批手续，资金拨付及时，资金申请审批程序符合管理办法规定。</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4</w:t>
      </w:r>
      <w:r>
        <w:rPr>
          <w:rFonts w:hint="eastAsia" w:ascii="仿宋" w:hAnsi="仿宋" w:eastAsia="仿宋" w:cs="仿宋_GB2312"/>
          <w:sz w:val="32"/>
          <w:szCs w:val="32"/>
        </w:rPr>
        <w:t>）会计核算（满分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按照财务管理文件和相关会计规范操作，建立会计账簿，设置会计科目进行会计核算。按照规定取得和填制原始凭证、记账凭证，更正会计记录有依据，按月核对凭证、账簿、报表，做到账证、账账、账表相符。</w:t>
      </w:r>
    </w:p>
    <w:p>
      <w:pPr>
        <w:numPr>
          <w:ilvl w:val="0"/>
          <w:numId w:val="2"/>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项目产出情况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对项目的实际完成率、完成及时率、质量达标率、成本节约等情况进行分析后，根据指示体系评分标准计算分值。项目产出情况满分</w:t>
      </w:r>
      <w:r>
        <w:rPr>
          <w:rFonts w:ascii="仿宋" w:hAnsi="仿宋" w:eastAsia="仿宋" w:cs="仿宋_GB2312"/>
          <w:sz w:val="32"/>
          <w:szCs w:val="32"/>
        </w:rPr>
        <w:t>35</w:t>
      </w:r>
      <w:r>
        <w:rPr>
          <w:rFonts w:hint="eastAsia" w:ascii="仿宋" w:hAnsi="仿宋" w:eastAsia="仿宋" w:cs="仿宋_GB2312"/>
          <w:sz w:val="32"/>
          <w:szCs w:val="32"/>
        </w:rPr>
        <w:t>分，实得</w:t>
      </w:r>
      <w:r>
        <w:rPr>
          <w:rFonts w:ascii="仿宋" w:hAnsi="仿宋" w:eastAsia="仿宋" w:cs="仿宋_GB2312"/>
          <w:sz w:val="32"/>
          <w:szCs w:val="32"/>
        </w:rPr>
        <w:t>35</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（四）项目效果情况（满分</w:t>
      </w:r>
      <w:r>
        <w:rPr>
          <w:rFonts w:ascii="仿宋" w:hAnsi="仿宋" w:eastAsia="仿宋" w:cs="仿宋_GB2312"/>
          <w:sz w:val="32"/>
          <w:szCs w:val="32"/>
        </w:rPr>
        <w:t>30</w:t>
      </w:r>
      <w:r>
        <w:rPr>
          <w:rFonts w:hint="eastAsia" w:ascii="仿宋" w:hAnsi="仿宋" w:eastAsia="仿宋" w:cs="仿宋_GB2312"/>
          <w:sz w:val="32"/>
          <w:szCs w:val="32"/>
        </w:rPr>
        <w:t>分，实得</w:t>
      </w:r>
      <w:r>
        <w:rPr>
          <w:rFonts w:ascii="仿宋" w:hAnsi="仿宋" w:eastAsia="仿宋" w:cs="仿宋_GB2312"/>
          <w:sz w:val="32"/>
          <w:szCs w:val="32"/>
        </w:rPr>
        <w:t>29</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按规定财政资金专款专用。</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四、项目综合评价结论和评价等级</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根据项目执行情况和项目绩效情况，评价工作组对</w:t>
      </w:r>
      <w:r>
        <w:rPr>
          <w:rFonts w:ascii="仿宋" w:hAnsi="仿宋" w:eastAsia="仿宋" w:cs="仿宋_GB2312"/>
          <w:sz w:val="32"/>
          <w:szCs w:val="32"/>
        </w:rPr>
        <w:t>2019</w:t>
      </w:r>
      <w:r>
        <w:rPr>
          <w:rFonts w:hint="eastAsia" w:ascii="仿宋" w:hAnsi="仿宋" w:eastAsia="仿宋" w:cs="仿宋_GB2312"/>
          <w:sz w:val="32"/>
          <w:szCs w:val="32"/>
        </w:rPr>
        <w:t>年度党史项目绩效评价为</w:t>
      </w:r>
      <w:r>
        <w:rPr>
          <w:rFonts w:ascii="仿宋" w:hAnsi="仿宋" w:eastAsia="仿宋" w:cs="仿宋_GB2312"/>
          <w:sz w:val="32"/>
          <w:szCs w:val="32"/>
        </w:rPr>
        <w:t>99</w:t>
      </w:r>
      <w:r>
        <w:rPr>
          <w:rFonts w:hint="eastAsia" w:ascii="仿宋" w:hAnsi="仿宋" w:eastAsia="仿宋" w:cs="仿宋_GB2312"/>
          <w:sz w:val="32"/>
          <w:szCs w:val="32"/>
        </w:rPr>
        <w:t>分，评价等级为优。</w:t>
      </w:r>
    </w:p>
    <w:p>
      <w:pPr>
        <w:numPr>
          <w:ilvl w:val="0"/>
          <w:numId w:val="3"/>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存在的问题及改进措施</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自开展此项工作以来，严格按要求完成了上级交给的任务，但还有很多不足之处，需要进一步提高和完善，我们一定扎扎实实地做好每一项工作，认真总结经验，查找不足，发现新问题，提出新举措，把工作做的更好。</w:t>
      </w:r>
    </w:p>
    <w:p>
      <w:pPr>
        <w:numPr>
          <w:ilvl w:val="0"/>
          <w:numId w:val="4"/>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评价工作组人员</w:t>
      </w:r>
    </w:p>
    <w:p>
      <w:pPr>
        <w:adjustRightInd w:val="0"/>
        <w:spacing w:line="360" w:lineRule="atLeast"/>
        <w:ind w:firstLine="640" w:firstLineChars="200"/>
        <w:rPr>
          <w:rFonts w:ascii="仿宋" w:hAnsi="仿宋" w:eastAsia="仿宋" w:cs="仿宋"/>
          <w:sz w:val="32"/>
          <w:szCs w:val="32"/>
        </w:rPr>
      </w:pPr>
      <w:r>
        <w:rPr>
          <w:rFonts w:hint="eastAsia" w:ascii="仿宋" w:hAnsi="仿宋" w:eastAsia="仿宋" w:cs="仿宋"/>
          <w:sz w:val="32"/>
          <w:szCs w:val="32"/>
        </w:rPr>
        <w:t>组</w:t>
      </w:r>
      <w:r>
        <w:rPr>
          <w:rFonts w:ascii="仿宋" w:hAnsi="仿宋" w:eastAsia="仿宋" w:cs="仿宋"/>
          <w:sz w:val="32"/>
          <w:szCs w:val="32"/>
        </w:rPr>
        <w:t xml:space="preserve">  </w:t>
      </w:r>
      <w:r>
        <w:rPr>
          <w:rFonts w:hint="eastAsia" w:ascii="仿宋" w:hAnsi="仿宋" w:eastAsia="仿宋" w:cs="仿宋"/>
          <w:sz w:val="32"/>
          <w:szCs w:val="32"/>
        </w:rPr>
        <w:t>长：赵荣德</w:t>
      </w:r>
      <w:r>
        <w:rPr>
          <w:rFonts w:ascii="仿宋" w:hAnsi="仿宋" w:eastAsia="仿宋" w:cs="仿宋"/>
          <w:sz w:val="32"/>
          <w:szCs w:val="32"/>
        </w:rPr>
        <w:t xml:space="preserve">  </w:t>
      </w:r>
    </w:p>
    <w:p>
      <w:pPr>
        <w:adjustRightInd w:val="0"/>
        <w:spacing w:line="360" w:lineRule="atLeast"/>
        <w:ind w:firstLine="640" w:firstLineChars="200"/>
        <w:rPr>
          <w:rFonts w:ascii="仿宋" w:hAnsi="仿宋" w:eastAsia="仿宋" w:cs="仿宋"/>
          <w:sz w:val="32"/>
          <w:szCs w:val="32"/>
        </w:rPr>
      </w:pPr>
      <w:r>
        <w:rPr>
          <w:rFonts w:hint="eastAsia" w:ascii="仿宋" w:hAnsi="仿宋" w:eastAsia="仿宋" w:cs="仿宋"/>
          <w:sz w:val="32"/>
          <w:szCs w:val="32"/>
        </w:rPr>
        <w:t>副组长：邓林峰</w:t>
      </w:r>
      <w:r>
        <w:rPr>
          <w:rFonts w:ascii="仿宋" w:hAnsi="仿宋" w:eastAsia="仿宋" w:cs="仿宋"/>
          <w:sz w:val="32"/>
          <w:szCs w:val="32"/>
        </w:rPr>
        <w:t xml:space="preserve">  </w:t>
      </w:r>
    </w:p>
    <w:p>
      <w:pPr>
        <w:adjustRightInd w:val="0"/>
        <w:spacing w:line="360" w:lineRule="atLeast"/>
        <w:ind w:firstLine="640" w:firstLineChars="200"/>
        <w:rPr>
          <w:rFonts w:ascii="仿宋" w:hAnsi="仿宋" w:eastAsia="仿宋" w:cs="仿宋"/>
          <w:sz w:val="32"/>
          <w:szCs w:val="32"/>
        </w:rPr>
      </w:pPr>
      <w:r>
        <w:rPr>
          <w:rFonts w:hint="eastAsia" w:ascii="仿宋" w:hAnsi="仿宋" w:eastAsia="仿宋" w:cs="仿宋"/>
          <w:sz w:val="32"/>
          <w:szCs w:val="32"/>
        </w:rPr>
        <w:t>组</w:t>
      </w:r>
      <w:r>
        <w:rPr>
          <w:rFonts w:ascii="仿宋" w:hAnsi="仿宋" w:eastAsia="仿宋" w:cs="仿宋"/>
          <w:sz w:val="32"/>
          <w:szCs w:val="32"/>
        </w:rPr>
        <w:t xml:space="preserve">  </w:t>
      </w:r>
      <w:r>
        <w:rPr>
          <w:rFonts w:hint="eastAsia" w:ascii="仿宋" w:hAnsi="仿宋" w:eastAsia="仿宋" w:cs="仿宋"/>
          <w:sz w:val="32"/>
          <w:szCs w:val="32"/>
        </w:rPr>
        <w:t>员：张</w:t>
      </w:r>
      <w:r>
        <w:rPr>
          <w:rFonts w:ascii="仿宋" w:hAnsi="仿宋" w:eastAsia="仿宋" w:cs="仿宋"/>
          <w:sz w:val="32"/>
          <w:szCs w:val="32"/>
        </w:rPr>
        <w:t xml:space="preserve">  </w:t>
      </w:r>
      <w:r>
        <w:rPr>
          <w:rFonts w:hint="eastAsia" w:ascii="仿宋" w:hAnsi="仿宋" w:eastAsia="仿宋" w:cs="仿宋"/>
          <w:sz w:val="32"/>
          <w:szCs w:val="32"/>
        </w:rPr>
        <w:t>莉</w:t>
      </w:r>
      <w:r>
        <w:rPr>
          <w:rFonts w:ascii="仿宋" w:hAnsi="仿宋" w:eastAsia="仿宋" w:cs="仿宋"/>
          <w:sz w:val="32"/>
          <w:szCs w:val="32"/>
        </w:rPr>
        <w:t xml:space="preserve">  </w:t>
      </w:r>
    </w:p>
    <w:p>
      <w:pPr>
        <w:adjustRightInd w:val="0"/>
        <w:spacing w:line="360" w:lineRule="atLeast"/>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孙平平</w:t>
      </w:r>
      <w:r>
        <w:rPr>
          <w:rFonts w:ascii="仿宋" w:hAnsi="仿宋" w:eastAsia="仿宋" w:cs="仿宋"/>
          <w:sz w:val="32"/>
          <w:szCs w:val="32"/>
        </w:rPr>
        <w:t xml:space="preserve">              </w:t>
      </w:r>
    </w:p>
    <w:p>
      <w:pPr>
        <w:adjustRightInd w:val="0"/>
        <w:spacing w:line="360" w:lineRule="atLeast"/>
        <w:ind w:firstLine="1920" w:firstLineChars="600"/>
        <w:rPr>
          <w:rFonts w:ascii="仿宋" w:hAnsi="仿宋" w:eastAsia="仿宋" w:cs="仿宋"/>
          <w:sz w:val="32"/>
          <w:szCs w:val="32"/>
        </w:rPr>
      </w:pPr>
      <w:r>
        <w:rPr>
          <w:rFonts w:ascii="仿宋" w:hAnsi="仿宋" w:eastAsia="仿宋" w:cs="仿宋"/>
          <w:sz w:val="32"/>
          <w:szCs w:val="32"/>
        </w:rPr>
        <w:t xml:space="preserve">                         </w:t>
      </w:r>
    </w:p>
    <w:p>
      <w:pPr>
        <w:adjustRightInd w:val="0"/>
        <w:spacing w:line="360" w:lineRule="atLeast"/>
        <w:ind w:firstLine="1920" w:firstLineChars="600"/>
        <w:rPr>
          <w:rFonts w:ascii="仿宋" w:hAnsi="仿宋" w:eastAsia="仿宋" w:cs="仿宋"/>
          <w:sz w:val="32"/>
          <w:szCs w:val="32"/>
        </w:rPr>
      </w:pPr>
    </w:p>
    <w:p>
      <w:pPr>
        <w:adjustRightInd w:val="0"/>
        <w:spacing w:line="360" w:lineRule="atLeast"/>
        <w:rPr>
          <w:rFonts w:ascii="仿宋" w:hAnsi="仿宋" w:eastAsia="仿宋" w:cs="仿宋"/>
          <w:sz w:val="32"/>
          <w:szCs w:val="32"/>
        </w:rPr>
      </w:pPr>
      <w:r>
        <w:rPr>
          <w:rFonts w:hint="eastAsia" w:ascii="仿宋" w:hAnsi="仿宋" w:eastAsia="仿宋" w:cs="仿宋"/>
          <w:sz w:val="32"/>
          <w:szCs w:val="32"/>
        </w:rPr>
        <w:t>附件：项目支出绩效评价共性指标体系框架</w:t>
      </w:r>
    </w:p>
    <w:p>
      <w:pPr>
        <w:rPr>
          <w:rFonts w:ascii="仿宋" w:hAnsi="仿宋" w:eastAsia="仿宋" w:cs="仿宋"/>
          <w:sz w:val="32"/>
          <w:szCs w:val="32"/>
        </w:rPr>
      </w:pPr>
    </w:p>
    <w:p>
      <w:pPr>
        <w:rPr>
          <w:rFonts w:ascii="仿宋" w:hAnsi="仿宋" w:eastAsia="仿宋" w:cs="仿宋"/>
          <w:sz w:val="32"/>
          <w:szCs w:val="32"/>
        </w:rPr>
      </w:pPr>
    </w:p>
    <w:p>
      <w:pPr>
        <w:jc w:val="center"/>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鹿泉区史志办</w:t>
      </w:r>
    </w:p>
    <w:p>
      <w:pPr>
        <w:spacing w:line="560" w:lineRule="exact"/>
        <w:rPr>
          <w:rFonts w:ascii="仿宋" w:hAnsi="仿宋" w:eastAsia="仿宋" w:cs="仿宋_GB2312"/>
          <w:sz w:val="32"/>
          <w:szCs w:val="32"/>
        </w:rPr>
      </w:pPr>
      <w:r>
        <w:rPr>
          <w:rFonts w:ascii="仿宋" w:hAnsi="仿宋" w:eastAsia="仿宋" w:cs="仿宋"/>
          <w:sz w:val="32"/>
          <w:szCs w:val="32"/>
        </w:rPr>
        <w:t xml:space="preserve">                                        2020</w:t>
      </w:r>
      <w:r>
        <w:rPr>
          <w:rFonts w:hint="eastAsia" w:ascii="仿宋" w:hAnsi="仿宋" w:eastAsia="仿宋" w:cs="仿宋"/>
          <w:sz w:val="32"/>
          <w:szCs w:val="32"/>
        </w:rPr>
        <w:t>年</w:t>
      </w:r>
      <w:r>
        <w:rPr>
          <w:rFonts w:ascii="仿宋" w:hAnsi="仿宋" w:eastAsia="仿宋" w:cs="仿宋"/>
          <w:sz w:val="32"/>
          <w:szCs w:val="32"/>
        </w:rPr>
        <w:t>1</w:t>
      </w:r>
      <w:r>
        <w:rPr>
          <w:rFonts w:hint="eastAsia" w:ascii="仿宋" w:hAnsi="仿宋" w:eastAsia="仿宋" w:cs="仿宋"/>
          <w:sz w:val="32"/>
          <w:szCs w:val="32"/>
        </w:rPr>
        <w:t>月</w:t>
      </w:r>
      <w:r>
        <w:rPr>
          <w:rFonts w:ascii="仿宋" w:hAnsi="仿宋" w:eastAsia="仿宋" w:cs="仿宋"/>
          <w:sz w:val="32"/>
          <w:szCs w:val="32"/>
        </w:rPr>
        <w:t>7</w:t>
      </w:r>
      <w:r>
        <w:rPr>
          <w:rFonts w:hint="eastAsia" w:ascii="仿宋" w:hAnsi="仿宋" w:eastAsia="仿宋" w:cs="仿宋"/>
          <w:sz w:val="32"/>
          <w:szCs w:val="32"/>
        </w:rPr>
        <w:t>日</w:t>
      </w:r>
      <w:r>
        <w:rPr>
          <w:rFonts w:ascii="仿宋" w:hAnsi="仿宋" w:eastAsia="仿宋" w:cs="仿宋"/>
          <w:sz w:val="32"/>
          <w:szCs w:val="32"/>
        </w:rPr>
        <w:t xml:space="preserve">  </w:t>
      </w:r>
    </w:p>
    <w:p>
      <w:pPr>
        <w:adjustRightInd w:val="0"/>
        <w:spacing w:line="360" w:lineRule="atLeast"/>
        <w:rPr>
          <w:rFonts w:ascii="仿宋" w:hAnsi="仿宋" w:eastAsia="仿宋" w:cs="仿宋"/>
          <w:sz w:val="32"/>
          <w:szCs w:val="32"/>
        </w:rPr>
      </w:pPr>
      <w:r>
        <w:rPr>
          <w:rFonts w:hint="eastAsia" w:ascii="仿宋" w:hAnsi="仿宋" w:eastAsia="仿宋" w:cs="仿宋"/>
          <w:sz w:val="32"/>
          <w:szCs w:val="32"/>
        </w:rPr>
        <w:t>附件</w:t>
      </w:r>
    </w:p>
    <w:p>
      <w:pPr>
        <w:adjustRightInd w:val="0"/>
        <w:spacing w:line="360" w:lineRule="atLeast"/>
        <w:rPr>
          <w:rFonts w:ascii="仿宋" w:hAnsi="仿宋" w:eastAsia="仿宋" w:cs="仿宋"/>
          <w:sz w:val="32"/>
          <w:szCs w:val="32"/>
        </w:rPr>
      </w:pPr>
    </w:p>
    <w:p>
      <w:pPr>
        <w:adjustRightInd w:val="0"/>
        <w:spacing w:line="360" w:lineRule="atLeast"/>
        <w:ind w:firstLine="640" w:firstLineChars="200"/>
        <w:rPr>
          <w:rFonts w:ascii="仿宋" w:hAnsi="仿宋" w:eastAsia="仿宋" w:cs="仿宋"/>
          <w:color w:val="000000"/>
          <w:sz w:val="32"/>
          <w:szCs w:val="32"/>
          <w:shd w:val="clear" w:color="auto" w:fill="FFFFFF"/>
        </w:rPr>
      </w:pP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项目支出绩效评价共性指标体系框架</w:t>
      </w:r>
    </w:p>
    <w:tbl>
      <w:tblPr>
        <w:tblStyle w:val="8"/>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一级</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二级</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指标说明</w:t>
            </w:r>
          </w:p>
        </w:tc>
      </w:tr>
      <w:tr>
        <w:tblPrEx>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投</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①项目是否按照规定的程序申请设立；</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②所提交的文件、材料是否符合相关要求；</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③事前是否已经过必要的可行性研究、专家论证、风险评估、集体决策等。</w:t>
            </w:r>
          </w:p>
        </w:tc>
      </w:tr>
      <w:tr>
        <w:tblPrEx>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①是否符合国家相关法律法规、国民经济发展规划和党委政府决策；</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②是否与项目实施单位或委托单位职责密切相关；</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③项目是否为促进事业发展所必需；</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④项目预期产出效益和效果是否符合正常的业绩水平。</w:t>
            </w:r>
          </w:p>
        </w:tc>
      </w:tr>
      <w:tr>
        <w:tblPrEx>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①是否将项目绩效目标细化分解为具体的绩效指标；</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②是否通过清晰、可衡量的指标值予以体现；</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③是否与项目年度任务数或计划数相对应；</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④是否与预算确定的项目投资额或资金量相匹配。</w:t>
            </w:r>
          </w:p>
        </w:tc>
      </w:tr>
      <w:tr>
        <w:tblPrEx>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资金到位率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（实际到位资金</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计划投入资金）×</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实际到位资金：一定时期（本年度或项目期）内实际落实到具体项目的资金。</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计划投入资金：一定时期（本年度或项目期）内计划投入到具体项目的资金。</w:t>
            </w:r>
          </w:p>
        </w:tc>
      </w:tr>
      <w:tr>
        <w:tblPrEx>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到位及时率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（及时到位资金</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应到位资金）×</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及时到位资金：截至规定时点实际落实到具体项目的资金。</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应到位资金：按照合同或项目进度要求截至规定时点应落实到具体项目的资金。</w:t>
            </w:r>
          </w:p>
        </w:tc>
      </w:tr>
      <w:tr>
        <w:tblPrEx>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过</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程</w:t>
            </w:r>
          </w:p>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业务</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①是否已制定或具有相应的业务管理制度；</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②业务管理制度是否合法、合规、完整。</w:t>
            </w:r>
          </w:p>
        </w:tc>
      </w:tr>
      <w:tr>
        <w:tblPrEx>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①是否遵守相关法律法规和业务管理规定；</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②项目调整及支出调整手续是否完备；</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③项目合同书、验收报告、技术鉴定等资料是否齐全并及时归档；</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④项目实施的人员条件、场地设备、信息支撑等是否落实到位。</w:t>
            </w:r>
          </w:p>
        </w:tc>
      </w:tr>
      <w:tr>
        <w:tblPrEx>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项目实施单位是否为达到项目质量要求而采取了必需的措施</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①是否已制定或具有相应的项目质量要求或标准；</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②是否采取了相应的项目质量检查、验收等必需的控制措施或手段。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财务</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①是否已制定或具有相应的项目资金管理办法；</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②项目资金管理办法是否符合相关财务会计制度的规定。</w:t>
            </w:r>
          </w:p>
        </w:tc>
      </w:tr>
      <w:tr>
        <w:tblPrEx>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①是否符合国家财经法规和财务管理制度以及有关专项资金管理办法的规定；</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②资金的拨付是否有完整的审批程序和手续；</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③项目的重大开支是否经过评估认证；</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④是否符合项目预算批复或合同规定的用途；</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⑤是否存在截留、挤占、挪用、虚列支出等情况。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①是否已制定或具有相应的监控机制；</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②是否采取了相应的财务检查等必要的监控措施或手段。</w:t>
            </w:r>
          </w:p>
        </w:tc>
      </w:tr>
      <w:tr>
        <w:tblPrEx>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产</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实际完成率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（实际产出数</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计划产出数）×</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实际产出数：一定时期（本年度或项目期）内项目实际产出的产品或提供的服务数量。</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计划产出数：项目绩效目标确定的在一定时期（本年度或项目期）内计划产出的产品或提供的服务数量。</w:t>
            </w:r>
          </w:p>
        </w:tc>
      </w:tr>
      <w:tr>
        <w:tblPrEx>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完成及时率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（计划完成时间</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实际完成时间）</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计划完成时间</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实际完成时间：项目实施单位完成该项目实际所耗用的时间。</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计划完成时间：按照项目实施计划或相关规定完成该项目所需的时间。</w:t>
            </w:r>
          </w:p>
        </w:tc>
      </w:tr>
      <w:tr>
        <w:tblPrEx>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质量达标率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（质量达标产出数</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实际产出数）×</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质量达标产出数：一定时期（本年度或项目期）内实际达到既定质量标准的产品或服务数量。</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既定质量标准是指项目实施单位设立绩效目标时依据计划标准、行业标准、历史标准或其他标准而设定的绩效指标值。</w:t>
            </w:r>
          </w:p>
        </w:tc>
      </w:tr>
      <w:tr>
        <w:tblPrEx>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成本节约率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（计划成本</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实际成本）</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计划成本</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实际成本：项目实施单位如期、保质、保量完成既定工作目标实际所耗费的支出。</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计划成本：项目实施单位为完成工作目标计划安排的支出，一般以项目预算为参考。</w:t>
            </w:r>
          </w:p>
        </w:tc>
      </w:tr>
      <w:tr>
        <w:tblPrEx>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效</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spacing w:line="360" w:lineRule="atLeast"/>
              <w:rPr>
                <w:rFonts w:ascii="仿宋" w:hAnsi="仿宋" w:eastAsia="仿宋" w:cs="仿宋"/>
                <w:sz w:val="32"/>
                <w:szCs w:val="32"/>
              </w:rPr>
            </w:pPr>
          </w:p>
        </w:tc>
      </w:tr>
      <w:tr>
        <w:tblPrEx>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spacing w:line="360" w:lineRule="atLeast"/>
              <w:rPr>
                <w:rFonts w:ascii="仿宋" w:hAnsi="仿宋" w:eastAsia="仿宋" w:cs="仿宋"/>
                <w:sz w:val="32"/>
                <w:szCs w:val="32"/>
              </w:rPr>
            </w:pPr>
          </w:p>
        </w:tc>
      </w:tr>
      <w:tr>
        <w:tblPrEx>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spacing w:line="360" w:lineRule="atLeast"/>
              <w:rPr>
                <w:rFonts w:ascii="仿宋" w:hAnsi="仿宋" w:eastAsia="仿宋" w:cs="仿宋"/>
                <w:sz w:val="32"/>
                <w:szCs w:val="32"/>
              </w:rPr>
            </w:pPr>
          </w:p>
        </w:tc>
      </w:tr>
      <w:tr>
        <w:tblPrEx>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社会公众或服务对象是指因该项目实施而受到影响的部门（单位）、群体或个人。一般采取社会调查的方式。</w:t>
            </w:r>
          </w:p>
        </w:tc>
      </w:tr>
    </w:tbl>
    <w:p>
      <w:pPr>
        <w:adjustRightInd w:val="0"/>
        <w:spacing w:line="360" w:lineRule="atLeast"/>
        <w:ind w:firstLine="640" w:firstLineChars="200"/>
        <w:rPr>
          <w:rFonts w:ascii="仿宋" w:hAnsi="仿宋" w:eastAsia="仿宋" w:cs="仿宋"/>
          <w:sz w:val="32"/>
          <w:szCs w:val="32"/>
        </w:rPr>
      </w:pPr>
    </w:p>
    <w:p>
      <w:pPr>
        <w:adjustRightInd w:val="0"/>
        <w:spacing w:line="360" w:lineRule="atLeast"/>
        <w:rPr>
          <w:rFonts w:ascii="仿宋" w:hAnsi="仿宋" w:eastAsia="仿宋" w:cs="仿宋"/>
          <w:sz w:val="32"/>
          <w:szCs w:val="32"/>
        </w:rPr>
      </w:pPr>
    </w:p>
    <w:p>
      <w:pPr>
        <w:spacing w:line="360" w:lineRule="atLeast"/>
        <w:rPr>
          <w:rFonts w:ascii="仿宋" w:hAnsi="仿宋" w:eastAsia="仿宋" w:cs="仿宋"/>
          <w:sz w:val="32"/>
          <w:szCs w:val="32"/>
        </w:rPr>
      </w:pPr>
    </w:p>
    <w:sectPr>
      <w:headerReference r:id="rId5" w:type="first"/>
      <w:footerReference r:id="rId8"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pict>
        <v:shape id="_x0000_s2049" o:spid="_x0000_s2049"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2050" o:spid="_x0000_s2050"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F0F68F"/>
    <w:multiLevelType w:val="singleLevel"/>
    <w:tmpl w:val="9DF0F68F"/>
    <w:lvl w:ilvl="0" w:tentative="0">
      <w:start w:val="5"/>
      <w:numFmt w:val="chineseCounting"/>
      <w:suff w:val="nothing"/>
      <w:lvlText w:val="%1、"/>
      <w:lvlJc w:val="left"/>
      <w:rPr>
        <w:rFonts w:hint="eastAsia" w:cs="Times New Roman"/>
      </w:rPr>
    </w:lvl>
  </w:abstractNum>
  <w:abstractNum w:abstractNumId="1">
    <w:nsid w:val="A8309663"/>
    <w:multiLevelType w:val="singleLevel"/>
    <w:tmpl w:val="A8309663"/>
    <w:lvl w:ilvl="0" w:tentative="0">
      <w:start w:val="3"/>
      <w:numFmt w:val="chineseCounting"/>
      <w:suff w:val="nothing"/>
      <w:lvlText w:val="（%1）"/>
      <w:lvlJc w:val="left"/>
      <w:rPr>
        <w:rFonts w:hint="eastAsia" w:cs="Times New Roman"/>
      </w:rPr>
    </w:lvl>
  </w:abstractNum>
  <w:abstractNum w:abstractNumId="2">
    <w:nsid w:val="00EA9B44"/>
    <w:multiLevelType w:val="singleLevel"/>
    <w:tmpl w:val="00EA9B44"/>
    <w:lvl w:ilvl="0" w:tentative="0">
      <w:start w:val="6"/>
      <w:numFmt w:val="chineseCounting"/>
      <w:suff w:val="nothing"/>
      <w:lvlText w:val="%1、"/>
      <w:lvlJc w:val="left"/>
      <w:rPr>
        <w:rFonts w:hint="eastAsia" w:cs="Times New Roman"/>
      </w:rPr>
    </w:lvl>
  </w:abstractNum>
  <w:abstractNum w:abstractNumId="3">
    <w:nsid w:val="6AE5C78B"/>
    <w:multiLevelType w:val="singleLevel"/>
    <w:tmpl w:val="6AE5C78B"/>
    <w:lvl w:ilvl="0" w:tentative="0">
      <w:start w:val="2"/>
      <w:numFmt w:val="decimal"/>
      <w:suff w:val="nothing"/>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1244F"/>
    <w:rsid w:val="000E7EA7"/>
    <w:rsid w:val="00474B55"/>
    <w:rsid w:val="00597335"/>
    <w:rsid w:val="006D66F3"/>
    <w:rsid w:val="00765B71"/>
    <w:rsid w:val="007B3BEF"/>
    <w:rsid w:val="007B6301"/>
    <w:rsid w:val="007F4084"/>
    <w:rsid w:val="00B35817"/>
    <w:rsid w:val="00C7079E"/>
    <w:rsid w:val="00F9083E"/>
    <w:rsid w:val="00FA206B"/>
    <w:rsid w:val="00FF52C8"/>
    <w:rsid w:val="0B321BE7"/>
    <w:rsid w:val="0DB92460"/>
    <w:rsid w:val="0F473AB3"/>
    <w:rsid w:val="0FCB05D0"/>
    <w:rsid w:val="1041606D"/>
    <w:rsid w:val="12296D55"/>
    <w:rsid w:val="137C0B1A"/>
    <w:rsid w:val="178B6D28"/>
    <w:rsid w:val="179B47F6"/>
    <w:rsid w:val="185343D5"/>
    <w:rsid w:val="1B734C88"/>
    <w:rsid w:val="2133626F"/>
    <w:rsid w:val="213C1EEA"/>
    <w:rsid w:val="214C5D6D"/>
    <w:rsid w:val="25222854"/>
    <w:rsid w:val="255E3A22"/>
    <w:rsid w:val="279119C3"/>
    <w:rsid w:val="29090997"/>
    <w:rsid w:val="2A2941B7"/>
    <w:rsid w:val="2CE01D89"/>
    <w:rsid w:val="33B625D1"/>
    <w:rsid w:val="37B068C3"/>
    <w:rsid w:val="39D019B4"/>
    <w:rsid w:val="3A356790"/>
    <w:rsid w:val="3A6D5E17"/>
    <w:rsid w:val="3D652B25"/>
    <w:rsid w:val="46B86FF6"/>
    <w:rsid w:val="491009B2"/>
    <w:rsid w:val="4E864340"/>
    <w:rsid w:val="50EC0192"/>
    <w:rsid w:val="50FE6DBB"/>
    <w:rsid w:val="539E2D87"/>
    <w:rsid w:val="55B17F74"/>
    <w:rsid w:val="570A01B0"/>
    <w:rsid w:val="57162A70"/>
    <w:rsid w:val="5719203E"/>
    <w:rsid w:val="5A09042D"/>
    <w:rsid w:val="5A677E18"/>
    <w:rsid w:val="5B9C2D34"/>
    <w:rsid w:val="5C080973"/>
    <w:rsid w:val="5D397DFA"/>
    <w:rsid w:val="5EEA64B3"/>
    <w:rsid w:val="6020085D"/>
    <w:rsid w:val="66C60BE6"/>
    <w:rsid w:val="699742CA"/>
    <w:rsid w:val="6AF716A2"/>
    <w:rsid w:val="6B9F03FA"/>
    <w:rsid w:val="74C26843"/>
    <w:rsid w:val="76903714"/>
    <w:rsid w:val="78FD39C9"/>
    <w:rsid w:val="793031E8"/>
  </w:rsids>
  <m:mathPr>
    <m:lMargin m:val="0"/>
    <m:mathFont m:val="Cambria Math"/>
    <m:rMargin m:val="0"/>
    <m:wrapIndent m:val="1440"/>
    <m:brkBin m:val="before"/>
    <m:brkBinSub m:val="--"/>
    <m:defJc m:val="centerGroup"/>
    <m:intLim m:val="subSup"/>
    <m:naryLim m:val="undOvr"/>
    <m:smallFrac m:val="off"/>
    <m:dispDef/>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99"/>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9"/>
    <w:uiPriority w:val="99"/>
    <w:pPr>
      <w:tabs>
        <w:tab w:val="center" w:pos="4153"/>
        <w:tab w:val="right" w:pos="8306"/>
      </w:tabs>
      <w:snapToGrid w:val="0"/>
      <w:jc w:val="left"/>
    </w:pPr>
    <w:rPr>
      <w:sz w:val="18"/>
      <w:szCs w:val="18"/>
    </w:rPr>
  </w:style>
  <w:style w:type="paragraph" w:styleId="3">
    <w:name w:val="header"/>
    <w:basedOn w:val="1"/>
    <w:link w:val="10"/>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99"/>
    <w:pPr>
      <w:spacing w:before="100" w:beforeAutospacing="1" w:after="100" w:afterAutospacing="1"/>
      <w:jc w:val="left"/>
    </w:pPr>
    <w:rPr>
      <w:kern w:val="0"/>
      <w:sz w:val="24"/>
    </w:rPr>
  </w:style>
  <w:style w:type="character" w:styleId="6">
    <w:name w:val="Strong"/>
    <w:basedOn w:val="5"/>
    <w:qFormat/>
    <w:uiPriority w:val="99"/>
    <w:rPr>
      <w:rFonts w:cs="Times New Roman"/>
      <w:b/>
    </w:rPr>
  </w:style>
  <w:style w:type="character" w:styleId="7">
    <w:name w:val="page number"/>
    <w:basedOn w:val="5"/>
    <w:uiPriority w:val="99"/>
    <w:rPr>
      <w:rFonts w:cs="Times New Roman"/>
    </w:rPr>
  </w:style>
  <w:style w:type="character" w:customStyle="1" w:styleId="9">
    <w:name w:val="Footer Char"/>
    <w:basedOn w:val="5"/>
    <w:link w:val="2"/>
    <w:semiHidden/>
    <w:locked/>
    <w:uiPriority w:val="99"/>
    <w:rPr>
      <w:rFonts w:ascii="Calibri" w:hAnsi="Calibri" w:cs="Times New Roman"/>
      <w:sz w:val="18"/>
      <w:szCs w:val="18"/>
    </w:rPr>
  </w:style>
  <w:style w:type="character" w:customStyle="1" w:styleId="10">
    <w:name w:val="Header Char"/>
    <w:basedOn w:val="5"/>
    <w:link w:val="3"/>
    <w:semiHidden/>
    <w:locked/>
    <w:uiPriority w:val="99"/>
    <w:rPr>
      <w:rFonts w:ascii="Calibri" w:hAnsi="Calibri" w:cs="Times New Roman"/>
      <w:sz w:val="18"/>
      <w:szCs w:val="18"/>
    </w:rPr>
  </w:style>
  <w:style w:type="paragraph" w:customStyle="1" w:styleId="11">
    <w:name w:val="默认段落字体 Para Char Char Char Char Char Char Char"/>
    <w:basedOn w:val="1"/>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16</Pages>
  <Words>780</Words>
  <Characters>4449</Characters>
  <Lines>0</Lines>
  <Paragraphs>0</Paragraphs>
  <TotalTime>0</TotalTime>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金贝叶</cp:lastModifiedBy>
  <cp:lastPrinted>2020-01-04T06:59:00Z</cp:lastPrinted>
  <dcterms:modified xsi:type="dcterms:W3CDTF">2023-03-13T02:03:48Z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