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bidi w:val="0"/>
      </w:pPr>
      <w:r>
        <w:rPr>
          <w:rFonts w:hint="eastAsia"/>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4"/>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14:textOutline w14:w="5270" w14:cap="flat" w14:cmpd="sng" w14:algn="ctr">
            <w14:solidFill>
              <w14:srgbClr w14:val="7D7D7D">
                <w14:tint w14:val="100000"/>
                <w14:shade w14:val="100000"/>
                <w14:satMod w14:val="110000"/>
              </w14:srgbClr>
            </w14:solidFill>
            <w14:prstDash w14:val="solid"/>
            <w14:round/>
          </w14:textOutline>
        </w:rPr>
      </w:pPr>
      <w:r>
        <w:rPr>
          <w:sz w:val="72"/>
        </w:rPr>
        <mc:AlternateContent>
          <mc:Choice Requires="wps">
            <w:drawing>
              <wp:anchor distT="0" distB="0" distL="114300" distR="114300" simplePos="0" relativeHeight="251660288" behindDoc="0" locked="0" layoutInCell="1" allowOverlap="1">
                <wp:simplePos x="0" y="0"/>
                <wp:positionH relativeFrom="column">
                  <wp:posOffset>-1055370</wp:posOffset>
                </wp:positionH>
                <wp:positionV relativeFrom="paragraph">
                  <wp:posOffset>549275</wp:posOffset>
                </wp:positionV>
                <wp:extent cx="7571740" cy="2111375"/>
                <wp:effectExtent l="0" t="0" r="0" b="0"/>
                <wp:wrapNone/>
                <wp:docPr id="8" name="文本框 8"/>
                <wp:cNvGraphicFramePr/>
                <a:graphic xmlns:a="http://schemas.openxmlformats.org/drawingml/2006/main">
                  <a:graphicData uri="http://schemas.microsoft.com/office/word/2010/wordprocessingShape">
                    <wps:wsp>
                      <wps:cNvSpPr txBox="1"/>
                      <wps:spPr>
                        <a:xfrm>
                          <a:off x="1435100" y="2519045"/>
                          <a:ext cx="7571740" cy="21113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spacing w:line="1200" w:lineRule="exact"/>
                              <w:jc w:val="center"/>
                              <w:rPr>
                                <w:rFonts w:hint="eastAsia" w:hAnsi="宋体" w:asciiTheme="minorEastAsia" w:eastAsiaTheme="minorEastAsia"/>
                                <w:color w:val="FDEFBE"/>
                                <w:sz w:val="96"/>
                                <w:szCs w:val="96"/>
                                <w:lang w:val="en-US" w:eastAsia="zh-CN"/>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lang w:val="en-US" w:eastAsia="zh-CN"/>
                                <w14:shadow w14:blurRad="38100" w14:dist="22860" w14:dir="5400000" w14:sx="100000" w14:sy="100000" w14:kx="0" w14:ky="0" w14:algn="tl">
                                  <w14:srgbClr w14:val="000000">
                                    <w14:alpha w14:val="70000"/>
                                  </w14:srgbClr>
                                </w14:shadow>
                                <w14:props3d w14:extrusionH="0" w14:contourW="0" w14:prstMaterial="clear"/>
                              </w:rPr>
                              <w:t>宣传部</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2018年度部门决算</w:t>
                            </w:r>
                          </w:p>
                          <w:p>
                            <w:pP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3.1pt;margin-top:43.25pt;height:166.25pt;width:596.2pt;z-index:251660288;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HDPDVNsAAAAMAQAADwAAAAAAAAABACAAAAAiAAAAZHJzL2Rvd25yZXYueG1sUEsB&#10;AhQAFAAAAAgAh07iQBU3WBcrAgAAJQQAAA4AAAAAAAAAAQAgAAAAKgEAAGRycy9lMm9Eb2MueG1s&#10;UEsFBgAAAAAGAAYAWQEAAMcFAAAAAA==&#10;">
                <v:fill on="f" focussize="0,0"/>
                <v:stroke on="f" weight="0.5pt"/>
                <v:imagedata o:title=""/>
                <o:lock v:ext="edit" aspectratio="f"/>
                <v:textbox>
                  <w:txbxContent>
                    <w:p>
                      <w:pPr>
                        <w:widowControl/>
                        <w:spacing w:line="1200" w:lineRule="exact"/>
                        <w:jc w:val="center"/>
                        <w:rPr>
                          <w:rFonts w:hint="eastAsia" w:hAnsi="宋体" w:asciiTheme="minorEastAsia" w:eastAsiaTheme="minorEastAsia"/>
                          <w:color w:val="FDEFBE"/>
                          <w:sz w:val="96"/>
                          <w:szCs w:val="96"/>
                          <w:lang w:val="en-US" w:eastAsia="zh-CN"/>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lang w:val="en-US" w:eastAsia="zh-CN"/>
                          <w14:shadow w14:blurRad="38100" w14:dist="22860" w14:dir="5400000" w14:sx="100000" w14:sy="100000" w14:kx="0" w14:ky="0" w14:algn="tl">
                            <w14:srgbClr w14:val="000000">
                              <w14:alpha w14:val="70000"/>
                            </w14:srgbClr>
                          </w14:shadow>
                          <w14:props3d w14:extrusionH="0" w14:contourW="0" w14:prstMaterial="clear"/>
                        </w:rPr>
                        <w:t>宣传部</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2018年度部门决算</w:t>
                      </w:r>
                    </w:p>
                    <w:p>
                      <w:pP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p>
                  </w:txbxContent>
                </v:textbox>
              </v:shape>
            </w:pict>
          </mc:Fallback>
        </mc:AlternateConten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hint="eastAsia" w:ascii="楷体_GB2312" w:hAnsi="楷体" w:eastAsia="楷体_GB2312" w:cs="楷体"/>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w:t>
      </w:r>
      <w:r>
        <w:rPr>
          <w:rFonts w:hint="eastAsia" w:ascii="楷体_GB2312" w:hAnsi="楷体" w:eastAsia="楷体_GB2312" w:cs="楷体"/>
          <w:b/>
          <w:sz w:val="40"/>
          <w:szCs w:val="40"/>
          <w:lang w:val="en-US" w:eastAsia="zh-CN"/>
        </w:rPr>
        <w:t>二十五</w:t>
      </w:r>
      <w:r>
        <w:rPr>
          <w:rFonts w:hint="eastAsia" w:ascii="楷体_GB2312" w:hAnsi="楷体" w:eastAsia="楷体_GB2312" w:cs="楷体"/>
          <w:b/>
          <w:sz w:val="40"/>
          <w:szCs w:val="40"/>
        </w:rPr>
        <w:t>日</w:t>
      </w:r>
    </w:p>
    <w:p>
      <w:pPr>
        <w:spacing w:before="624" w:beforeLines="200" w:after="0" w:line="1000" w:lineRule="exact"/>
        <w:jc w:val="center"/>
        <w:rPr>
          <w:rFonts w:ascii="黑体" w:eastAsia="黑体"/>
          <w:sz w:val="48"/>
          <w:szCs w:val="48"/>
        </w:rPr>
      </w:pPr>
      <w:r>
        <w:rPr>
          <w:sz w:val="48"/>
          <w:szCs w:val="28"/>
        </w:rPr>
        <mc:AlternateContent>
          <mc:Choice Requires="wpg">
            <w:drawing>
              <wp:anchor distT="0" distB="0" distL="114300" distR="114300" simplePos="0" relativeHeight="251673600" behindDoc="0" locked="1" layoutInCell="1" allowOverlap="0">
                <wp:simplePos x="0" y="0"/>
                <wp:positionH relativeFrom="column">
                  <wp:posOffset>-1026160</wp:posOffset>
                </wp:positionH>
                <wp:positionV relativeFrom="page">
                  <wp:posOffset>507365</wp:posOffset>
                </wp:positionV>
                <wp:extent cx="3175635" cy="593090"/>
                <wp:effectExtent l="3175" t="0" r="2540" b="16510"/>
                <wp:wrapNone/>
                <wp:docPr id="179" name="组合 179"/>
                <wp:cNvGraphicFramePr/>
                <a:graphic xmlns:a="http://schemas.openxmlformats.org/drawingml/2006/main">
                  <a:graphicData uri="http://schemas.microsoft.com/office/word/2010/wordprocessingGroup">
                    <wpg:wgp>
                      <wpg:cNvGrpSpPr/>
                      <wpg:grpSpPr>
                        <a:xfrm>
                          <a:off x="0" y="0"/>
                          <a:ext cx="3175635" cy="593090"/>
                          <a:chOff x="4551" y="52615"/>
                          <a:chExt cx="8546" cy="1398"/>
                        </a:xfrm>
                      </wpg:grpSpPr>
                      <wps:wsp>
                        <wps:cNvPr id="180"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1"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lang w:bidi="ar"/>
                                </w:rPr>
                                <w:t>2018年度部门决算☞目 录</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8pt;margin-top:39.95pt;height:46.7pt;width:250.05pt;mso-position-vertical-relative:page;z-index:251673600;mso-width-relative:page;mso-height-relative:page;" coordorigin="4551,52615" coordsize="8546,1398" o:allowoverlap="f" o:gfxdata="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2DzDVNsAAAALAQAADwAAAAAAAAAB&#10;ACAAAAAiAAAAZHJzL2Rvd25yZXYueG1sUEsBAhQAFAAAAAgAh07iQAA8qI8qAwAA8ggAAA4AAAAA&#10;AAAAAQAgAAAAKgEAAGRycy9lMm9Eb2MueG1sUEsFBgAAAAAGAAYAWQEAAMY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V2GoBr8AAADc&#10;AAAADwAAAGRycy9kb3ducmV2LnhtbEWPT2/CMAzF75P2HSJP2m0kncQfFQIHBNq00wZIXE1j2tLG&#10;qZIM2LefD5N2s/We3/t5sbr7Xl0ppjawhWJkQBFXwbVcWzjsty8zUCkjO+wDk4UfSrBaPj4ssHTh&#10;xl903eVaSQinEi00OQ+l1qlqyGMahYFYtHOIHrOssdYu4k3Cfa9fjZlojy1LQ4MDrRuqut23t9Ad&#10;pp+tWb9djh/dZBw3xWk6jidrn58KMweV6Z7/zX/X707wZ4Ivz8gEevk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dhqAa/&#10;AAAA3AAAAA8AAAAAAAAAAQAgAAAAIgAAAGRycy9kb3ducmV2LnhtbFBLAQIUABQAAAAIAIdO4kAz&#10;LwWeOwAAADkAAAAQAAAAAAAAAAEAIAAAAA4BAABkcnMvc2hhcGV4bWwueG1sUEsFBgAAAAAGAAYA&#10;WwEAALgD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FVJfCbsAAADc&#10;AAAADwAAAGRycy9kb3ducmV2LnhtbEVPyWrDMBC9B/oPYgK9xZJ7SI0bJZBASo9p0uU6WBPbxBoZ&#10;SV7y91Wh0Ns83jqb3Ww7MZIPrWMNeaZAEFfOtFxr+LgcVwWIEJENdo5Jw50C7LYPiw2Wxk38TuM5&#10;1iKFcChRQxNjX0oZqoYshsz1xIm7Om8xJuhraTxOKdx28kmptbTYcmposKdDQ9XtPFgN69P+4KpL&#10;8frlv1t1csPxXjx/av24zNULiEhz/Bf/ud9Mml/k8PtMukBuf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VJfCbsAAADc&#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lang w:bidi="ar"/>
                          </w:rPr>
                          <w:t>2018年度部门决算☞目 录</w:t>
                        </w:r>
                      </w:p>
                      <w:p>
                        <w:pPr>
                          <w:jc w:val="center"/>
                        </w:pPr>
                      </w:p>
                    </w:txbxContent>
                  </v:textbox>
                </v:rect>
                <w10:anchorlock/>
              </v:group>
            </w:pict>
          </mc:Fallback>
        </mc:AlternateContent>
      </w: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   部门概况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lang w:val="en-US" w:eastAsia="zh-CN"/>
        </w:rPr>
        <w:t>宣传部</w:t>
      </w:r>
      <w:r>
        <w:rPr>
          <w:rFonts w:eastAsia="黑体"/>
          <w:sz w:val="32"/>
          <w:szCs w:val="32"/>
        </w:rPr>
        <w:t>部门201</w:t>
      </w:r>
      <w:r>
        <w:rPr>
          <w:rFonts w:hint="eastAsia" w:eastAsia="黑体"/>
          <w:sz w:val="32"/>
          <w:szCs w:val="32"/>
        </w:rPr>
        <w:t>8</w:t>
      </w:r>
      <w:r>
        <w:rPr>
          <w:rFonts w:eastAsia="黑体"/>
          <w:sz w:val="32"/>
          <w:szCs w:val="32"/>
        </w:rPr>
        <w:t>年部门决算情况说明</w:t>
      </w:r>
      <w:r>
        <w:rPr>
          <w:sz w:val="44"/>
        </w:rPr>
        <mc:AlternateContent>
          <mc:Choice Requires="wpg">
            <w:drawing>
              <wp:anchor distT="0" distB="0" distL="114300" distR="114300" simplePos="0" relativeHeight="251672576" behindDoc="0" locked="1" layoutInCell="1" allowOverlap="1">
                <wp:simplePos x="0" y="0"/>
                <wp:positionH relativeFrom="column">
                  <wp:posOffset>-1026160</wp:posOffset>
                </wp:positionH>
                <wp:positionV relativeFrom="page">
                  <wp:posOffset>494665</wp:posOffset>
                </wp:positionV>
                <wp:extent cx="2829560" cy="593090"/>
                <wp:effectExtent l="3810" t="0" r="5080" b="16510"/>
                <wp:wrapNone/>
                <wp:docPr id="176" name="组合 176"/>
                <wp:cNvGraphicFramePr/>
                <a:graphic xmlns:a="http://schemas.openxmlformats.org/drawingml/2006/main">
                  <a:graphicData uri="http://schemas.microsoft.com/office/word/2010/wordprocessingGroup">
                    <wpg:wgp>
                      <wpg:cNvGrpSpPr/>
                      <wpg:grpSpPr>
                        <a:xfrm>
                          <a:off x="0" y="0"/>
                          <a:ext cx="2829560" cy="593090"/>
                          <a:chOff x="4551" y="52615"/>
                          <a:chExt cx="8546" cy="1398"/>
                        </a:xfrm>
                      </wpg:grpSpPr>
                      <wps:wsp>
                        <wps:cNvPr id="177"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78"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2018年度部门决算☞目 录</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8pt;margin-top:38.95pt;height:46.7pt;width:222.8pt;mso-position-vertical-relative:page;z-index:251672576;mso-width-relative:page;mso-height-relative:page;" coordorigin="4551,52615" coordsize="8546,1398" o:gfxdata="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7V1AVbsAAADc&#10;AAAADwAAAGRycy9kb3ducmV2LnhtbEVPS2sCMRC+F/wPYYTearIFXVmNHsRi8dSq4HXcjLvrbiZL&#10;El//vikUepuP7znz5cN24kY+NI41ZCMFgrh0puFKw2H/8TYFESKywc4xaXhSgOVi8DLHwrg7f9Nt&#10;FyuRQjgUqKGOsS+kDGVNFsPI9cSJOztvMSboK2k83lO47eS7UhNpseHUUGNPq5rKdne1GtpD/tWo&#10;1eZy3LaTsV9np3zsT1q/DjM1AxHpEf/Ff+5Pk+bnOfw+ky6Qix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7V1AVbsAAADc&#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sb2Gs70AAADc&#10;AAAADwAAAGRycy9kb3ducmV2LnhtbEWPzW4CMQyE70h9h8iVuEECB1htCUhFouJIgbZXa2N2V2yc&#10;VRL+3h4fKnGzNeOZz4vV3XfqSjG1gS1MxgYUcRVcy7WF42EzKkCljOywC0wWHpRgtXwbLLB04cbf&#10;dN3nWkkIpxItNDn3pdapashjGoeeWLRTiB6zrLHWLuJNwn2np8bMtMeWpaHBntYNVef9xVuY7T7X&#10;oToUX7/xrzW7cNk8ivmPtcP3ifkAlemeX+b/660T/LnQyjMygV4+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vYazvQAA&#10;ANwAAAAPAAAAAAAAAAEAIAAAACIAAABkcnMvZG93bnJldi54bWxQSwECFAAUAAAACACHTuJAMy8F&#10;njsAAAA5AAAAEAAAAAAAAAABACAAAAAMAQAAZHJzL3NoYXBleG1sLnhtbFBLBQYAAAAABgAGAFsB&#10;AAC2Aw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2018年度部门决算☞目 录</w:t>
                        </w:r>
                      </w:p>
                      <w:p>
                        <w:pPr>
                          <w:jc w:val="center"/>
                        </w:pPr>
                      </w:p>
                    </w:txbxContent>
                  </v:textbox>
                </v:rect>
                <w10:anchorlock/>
              </v:group>
            </w:pict>
          </mc:Fallback>
        </mc:AlternateConten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  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5"/>
                    <a:stretch>
                      <a:fillRect/>
                    </a:stretch>
                  </pic:blipFill>
                  <pic:spPr>
                    <a:xfrm>
                      <a:off x="0" y="0"/>
                      <a:ext cx="7585710" cy="10727055"/>
                    </a:xfrm>
                    <a:prstGeom prst="rect">
                      <a:avLst/>
                    </a:prstGeom>
                  </pic:spPr>
                </pic:pic>
              </a:graphicData>
            </a:graphic>
          </wp:anchor>
        </w:drawing>
      </w:r>
      <w:r>
        <w:rPr>
          <w:sz w:val="72"/>
        </w:rPr>
        <mc:AlternateContent>
          <mc:Choice Requires="wps">
            <w:drawing>
              <wp:anchor distT="0" distB="0" distL="114300" distR="114300" simplePos="0" relativeHeight="251670528" behindDoc="0" locked="0" layoutInCell="1" allowOverlap="1">
                <wp:simplePos x="0" y="0"/>
                <wp:positionH relativeFrom="column">
                  <wp:posOffset>-1235710</wp:posOffset>
                </wp:positionH>
                <wp:positionV relativeFrom="paragraph">
                  <wp:posOffset>3290570</wp:posOffset>
                </wp:positionV>
                <wp:extent cx="7793355" cy="1037590"/>
                <wp:effectExtent l="0" t="0" r="0" b="0"/>
                <wp:wrapNone/>
                <wp:docPr id="118" name="文本框 118"/>
                <wp:cNvGraphicFramePr/>
                <a:graphic xmlns:a="http://schemas.openxmlformats.org/drawingml/2006/main">
                  <a:graphicData uri="http://schemas.microsoft.com/office/word/2010/wordprocessingShape">
                    <wps:wsp>
                      <wps:cNvSpPr txBox="1"/>
                      <wps:spPr>
                        <a:xfrm>
                          <a:off x="0" y="0"/>
                          <a:ext cx="7793355" cy="10375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97.3pt;margin-top:259.1pt;height:81.7pt;width:613.65pt;z-index:251670528;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oisOp3gAAAA0BAAAPAAAAAAAAAAEAIAAAACIAAABkcnMvZG93bnJldi54bWxQSwECFAAU&#10;AAAACACHTuJAVy+BgSQCAAAdBAAADgAAAAAAAAABACAAAAAtAQAAZHJzL2Uyb0RvYy54bWxQSwUG&#10;AAAAAAYABgBZAQAAwwUAAAAA&#10;">
                <v:fill on="f" focussize="0,0"/>
                <v:stroke on="f" weight="0.5pt"/>
                <v:imagedata o:title=""/>
                <o:lock v:ext="edit" aspectratio="f"/>
                <v:textbox>
                  <w:txbxContent>
                    <w:p>
                      <w:pPr>
                        <w:widowControl/>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第一部分  部门概况</w:t>
                      </w:r>
                    </w:p>
                  </w:txbxContent>
                </v:textbox>
              </v:shape>
            </w:pict>
          </mc:Fallback>
        </mc:AlternateContent>
      </w:r>
    </w:p>
    <w:p/>
    <w:p/>
    <w:p/>
    <w:p/>
    <w:p/>
    <w:p/>
    <w:p/>
    <w:p/>
    <w:p/>
    <w:p/>
    <w:p/>
    <w:p/>
    <w:p/>
    <w:p/>
    <w:p/>
    <w:p>
      <w:pPr>
        <w:pStyle w:val="2"/>
        <w:spacing w:before="0" w:after="0" w:line="600" w:lineRule="exact"/>
        <w:jc w:val="left"/>
        <w:rPr>
          <w:rFonts w:ascii="黑体" w:eastAsia="黑体" w:cs="黑体" w:hAnsiTheme="minorHAnsi"/>
          <w:b w:val="0"/>
          <w:bCs w:val="0"/>
          <w:kern w:val="0"/>
          <w:sz w:val="32"/>
          <w:szCs w:val="32"/>
        </w:rPr>
      </w:pPr>
      <w:r>
        <w:rPr>
          <w:b w:val="0"/>
          <w:bCs w:val="0"/>
          <w:sz w:val="32"/>
          <w:szCs w:val="32"/>
        </w:rPr>
        <mc:AlternateContent>
          <mc:Choice Requires="wpg">
            <w:drawing>
              <wp:anchor distT="0" distB="0" distL="114300" distR="114300" simplePos="0" relativeHeight="251662336" behindDoc="0" locked="1" layoutInCell="1" allowOverlap="1">
                <wp:simplePos x="0" y="0"/>
                <wp:positionH relativeFrom="column">
                  <wp:posOffset>-1026160</wp:posOffset>
                </wp:positionH>
                <wp:positionV relativeFrom="page">
                  <wp:posOffset>501650</wp:posOffset>
                </wp:positionV>
                <wp:extent cx="3114675" cy="593090"/>
                <wp:effectExtent l="3175" t="0" r="6350" b="16510"/>
                <wp:wrapNone/>
                <wp:docPr id="15" name="组合 15"/>
                <wp:cNvGraphicFramePr/>
                <a:graphic xmlns:a="http://schemas.openxmlformats.org/drawingml/2006/main">
                  <a:graphicData uri="http://schemas.microsoft.com/office/word/2010/wordprocessingGroup">
                    <wpg:wgp>
                      <wpg:cNvGrpSpPr/>
                      <wpg:grpSpPr>
                        <a:xfrm>
                          <a:off x="0" y="0"/>
                          <a:ext cx="3114675" cy="592957"/>
                          <a:chOff x="4551" y="52615"/>
                          <a:chExt cx="8546" cy="1398"/>
                        </a:xfrm>
                      </wpg:grpSpPr>
                      <wps:wsp>
                        <wps:cNvPr id="13"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2018年度部门决算☞部门概况</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8pt;margin-top:39.5pt;height:46.7pt;width:245.25pt;mso-position-vertical-relative:page;z-index:251662336;mso-width-relative:page;mso-height-relative:page;" coordorigin="4551,52615" coordsize="8546,1398"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AgydQQ2wAAAAsBAAAPAAAAAAAAAAEA&#10;IAAAACIAAABkcnMvZG93bnJldi54bWxQSwECFAAUAAAACACHTuJAVhVF7ykDAADuCAAADgAAAAAA&#10;AAABACAAAAAqAQAAZHJzL2Uyb0RvYy54bWxQSwUGAAAAAAYABgBZAQAAxQYAAAAA&#10;">
                <o:lock v:ext="edit" aspectratio="f"/>
                <v:rect id="_x0000_s1026" o:spid="_x0000_s1026" o:spt="1" style="position:absolute;left:4551;top:52615;height:1175;width:8546;v-text-anchor:middle;" fillcolor="#D9D9D9 [2732]" filled="t" stroked="f" coordsize="21600,21600" o:gfxdata="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Z4qXLsAAADb&#10;AAAADwAAAAAAAAABACAAAAAiAAAAZHJzL2Rvd25yZXYueG1sUEsBAhQAFAAAAAgAh07iQDMvBZ47&#10;AAAAOQAAABAAAAAAAAAAAQAgAAAACgEAAGRycy9zaGFwZXhtbC54bWxQSwUGAAAAAAYABgBbAQAA&#10;tAMAAAAA&#10;">
                  <v:fill on="t" focussize="0,0"/>
                  <v:stroke on="f" weight="2pt"/>
                  <v:imagedata o:title=""/>
                  <o:lock v:ext="edit" aspectratio="f"/>
                </v:rect>
                <v:rect id="_x0000_s1026" o:spid="_x0000_s1026" o:spt="1" style="position:absolute;left:4577;top:52890;height:1123;width:8324;v-text-anchor:middle;" fillcolor="#AD002D" filled="t" stroked="t" coordsize="21600,21600" o:gfxdata="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ve9h65AAAA2w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2018年度部门决算☞部门概况</w:t>
                        </w:r>
                      </w:p>
                      <w:p>
                        <w:pPr>
                          <w:jc w:val="center"/>
                        </w:pPr>
                      </w:p>
                    </w:txbxContent>
                  </v:textbox>
                </v:rect>
                <w10:anchorlock/>
              </v:group>
            </w:pict>
          </mc:Fallback>
        </mc:AlternateContent>
      </w:r>
      <w:r>
        <w:rPr>
          <w:rFonts w:hint="eastAsia" w:ascii="黑体" w:eastAsia="黑体" w:cs="黑体" w:hAnsiTheme="minorHAnsi"/>
          <w:b w:val="0"/>
          <w:bCs w:val="0"/>
          <w:kern w:val="0"/>
          <w:sz w:val="32"/>
          <w:szCs w:val="32"/>
        </w:rPr>
        <w:t>一、部门职责</w:t>
      </w:r>
    </w:p>
    <w:p>
      <w:pPr>
        <w:ind w:firstLine="640" w:firstLineChars="200"/>
        <w:rPr>
          <w:rFonts w:hint="eastAsia" w:ascii="仿宋_GB2312" w:hAnsi="仿宋_GB2312" w:eastAsia="仿宋_GB2312" w:cs="仿宋_GB2312"/>
          <w:kern w:val="0"/>
          <w:sz w:val="32"/>
          <w:szCs w:val="32"/>
        </w:rPr>
      </w:pPr>
      <w:r>
        <w:rPr>
          <w:rFonts w:hint="eastAsia" w:ascii="仿宋_GB2312" w:hAnsi="仿宋_GB2312" w:eastAsia="仿宋_GB2312" w:cs="仿宋_GB2312"/>
          <w:sz w:val="32"/>
          <w:szCs w:val="32"/>
        </w:rPr>
        <w:t>指导全区理论教育、理论研究、理论宣传工作； 引导社会舆论；负责全区网络安全和信息化建设；负责组织、部署全区思想政治工作，组织开展思想教育活动；领导鹿泉区职工思想政治工作研究会；负责全区对外宣传工作；加强精神文明建设。</w:t>
      </w:r>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ind w:firstLine="640" w:firstLineChars="200"/>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w:t>
      </w:r>
      <w:r>
        <w:rPr>
          <w:rFonts w:hint="eastAsia" w:ascii="仿宋_GB2312" w:eastAsia="仿宋_GB2312" w:cs="ArialUnicodeMS" w:hAnsiTheme="minorHAnsi"/>
          <w:kern w:val="0"/>
          <w:sz w:val="32"/>
          <w:szCs w:val="32"/>
          <w:lang w:val="en-US" w:eastAsia="zh-CN"/>
        </w:rPr>
        <w:t>1</w:t>
      </w:r>
      <w:r>
        <w:rPr>
          <w:rFonts w:hint="eastAsia" w:ascii="仿宋_GB2312" w:eastAsia="仿宋_GB2312" w:cs="ArialUnicodeMS" w:hAnsiTheme="minorHAnsi"/>
          <w:kern w:val="0"/>
          <w:sz w:val="32"/>
          <w:szCs w:val="32"/>
        </w:rPr>
        <w:t>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tcPr>
          <w:p>
            <w:pPr>
              <w:spacing w:after="0" w:line="560" w:lineRule="exact"/>
              <w:rPr>
                <w:rFonts w:hint="default" w:ascii="仿宋_GB2312" w:eastAsia="仿宋_GB2312" w:cs="ArialUnicodeMS" w:hAnsiTheme="minorHAnsi"/>
                <w:kern w:val="0"/>
                <w:sz w:val="28"/>
                <w:szCs w:val="28"/>
                <w:lang w:val="en-US" w:eastAsia="zh-CN"/>
              </w:rPr>
            </w:pPr>
            <w:r>
              <w:rPr>
                <w:rFonts w:hint="eastAsia" w:ascii="仿宋_GB2312" w:eastAsia="仿宋_GB2312" w:cs="ArialUnicodeMS" w:hAnsiTheme="minorHAnsi"/>
                <w:kern w:val="0"/>
                <w:sz w:val="28"/>
                <w:szCs w:val="28"/>
                <w:lang w:val="en-US" w:eastAsia="zh-CN"/>
              </w:rPr>
              <w:t>中共石家庄市鹿泉区委宣传部（本级）</w:t>
            </w:r>
          </w:p>
        </w:tc>
        <w:tc>
          <w:tcPr>
            <w:tcW w:w="2445" w:type="dxa"/>
          </w:tcPr>
          <w:p>
            <w:pPr>
              <w:spacing w:after="0" w:line="560" w:lineRule="exact"/>
              <w:jc w:val="center"/>
              <w:rPr>
                <w:rFonts w:hint="eastAsia" w:ascii="仿宋_GB2312" w:eastAsia="仿宋_GB2312" w:cs="ArialUnicodeMS" w:hAnsiTheme="minorHAnsi"/>
                <w:kern w:val="0"/>
                <w:sz w:val="28"/>
                <w:szCs w:val="28"/>
                <w:lang w:val="en-US" w:eastAsia="zh-CN"/>
              </w:rPr>
            </w:pPr>
            <w:r>
              <w:rPr>
                <w:rFonts w:hint="eastAsia" w:ascii="仿宋_GB2312" w:eastAsia="仿宋_GB2312" w:cs="ArialUnicodeMS" w:hAnsiTheme="minorHAnsi"/>
                <w:kern w:val="0"/>
                <w:sz w:val="28"/>
                <w:szCs w:val="28"/>
                <w:lang w:val="en-US" w:eastAsia="zh-CN"/>
              </w:rPr>
              <w:t>行政单位</w:t>
            </w:r>
          </w:p>
        </w:tc>
        <w:tc>
          <w:tcPr>
            <w:tcW w:w="2665" w:type="dxa"/>
          </w:tcPr>
          <w:p>
            <w:pPr>
              <w:spacing w:after="0" w:line="560" w:lineRule="exact"/>
              <w:jc w:val="center"/>
              <w:rPr>
                <w:rFonts w:hint="default" w:ascii="仿宋_GB2312" w:eastAsia="仿宋_GB2312" w:cs="ArialUnicodeMS" w:hAnsiTheme="minorHAnsi"/>
                <w:kern w:val="0"/>
                <w:sz w:val="28"/>
                <w:szCs w:val="28"/>
                <w:lang w:val="en-US" w:eastAsia="zh-CN"/>
              </w:rPr>
            </w:pPr>
            <w:r>
              <w:rPr>
                <w:rFonts w:hint="eastAsia" w:ascii="仿宋_GB2312" w:eastAsia="仿宋_GB2312" w:cs="ArialUnicodeMS" w:hAnsiTheme="minorHAnsi"/>
                <w:kern w:val="0"/>
                <w:sz w:val="28"/>
                <w:szCs w:val="28"/>
                <w:lang w:val="en-US"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2</w:t>
            </w:r>
          </w:p>
        </w:tc>
        <w:tc>
          <w:tcPr>
            <w:tcW w:w="3485" w:type="dxa"/>
          </w:tcPr>
          <w:p>
            <w:pPr>
              <w:spacing w:after="0" w:line="560" w:lineRule="exact"/>
              <w:rPr>
                <w:rFonts w:ascii="仿宋_GB2312" w:eastAsia="仿宋_GB2312" w:cs="ArialUnicodeMS" w:hAnsiTheme="minorHAnsi"/>
                <w:kern w:val="0"/>
                <w:sz w:val="28"/>
                <w:szCs w:val="28"/>
              </w:rPr>
            </w:pPr>
          </w:p>
        </w:tc>
        <w:tc>
          <w:tcPr>
            <w:tcW w:w="2445" w:type="dxa"/>
          </w:tcPr>
          <w:p>
            <w:pPr>
              <w:spacing w:after="0" w:line="560" w:lineRule="exact"/>
              <w:jc w:val="center"/>
              <w:rPr>
                <w:rFonts w:ascii="仿宋_GB2312" w:eastAsia="仿宋_GB2312" w:cs="ArialUnicodeMS" w:hAnsiTheme="minorHAnsi"/>
                <w:kern w:val="0"/>
                <w:sz w:val="28"/>
                <w:szCs w:val="28"/>
              </w:rPr>
            </w:pPr>
          </w:p>
        </w:tc>
        <w:tc>
          <w:tcPr>
            <w:tcW w:w="2665" w:type="dxa"/>
          </w:tcPr>
          <w:p>
            <w:pPr>
              <w:spacing w:after="0" w:line="560" w:lineRule="exact"/>
              <w:jc w:val="center"/>
              <w:rPr>
                <w:rFonts w:ascii="仿宋_GB2312" w:eastAsia="仿宋_GB2312" w:cs="ArialUnicodeMS" w:hAnsiTheme="minorHAnsi"/>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3</w:t>
            </w:r>
          </w:p>
        </w:tc>
        <w:tc>
          <w:tcPr>
            <w:tcW w:w="3485" w:type="dxa"/>
          </w:tcPr>
          <w:p>
            <w:pPr>
              <w:spacing w:after="0" w:line="560" w:lineRule="exact"/>
              <w:rPr>
                <w:rFonts w:ascii="仿宋_GB2312" w:eastAsia="仿宋_GB2312" w:cs="ArialUnicodeMS" w:hAnsiTheme="minorHAnsi"/>
                <w:kern w:val="0"/>
                <w:sz w:val="28"/>
                <w:szCs w:val="28"/>
              </w:rPr>
            </w:pPr>
          </w:p>
        </w:tc>
        <w:tc>
          <w:tcPr>
            <w:tcW w:w="2445" w:type="dxa"/>
          </w:tcPr>
          <w:p>
            <w:pPr>
              <w:spacing w:after="0" w:line="560" w:lineRule="exact"/>
              <w:jc w:val="center"/>
              <w:rPr>
                <w:rFonts w:ascii="仿宋_GB2312" w:eastAsia="仿宋_GB2312" w:cs="ArialUnicodeMS" w:hAnsiTheme="minorHAnsi"/>
                <w:kern w:val="0"/>
                <w:sz w:val="28"/>
                <w:szCs w:val="28"/>
              </w:rPr>
            </w:pPr>
          </w:p>
        </w:tc>
        <w:tc>
          <w:tcPr>
            <w:tcW w:w="2665" w:type="dxa"/>
          </w:tcPr>
          <w:p>
            <w:pPr>
              <w:spacing w:after="0" w:line="560" w:lineRule="exact"/>
              <w:jc w:val="center"/>
              <w:rPr>
                <w:rFonts w:ascii="仿宋_GB2312" w:eastAsia="仿宋_GB2312" w:cs="ArialUnicodeMS" w:hAnsiTheme="minorHAnsi"/>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w:t>
            </w:r>
          </w:p>
        </w:tc>
        <w:tc>
          <w:tcPr>
            <w:tcW w:w="3485" w:type="dxa"/>
            <w:tcBorders>
              <w:bottom w:val="single" w:color="auto" w:sz="4" w:space="0"/>
            </w:tcBorders>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w:t>
            </w:r>
          </w:p>
        </w:tc>
        <w:tc>
          <w:tcPr>
            <w:tcW w:w="244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p>
        </w:tc>
        <w:tc>
          <w:tcPr>
            <w:tcW w:w="266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after="0" w:line="560" w:lineRule="exact"/>
              <w:ind w:firstLine="560" w:firstLineChars="200"/>
              <w:jc w:val="left"/>
              <w:rPr>
                <w:rFonts w:ascii="仿宋_GB2312" w:eastAsia="仿宋_GB2312" w:cs="ArialUnicodeMS" w:hAnsiTheme="minorHAnsi"/>
                <w:kern w:val="0"/>
                <w:sz w:val="28"/>
                <w:szCs w:val="28"/>
              </w:rPr>
            </w:pPr>
          </w:p>
        </w:tc>
      </w:tr>
    </w:tbl>
    <w:p>
      <w:pPr>
        <w:spacing w:after="0" w:line="560" w:lineRule="exact"/>
        <w:rPr>
          <w:rFonts w:ascii="仿宋_GB2312" w:eastAsia="仿宋_GB2312" w:cs="ArialUnicodeMS" w:hAnsiTheme="minorHAnsi"/>
          <w:kern w:val="0"/>
          <w:sz w:val="32"/>
          <w:szCs w:val="3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64384"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5"/>
                    <a:stretch>
                      <a:fillRect/>
                    </a:stretch>
                  </pic:blipFill>
                  <pic:spPr>
                    <a:xfrm>
                      <a:off x="0" y="0"/>
                      <a:ext cx="7571105" cy="10680065"/>
                    </a:xfrm>
                    <a:prstGeom prst="rect">
                      <a:avLst/>
                    </a:prstGeom>
                  </pic:spPr>
                </pic:pic>
              </a:graphicData>
            </a:graphic>
          </wp:anchor>
        </w:drawing>
      </w:r>
    </w:p>
    <w:p>
      <w:pPr>
        <w:widowControl/>
        <w:spacing w:line="560" w:lineRule="exact"/>
        <w:jc w:val="center"/>
        <w:rPr>
          <w:rFonts w:ascii="黑体" w:eastAsia="黑体" w:cs="MS-UIGothic,Bold" w:hAnsiTheme="minorHAnsi"/>
          <w:bCs/>
          <w:kern w:val="0"/>
          <w:sz w:val="52"/>
          <w:szCs w:val="52"/>
        </w:rPr>
      </w:pPr>
    </w:p>
    <w:p>
      <w:pPr>
        <w:rPr>
          <w:rFonts w:ascii="宋体" w:hAnsi="宋体" w:cs="ArialUnicodeMS"/>
          <w:color w:val="000000"/>
          <w:kern w:val="0"/>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mc:AlternateContent>
          <mc:Choice Requires="wps">
            <w:drawing>
              <wp:anchor distT="0" distB="0" distL="114300" distR="114300" simplePos="0" relativeHeight="251663360" behindDoc="0" locked="0" layoutInCell="1" allowOverlap="1">
                <wp:simplePos x="0" y="0"/>
                <wp:positionH relativeFrom="column">
                  <wp:posOffset>-942340</wp:posOffset>
                </wp:positionH>
                <wp:positionV relativeFrom="paragraph">
                  <wp:posOffset>1527810</wp:posOffset>
                </wp:positionV>
                <wp:extent cx="7571740" cy="202057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第二部分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2018年度部门决算报表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4.2pt;margin-top:120.3pt;height:159.1pt;width:596.2pt;z-index:251663360;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O&#10;az3Q3AAAAA0BAAAPAAAAAAAAAAEAIAAAACIAAABkcnMvZG93bnJldi54bWxQSwECFAAUAAAACACH&#10;TuJAX0LKzCACAAAbBAAADgAAAAAAAAABACAAAAArAQAAZHJzL2Uyb0RvYy54bWxQSwUGAAAAAAYA&#10;BgBZAQAAvQU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第二部分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2018年度部门决算报表</w:t>
                      </w:r>
                    </w:p>
                  </w:txbxContent>
                </v:textbox>
              </v:shape>
            </w:pict>
          </mc:Fallback>
        </mc:AlternateContent>
      </w:r>
    </w:p>
    <w:tbl>
      <w:tblPr>
        <w:tblStyle w:val="12"/>
        <w:tblW w:w="9300" w:type="dxa"/>
        <w:jc w:val="center"/>
        <w:tblLayout w:type="fixed"/>
        <w:tblCellMar>
          <w:top w:w="0" w:type="dxa"/>
          <w:left w:w="0" w:type="dxa"/>
          <w:bottom w:w="0" w:type="dxa"/>
          <w:right w:w="0" w:type="dxa"/>
        </w:tblCellMar>
      </w:tblPr>
      <w:tblGrid>
        <w:gridCol w:w="3236"/>
        <w:gridCol w:w="354"/>
        <w:gridCol w:w="1187"/>
        <w:gridCol w:w="2413"/>
        <w:gridCol w:w="680"/>
        <w:gridCol w:w="1430"/>
      </w:tblGrid>
      <w:tr>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sz w:val="44"/>
              </w:rPr>
              <mc:AlternateContent>
                <mc:Choice Requires="wpg">
                  <w:drawing>
                    <wp:anchor distT="0" distB="0" distL="114300" distR="114300" simplePos="0" relativeHeight="251674624" behindDoc="0" locked="1" layoutInCell="1" allowOverlap="1">
                      <wp:simplePos x="0" y="0"/>
                      <wp:positionH relativeFrom="column">
                        <wp:posOffset>-892175</wp:posOffset>
                      </wp:positionH>
                      <wp:positionV relativeFrom="page">
                        <wp:posOffset>-1039495</wp:posOffset>
                      </wp:positionV>
                      <wp:extent cx="3088640" cy="523240"/>
                      <wp:effectExtent l="3175" t="0" r="13335" b="29210"/>
                      <wp:wrapNone/>
                      <wp:docPr id="10" name="组合 10"/>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11"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70.25pt;margin-top:-81.85pt;height:41.2pt;width:243.2pt;mso-position-vertical-relative:page;z-index:251674624;mso-width-relative:page;mso-height-relative:page;" coordorigin="4551,52615" coordsize="8546,1398" o:gfxdata="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OCvFSPcAAAADQEAAA8AAAAAAAAAAQAgAAAA&#10;IgAAAGRycy9kb3ducmV2LnhtbFBLAQIUABQAAAAIAIdO4kAubploJAMAAO4IAAAOAAAAAAAAAAEA&#10;IAAAACsBAABkcnMvZTJvRG9jLnhtbFBLBQYAAAAABgAGAFkBAADB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ggARsLsAAADb&#10;AAAADwAAAGRycy9kb3ducmV2LnhtbEVPS2sCMRC+F/wPYYTearIFH6xGD2Jp8VQf4HXcjLvrbiZL&#10;kvr4940geJuP7zmzxc224kI+1I41ZAMFgrhwpuZSw3739TEBESKywdYxabhTgMW89zbD3Lgrb+iy&#10;jaVIIRxy1FDF2OVShqIii2HgOuLEnZy3GBP0pTQerynctvJTqZG0WHNqqLCjZUVFs/2zGpr9+LdW&#10;y+/zYd2Mhn6VHcdDf9T6vZ+pKYhIt/gSP90/Js3P4PFLOkDO/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gARsLsAAADb&#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SiwHT7sAAADb&#10;AAAADwAAAGRycy9kb3ducmV2LnhtbEWPS4sCMRCE7wv+h9CCtzXRw+wwGgUFxaOPVa/NpJ0ZnHSG&#10;JL7+vREW9lhU1VfUdP60rbiTD41jDaOhAkFcOtNwpeH3sPrOQYSIbLB1TBpeFGA+631NsTDuwTu6&#10;72MlEoRDgRrqGLtCylDWZDEMXUecvIvzFmOSvpLG4yPBbSvHSmXSYsNpocaOljWV1/3Nasi2i6Ur&#10;D/n65M+N2rrb6pX/HLUe9EdqAiLSM/6H/9obo2GcwedL+gFy9gZ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iwHT7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收入支出决算总表</w:t>
            </w:r>
          </w:p>
        </w:tc>
      </w:tr>
      <w:tr>
        <w:tblPrEx>
          <w:tblCellMar>
            <w:top w:w="0" w:type="dxa"/>
            <w:left w:w="0" w:type="dxa"/>
            <w:bottom w:w="0" w:type="dxa"/>
            <w:right w:w="0" w:type="dxa"/>
          </w:tblCellMar>
        </w:tblPrEx>
        <w:trPr>
          <w:trHeight w:val="321" w:hRule="atLeast"/>
          <w:jc w:val="center"/>
        </w:trPr>
        <w:tc>
          <w:tcPr>
            <w:tcW w:w="32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354"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18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41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68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公开01表</w:t>
            </w:r>
          </w:p>
        </w:tc>
      </w:tr>
      <w:tr>
        <w:tblPrEx>
          <w:tblCellMar>
            <w:top w:w="0" w:type="dxa"/>
            <w:left w:w="0" w:type="dxa"/>
            <w:bottom w:w="0" w:type="dxa"/>
            <w:right w:w="0" w:type="dxa"/>
          </w:tblCellMar>
        </w:tblPrEx>
        <w:trPr>
          <w:trHeight w:val="418" w:hRule="atLeast"/>
          <w:jc w:val="center"/>
        </w:trPr>
        <w:tc>
          <w:tcPr>
            <w:tcW w:w="32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部门：中共石家庄市鹿泉区委宣传部</w:t>
            </w:r>
          </w:p>
        </w:tc>
        <w:tc>
          <w:tcPr>
            <w:tcW w:w="354"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18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241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68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金额单位：万元</w:t>
            </w:r>
          </w:p>
        </w:tc>
      </w:tr>
      <w:tr>
        <w:tblPrEx>
          <w:tblCellMar>
            <w:top w:w="0" w:type="dxa"/>
            <w:left w:w="0" w:type="dxa"/>
            <w:bottom w:w="0" w:type="dxa"/>
            <w:right w:w="0" w:type="dxa"/>
          </w:tblCellMar>
        </w:tblPrEx>
        <w:trPr>
          <w:trHeight w:val="295" w:hRule="atLeast"/>
          <w:jc w:val="center"/>
        </w:trPr>
        <w:tc>
          <w:tcPr>
            <w:tcW w:w="477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收入</w:t>
            </w:r>
          </w:p>
        </w:tc>
        <w:tc>
          <w:tcPr>
            <w:tcW w:w="4523"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支出</w:t>
            </w:r>
          </w:p>
        </w:tc>
      </w:tr>
      <w:tr>
        <w:tblPrEx>
          <w:tblCellMar>
            <w:top w:w="0" w:type="dxa"/>
            <w:left w:w="0" w:type="dxa"/>
            <w:bottom w:w="0" w:type="dxa"/>
            <w:right w:w="0" w:type="dxa"/>
          </w:tblCellMar>
        </w:tblPrEx>
        <w:trPr>
          <w:trHeight w:val="295"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项目</w:t>
            </w:r>
          </w:p>
        </w:tc>
        <w:tc>
          <w:tcPr>
            <w:tcW w:w="3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行次</w:t>
            </w:r>
          </w:p>
        </w:tc>
        <w:tc>
          <w:tcPr>
            <w:tcW w:w="11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金额</w:t>
            </w:r>
          </w:p>
        </w:tc>
        <w:tc>
          <w:tcPr>
            <w:tcW w:w="2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项目</w:t>
            </w:r>
          </w:p>
        </w:tc>
        <w:tc>
          <w:tcPr>
            <w:tcW w:w="6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行次</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金额</w:t>
            </w:r>
          </w:p>
        </w:tc>
      </w:tr>
      <w:tr>
        <w:tblPrEx>
          <w:tblCellMar>
            <w:top w:w="0" w:type="dxa"/>
            <w:left w:w="0" w:type="dxa"/>
            <w:bottom w:w="0" w:type="dxa"/>
            <w:right w:w="0" w:type="dxa"/>
          </w:tblCellMar>
        </w:tblPrEx>
        <w:trPr>
          <w:trHeight w:val="295"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栏次</w:t>
            </w:r>
          </w:p>
        </w:tc>
        <w:tc>
          <w:tcPr>
            <w:tcW w:w="3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1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w:t>
            </w:r>
          </w:p>
        </w:tc>
        <w:tc>
          <w:tcPr>
            <w:tcW w:w="2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栏次</w:t>
            </w:r>
          </w:p>
        </w:tc>
        <w:tc>
          <w:tcPr>
            <w:tcW w:w="6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w:t>
            </w:r>
          </w:p>
        </w:tc>
      </w:tr>
      <w:tr>
        <w:tblPrEx>
          <w:tblCellMar>
            <w:top w:w="0" w:type="dxa"/>
            <w:left w:w="0" w:type="dxa"/>
            <w:bottom w:w="0" w:type="dxa"/>
            <w:right w:w="0" w:type="dxa"/>
          </w:tblCellMar>
        </w:tblPrEx>
        <w:trPr>
          <w:trHeight w:val="365"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一、财政拨款收入</w:t>
            </w:r>
          </w:p>
        </w:tc>
        <w:tc>
          <w:tcPr>
            <w:tcW w:w="3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w:t>
            </w:r>
          </w:p>
        </w:tc>
        <w:tc>
          <w:tcPr>
            <w:tcW w:w="11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4826.71</w:t>
            </w:r>
          </w:p>
        </w:tc>
        <w:tc>
          <w:tcPr>
            <w:tcW w:w="2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一、一般公共服务支出</w:t>
            </w:r>
          </w:p>
        </w:tc>
        <w:tc>
          <w:tcPr>
            <w:tcW w:w="6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388.64</w:t>
            </w:r>
          </w:p>
        </w:tc>
      </w:tr>
      <w:tr>
        <w:tblPrEx>
          <w:tblCellMar>
            <w:top w:w="0" w:type="dxa"/>
            <w:left w:w="0" w:type="dxa"/>
            <w:bottom w:w="0" w:type="dxa"/>
            <w:right w:w="0" w:type="dxa"/>
          </w:tblCellMar>
        </w:tblPrEx>
        <w:trPr>
          <w:trHeight w:val="337"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二、上级补助收入</w:t>
            </w:r>
          </w:p>
        </w:tc>
        <w:tc>
          <w:tcPr>
            <w:tcW w:w="3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w:t>
            </w:r>
          </w:p>
        </w:tc>
        <w:tc>
          <w:tcPr>
            <w:tcW w:w="11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二、外交支出</w:t>
            </w:r>
          </w:p>
        </w:tc>
        <w:tc>
          <w:tcPr>
            <w:tcW w:w="6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三、事业收入</w:t>
            </w:r>
          </w:p>
        </w:tc>
        <w:tc>
          <w:tcPr>
            <w:tcW w:w="3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w:t>
            </w:r>
          </w:p>
        </w:tc>
        <w:tc>
          <w:tcPr>
            <w:tcW w:w="11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三、国防支出</w:t>
            </w:r>
          </w:p>
        </w:tc>
        <w:tc>
          <w:tcPr>
            <w:tcW w:w="6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四、经营收入</w:t>
            </w:r>
          </w:p>
        </w:tc>
        <w:tc>
          <w:tcPr>
            <w:tcW w:w="3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w:t>
            </w:r>
          </w:p>
        </w:tc>
        <w:tc>
          <w:tcPr>
            <w:tcW w:w="11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四、公共安全支出</w:t>
            </w:r>
          </w:p>
        </w:tc>
        <w:tc>
          <w:tcPr>
            <w:tcW w:w="6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五、附属单位上缴收入</w:t>
            </w:r>
          </w:p>
        </w:tc>
        <w:tc>
          <w:tcPr>
            <w:tcW w:w="3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w:t>
            </w:r>
          </w:p>
        </w:tc>
        <w:tc>
          <w:tcPr>
            <w:tcW w:w="11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五、教育支出</w:t>
            </w:r>
          </w:p>
        </w:tc>
        <w:tc>
          <w:tcPr>
            <w:tcW w:w="6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六、其他收入</w:t>
            </w:r>
          </w:p>
        </w:tc>
        <w:tc>
          <w:tcPr>
            <w:tcW w:w="3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6</w:t>
            </w:r>
          </w:p>
        </w:tc>
        <w:tc>
          <w:tcPr>
            <w:tcW w:w="11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rPr>
              <w:t>1514.1</w:t>
            </w:r>
            <w:r>
              <w:rPr>
                <w:rFonts w:hint="eastAsia" w:ascii="宋体" w:hAnsi="宋体" w:cs="宋体"/>
                <w:color w:val="000000"/>
                <w:sz w:val="20"/>
                <w:szCs w:val="20"/>
                <w:lang w:val="en-US" w:eastAsia="zh-CN"/>
              </w:rPr>
              <w:t>0</w:t>
            </w:r>
          </w:p>
        </w:tc>
        <w:tc>
          <w:tcPr>
            <w:tcW w:w="2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六、科学技术支出</w:t>
            </w:r>
          </w:p>
        </w:tc>
        <w:tc>
          <w:tcPr>
            <w:tcW w:w="6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3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7</w:t>
            </w:r>
          </w:p>
        </w:tc>
        <w:tc>
          <w:tcPr>
            <w:tcW w:w="11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七、文化体育与传媒支出</w:t>
            </w:r>
          </w:p>
        </w:tc>
        <w:tc>
          <w:tcPr>
            <w:tcW w:w="6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768.94</w:t>
            </w:r>
          </w:p>
        </w:tc>
      </w:tr>
      <w:tr>
        <w:tblPrEx>
          <w:tblCellMar>
            <w:top w:w="0" w:type="dxa"/>
            <w:left w:w="0" w:type="dxa"/>
            <w:bottom w:w="0" w:type="dxa"/>
            <w:right w:w="0" w:type="dxa"/>
          </w:tblCellMar>
        </w:tblPrEx>
        <w:trPr>
          <w:trHeight w:val="337"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3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8</w:t>
            </w:r>
          </w:p>
        </w:tc>
        <w:tc>
          <w:tcPr>
            <w:tcW w:w="11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八、社会保障和就业支出</w:t>
            </w:r>
          </w:p>
        </w:tc>
        <w:tc>
          <w:tcPr>
            <w:tcW w:w="6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35</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16.26</w:t>
            </w:r>
          </w:p>
        </w:tc>
      </w:tr>
      <w:tr>
        <w:tblPrEx>
          <w:tblCellMar>
            <w:top w:w="0" w:type="dxa"/>
            <w:left w:w="0" w:type="dxa"/>
            <w:bottom w:w="0" w:type="dxa"/>
            <w:right w:w="0" w:type="dxa"/>
          </w:tblCellMar>
        </w:tblPrEx>
        <w:trPr>
          <w:trHeight w:val="337"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3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9</w:t>
            </w:r>
          </w:p>
        </w:tc>
        <w:tc>
          <w:tcPr>
            <w:tcW w:w="11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九、医疗卫生与计划生育支出</w:t>
            </w:r>
          </w:p>
        </w:tc>
        <w:tc>
          <w:tcPr>
            <w:tcW w:w="6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36</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11.41</w:t>
            </w:r>
          </w:p>
        </w:tc>
      </w:tr>
      <w:tr>
        <w:tblPrEx>
          <w:tblCellMar>
            <w:top w:w="0" w:type="dxa"/>
            <w:left w:w="0" w:type="dxa"/>
            <w:bottom w:w="0" w:type="dxa"/>
            <w:right w:w="0" w:type="dxa"/>
          </w:tblCellMar>
        </w:tblPrEx>
        <w:trPr>
          <w:trHeight w:val="337"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3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10</w:t>
            </w:r>
          </w:p>
        </w:tc>
        <w:tc>
          <w:tcPr>
            <w:tcW w:w="11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十、节能环保支出</w:t>
            </w:r>
          </w:p>
        </w:tc>
        <w:tc>
          <w:tcPr>
            <w:tcW w:w="6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37</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3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11</w:t>
            </w:r>
          </w:p>
        </w:tc>
        <w:tc>
          <w:tcPr>
            <w:tcW w:w="11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十一、城乡社区支出</w:t>
            </w:r>
          </w:p>
        </w:tc>
        <w:tc>
          <w:tcPr>
            <w:tcW w:w="6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3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12</w:t>
            </w:r>
          </w:p>
        </w:tc>
        <w:tc>
          <w:tcPr>
            <w:tcW w:w="11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十二、农林水支出</w:t>
            </w:r>
          </w:p>
        </w:tc>
        <w:tc>
          <w:tcPr>
            <w:tcW w:w="6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3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13</w:t>
            </w:r>
          </w:p>
        </w:tc>
        <w:tc>
          <w:tcPr>
            <w:tcW w:w="11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十三、交通运输支出</w:t>
            </w:r>
          </w:p>
        </w:tc>
        <w:tc>
          <w:tcPr>
            <w:tcW w:w="6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3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14</w:t>
            </w:r>
          </w:p>
        </w:tc>
        <w:tc>
          <w:tcPr>
            <w:tcW w:w="11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十四、资源勘探信息等支出</w:t>
            </w:r>
          </w:p>
        </w:tc>
        <w:tc>
          <w:tcPr>
            <w:tcW w:w="6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3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15</w:t>
            </w:r>
          </w:p>
        </w:tc>
        <w:tc>
          <w:tcPr>
            <w:tcW w:w="11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十五、商业服务业等支出</w:t>
            </w:r>
          </w:p>
        </w:tc>
        <w:tc>
          <w:tcPr>
            <w:tcW w:w="6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5135.55</w:t>
            </w:r>
          </w:p>
        </w:tc>
      </w:tr>
      <w:tr>
        <w:tblPrEx>
          <w:tblCellMar>
            <w:top w:w="0" w:type="dxa"/>
            <w:left w:w="0" w:type="dxa"/>
            <w:bottom w:w="0" w:type="dxa"/>
            <w:right w:w="0" w:type="dxa"/>
          </w:tblCellMar>
        </w:tblPrEx>
        <w:trPr>
          <w:trHeight w:val="337"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3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16</w:t>
            </w:r>
          </w:p>
        </w:tc>
        <w:tc>
          <w:tcPr>
            <w:tcW w:w="11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十六、金融支出</w:t>
            </w:r>
          </w:p>
        </w:tc>
        <w:tc>
          <w:tcPr>
            <w:tcW w:w="6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3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17</w:t>
            </w:r>
          </w:p>
        </w:tc>
        <w:tc>
          <w:tcPr>
            <w:tcW w:w="11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十七、援助其他地区支出</w:t>
            </w:r>
          </w:p>
        </w:tc>
        <w:tc>
          <w:tcPr>
            <w:tcW w:w="6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3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18</w:t>
            </w:r>
          </w:p>
        </w:tc>
        <w:tc>
          <w:tcPr>
            <w:tcW w:w="11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十八、国土海洋气象等支出</w:t>
            </w:r>
          </w:p>
        </w:tc>
        <w:tc>
          <w:tcPr>
            <w:tcW w:w="6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45</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3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19</w:t>
            </w:r>
          </w:p>
        </w:tc>
        <w:tc>
          <w:tcPr>
            <w:tcW w:w="11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十九、住房保障支出</w:t>
            </w:r>
          </w:p>
        </w:tc>
        <w:tc>
          <w:tcPr>
            <w:tcW w:w="6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46</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9.76</w:t>
            </w:r>
          </w:p>
        </w:tc>
      </w:tr>
      <w:tr>
        <w:tblPrEx>
          <w:tblCellMar>
            <w:top w:w="0" w:type="dxa"/>
            <w:left w:w="0" w:type="dxa"/>
            <w:bottom w:w="0" w:type="dxa"/>
            <w:right w:w="0" w:type="dxa"/>
          </w:tblCellMar>
        </w:tblPrEx>
        <w:trPr>
          <w:trHeight w:val="337"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3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20</w:t>
            </w:r>
          </w:p>
        </w:tc>
        <w:tc>
          <w:tcPr>
            <w:tcW w:w="11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二十、粮油物资储备支出</w:t>
            </w:r>
          </w:p>
        </w:tc>
        <w:tc>
          <w:tcPr>
            <w:tcW w:w="6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47</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3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21</w:t>
            </w:r>
          </w:p>
        </w:tc>
        <w:tc>
          <w:tcPr>
            <w:tcW w:w="11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二十一、其他支出</w:t>
            </w:r>
          </w:p>
        </w:tc>
        <w:tc>
          <w:tcPr>
            <w:tcW w:w="6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3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22</w:t>
            </w:r>
          </w:p>
        </w:tc>
        <w:tc>
          <w:tcPr>
            <w:tcW w:w="11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二十二、债务还本支出</w:t>
            </w:r>
          </w:p>
        </w:tc>
        <w:tc>
          <w:tcPr>
            <w:tcW w:w="6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3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23</w:t>
            </w:r>
          </w:p>
        </w:tc>
        <w:tc>
          <w:tcPr>
            <w:tcW w:w="11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二十三、债务付息支出</w:t>
            </w:r>
          </w:p>
        </w:tc>
        <w:tc>
          <w:tcPr>
            <w:tcW w:w="6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本年收入合计</w:t>
            </w:r>
          </w:p>
        </w:tc>
        <w:tc>
          <w:tcPr>
            <w:tcW w:w="3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24</w:t>
            </w:r>
          </w:p>
        </w:tc>
        <w:tc>
          <w:tcPr>
            <w:tcW w:w="11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18"/>
                <w:szCs w:val="18"/>
              </w:rPr>
            </w:pPr>
            <w:r>
              <w:rPr>
                <w:rFonts w:hint="eastAsia" w:ascii="宋体" w:hAnsi="宋体" w:cs="宋体"/>
                <w:color w:val="000000"/>
                <w:sz w:val="18"/>
                <w:szCs w:val="18"/>
              </w:rPr>
              <w:t>6340.81</w:t>
            </w:r>
          </w:p>
        </w:tc>
        <w:tc>
          <w:tcPr>
            <w:tcW w:w="2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本年支出合计</w:t>
            </w:r>
          </w:p>
        </w:tc>
        <w:tc>
          <w:tcPr>
            <w:tcW w:w="6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6330.56</w:t>
            </w:r>
          </w:p>
        </w:tc>
      </w:tr>
      <w:tr>
        <w:tblPrEx>
          <w:tblCellMar>
            <w:top w:w="0" w:type="dxa"/>
            <w:left w:w="0" w:type="dxa"/>
            <w:bottom w:w="0" w:type="dxa"/>
            <w:right w:w="0" w:type="dxa"/>
          </w:tblCellMar>
        </w:tblPrEx>
        <w:trPr>
          <w:trHeight w:val="385"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用事业基金弥补收支差额</w:t>
            </w:r>
          </w:p>
        </w:tc>
        <w:tc>
          <w:tcPr>
            <w:tcW w:w="3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25</w:t>
            </w:r>
          </w:p>
        </w:tc>
        <w:tc>
          <w:tcPr>
            <w:tcW w:w="11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18"/>
                <w:szCs w:val="18"/>
              </w:rPr>
            </w:pPr>
          </w:p>
        </w:tc>
        <w:tc>
          <w:tcPr>
            <w:tcW w:w="2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结余分配</w:t>
            </w:r>
          </w:p>
        </w:tc>
        <w:tc>
          <w:tcPr>
            <w:tcW w:w="6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年初结转和结余</w:t>
            </w:r>
          </w:p>
        </w:tc>
        <w:tc>
          <w:tcPr>
            <w:tcW w:w="3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26</w:t>
            </w:r>
          </w:p>
        </w:tc>
        <w:tc>
          <w:tcPr>
            <w:tcW w:w="11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18"/>
                <w:szCs w:val="18"/>
              </w:rPr>
            </w:pPr>
            <w:r>
              <w:rPr>
                <w:rFonts w:hint="eastAsia" w:ascii="宋体" w:hAnsi="宋体" w:cs="宋体"/>
                <w:color w:val="000000"/>
                <w:sz w:val="18"/>
                <w:szCs w:val="18"/>
              </w:rPr>
              <w:t>17.95</w:t>
            </w:r>
          </w:p>
        </w:tc>
        <w:tc>
          <w:tcPr>
            <w:tcW w:w="2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年末结转和结余</w:t>
            </w:r>
          </w:p>
        </w:tc>
        <w:tc>
          <w:tcPr>
            <w:tcW w:w="6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rPr>
              <w:t>28.2</w:t>
            </w:r>
            <w:r>
              <w:rPr>
                <w:rFonts w:hint="eastAsia" w:ascii="宋体" w:hAnsi="宋体" w:cs="宋体"/>
                <w:color w:val="000000"/>
                <w:sz w:val="20"/>
                <w:szCs w:val="20"/>
                <w:lang w:val="en-US" w:eastAsia="zh-CN"/>
              </w:rPr>
              <w:t>0</w:t>
            </w:r>
          </w:p>
        </w:tc>
      </w:tr>
      <w:tr>
        <w:tblPrEx>
          <w:tblCellMar>
            <w:top w:w="0" w:type="dxa"/>
            <w:left w:w="0" w:type="dxa"/>
            <w:bottom w:w="0" w:type="dxa"/>
            <w:right w:w="0" w:type="dxa"/>
          </w:tblCellMar>
        </w:tblPrEx>
        <w:trPr>
          <w:trHeight w:val="337"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总计</w:t>
            </w:r>
          </w:p>
        </w:tc>
        <w:tc>
          <w:tcPr>
            <w:tcW w:w="3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27</w:t>
            </w:r>
          </w:p>
        </w:tc>
        <w:tc>
          <w:tcPr>
            <w:tcW w:w="11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18"/>
                <w:szCs w:val="18"/>
              </w:rPr>
            </w:pPr>
            <w:r>
              <w:rPr>
                <w:rFonts w:hint="eastAsia" w:ascii="宋体" w:hAnsi="宋体" w:cs="宋体"/>
                <w:color w:val="000000"/>
                <w:sz w:val="18"/>
                <w:szCs w:val="18"/>
              </w:rPr>
              <w:t>6358.76</w:t>
            </w:r>
          </w:p>
        </w:tc>
        <w:tc>
          <w:tcPr>
            <w:tcW w:w="24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总计</w:t>
            </w:r>
          </w:p>
        </w:tc>
        <w:tc>
          <w:tcPr>
            <w:tcW w:w="6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6358.76</w:t>
            </w:r>
          </w:p>
        </w:tc>
      </w:tr>
      <w:tr>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lang w:bidi="ar"/>
              </w:rPr>
              <w:t>注：本表反映部门本年度的总收支和年末结转结余情况。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335"/>
        <w:gridCol w:w="179"/>
        <w:gridCol w:w="520"/>
        <w:gridCol w:w="1318"/>
        <w:gridCol w:w="920"/>
        <w:gridCol w:w="150"/>
        <w:gridCol w:w="298"/>
        <w:gridCol w:w="240"/>
        <w:gridCol w:w="232"/>
        <w:gridCol w:w="584"/>
        <w:gridCol w:w="337"/>
        <w:gridCol w:w="478"/>
        <w:gridCol w:w="442"/>
        <w:gridCol w:w="373"/>
        <w:gridCol w:w="548"/>
        <w:gridCol w:w="920"/>
        <w:gridCol w:w="926"/>
      </w:tblGrid>
      <w:tr>
        <w:tblPrEx>
          <w:tblCellMar>
            <w:top w:w="0" w:type="dxa"/>
            <w:left w:w="0" w:type="dxa"/>
            <w:bottom w:w="0" w:type="dxa"/>
            <w:right w:w="0" w:type="dxa"/>
          </w:tblCellMar>
        </w:tblPrEx>
        <w:trPr>
          <w:trHeight w:val="770" w:hRule="atLeast"/>
          <w:jc w:val="center"/>
        </w:trPr>
        <w:tc>
          <w:tcPr>
            <w:tcW w:w="8800" w:type="dxa"/>
            <w:gridSpan w:val="17"/>
            <w:tcBorders>
              <w:top w:val="nil"/>
              <w:left w:val="nil"/>
              <w:bottom w:val="nil"/>
              <w:right w:val="nil"/>
            </w:tcBorders>
            <w:shd w:val="clear" w:color="auto" w:fill="auto"/>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lang w:bidi="ar"/>
              </w:rPr>
              <w:t>收入决</w:t>
            </w:r>
            <w:r>
              <w:rPr>
                <w:sz w:val="44"/>
              </w:rPr>
              <mc:AlternateContent>
                <mc:Choice Requires="wpg">
                  <w:drawing>
                    <wp:anchor distT="0" distB="0" distL="114300" distR="114300" simplePos="0" relativeHeight="251675648" behindDoc="0" locked="1" layoutInCell="1" allowOverlap="1">
                      <wp:simplePos x="0" y="0"/>
                      <wp:positionH relativeFrom="column">
                        <wp:posOffset>-1050925</wp:posOffset>
                      </wp:positionH>
                      <wp:positionV relativeFrom="page">
                        <wp:posOffset>-1029970</wp:posOffset>
                      </wp:positionV>
                      <wp:extent cx="3088640" cy="523240"/>
                      <wp:effectExtent l="3175" t="0" r="13335" b="29210"/>
                      <wp:wrapNone/>
                      <wp:docPr id="34" name="组合 34"/>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35"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6"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2.75pt;margin-top:-81.1pt;height:41.2pt;width:243.2pt;mso-position-vertical-relative:page;z-index:251675648;mso-width-relative:page;mso-height-relative:page;" coordorigin="4551,52615" coordsize="8546,1398" o:gfxdata="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to5L074AAADb&#10;AAAADwAAAGRycy9kb3ducmV2LnhtbEWPT2sCMRTE74LfIbyCN022sipbowexWHpqVfD63Lzubnfz&#10;siTxT799Uyh4HGbmN8xyfbeduJIPjWMN2USBIC6dabjScDy8jhcgQkQ22DkmDT8UYL0aDpZYGHfj&#10;T7ruYyUShEOBGuoY+0LKUNZkMUxcT5y8L+ctxiR9JY3HW4LbTj4rNZMWG04LNfa0qals9xeroT3O&#10;Pxq12X2f3ttZ7rfZeZ77s9ajp0y9gIh0j4/wf/vNaJjm8Pcl/QC5+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o5L07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z/WRkrsAAADb&#10;AAAADwAAAGRycy9kb3ducmV2LnhtbEWPS4sCMRCE7wv+h9CCtzVRYXYYjYKCyx59e20m7czgpDMk&#10;8fXvzcLCHouq+oqaLZ62FXfyoXGsYTRUIIhLZxquNBz2688cRIjIBlvHpOFFARbz3scMC+MevKX7&#10;LlYiQTgUqKGOsSukDGVNFsPQdcTJuzhvMSbpK2k8PhLctnKsVCYtNpwWauxoVVN53d2shmyzXLly&#10;n3+f/LlRG3dbv/Kvo9aD/khNQUR6xv/wX/vHaJhk8Psl/QA5f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WRkr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算表</w:t>
            </w:r>
          </w:p>
        </w:tc>
      </w:tr>
      <w:tr>
        <w:tblPrEx>
          <w:tblCellMar>
            <w:top w:w="0" w:type="dxa"/>
            <w:left w:w="0" w:type="dxa"/>
            <w:bottom w:w="0" w:type="dxa"/>
            <w:right w:w="0" w:type="dxa"/>
          </w:tblCellMar>
        </w:tblPrEx>
        <w:trPr>
          <w:trHeight w:val="362" w:hRule="atLeast"/>
          <w:jc w:val="center"/>
        </w:trPr>
        <w:tc>
          <w:tcPr>
            <w:tcW w:w="33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7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52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31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07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9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公开02表</w:t>
            </w:r>
          </w:p>
        </w:tc>
      </w:tr>
      <w:tr>
        <w:tblPrEx>
          <w:tblCellMar>
            <w:top w:w="0" w:type="dxa"/>
            <w:left w:w="0" w:type="dxa"/>
            <w:bottom w:w="0" w:type="dxa"/>
            <w:right w:w="0" w:type="dxa"/>
          </w:tblCellMar>
        </w:tblPrEx>
        <w:trPr>
          <w:trHeight w:val="362" w:hRule="atLeast"/>
          <w:jc w:val="center"/>
        </w:trPr>
        <w:tc>
          <w:tcPr>
            <w:tcW w:w="3422"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lang w:bidi="ar"/>
              </w:rPr>
              <w:t>部门：中共石家庄市鹿泉区委宣传部</w:t>
            </w:r>
          </w:p>
        </w:tc>
        <w:tc>
          <w:tcPr>
            <w:tcW w:w="29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金额单位：万元</w:t>
            </w:r>
          </w:p>
        </w:tc>
      </w:tr>
      <w:tr>
        <w:tblPrEx>
          <w:tblCellMar>
            <w:top w:w="0" w:type="dxa"/>
            <w:left w:w="0" w:type="dxa"/>
            <w:bottom w:w="0" w:type="dxa"/>
            <w:right w:w="0" w:type="dxa"/>
          </w:tblCellMar>
        </w:tblPrEx>
        <w:trPr>
          <w:trHeight w:val="325" w:hRule="atLeast"/>
          <w:jc w:val="center"/>
        </w:trPr>
        <w:tc>
          <w:tcPr>
            <w:tcW w:w="2352" w:type="dxa"/>
            <w:gridSpan w:val="4"/>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项目</w:t>
            </w:r>
          </w:p>
        </w:tc>
        <w:tc>
          <w:tcPr>
            <w:tcW w:w="920" w:type="dxa"/>
            <w:vMerge w:val="restart"/>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本年收入合计</w:t>
            </w:r>
          </w:p>
        </w:tc>
        <w:tc>
          <w:tcPr>
            <w:tcW w:w="920" w:type="dxa"/>
            <w:gridSpan w:val="4"/>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财政拨款收入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上级补助收入</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事业收入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经营收入</w:t>
            </w:r>
          </w:p>
        </w:tc>
        <w:tc>
          <w:tcPr>
            <w:tcW w:w="920"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附属单位上缴收入</w:t>
            </w:r>
          </w:p>
        </w:tc>
        <w:tc>
          <w:tcPr>
            <w:tcW w:w="926" w:type="dxa"/>
            <w:vMerge w:val="restart"/>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其他收入</w:t>
            </w:r>
          </w:p>
        </w:tc>
      </w:tr>
      <w:tr>
        <w:tblPrEx>
          <w:tblCellMar>
            <w:top w:w="0" w:type="dxa"/>
            <w:left w:w="0" w:type="dxa"/>
            <w:bottom w:w="0" w:type="dxa"/>
            <w:right w:w="0" w:type="dxa"/>
          </w:tblCellMar>
        </w:tblPrEx>
        <w:trPr>
          <w:trHeight w:val="626"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功能分类科目编码</w:t>
            </w:r>
          </w:p>
        </w:tc>
        <w:tc>
          <w:tcPr>
            <w:tcW w:w="1318"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科目名称</w:t>
            </w:r>
          </w:p>
        </w:tc>
        <w:tc>
          <w:tcPr>
            <w:tcW w:w="920" w:type="dxa"/>
            <w:vMerge w:val="continue"/>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920" w:type="dxa"/>
            <w:gridSpan w:val="4"/>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p>
        </w:tc>
        <w:tc>
          <w:tcPr>
            <w:tcW w:w="920"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p>
        </w:tc>
        <w:tc>
          <w:tcPr>
            <w:tcW w:w="926" w:type="dxa"/>
            <w:vMerge w:val="continue"/>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p>
        </w:tc>
      </w:tr>
      <w:tr>
        <w:tblPrEx>
          <w:tblCellMar>
            <w:top w:w="0" w:type="dxa"/>
            <w:left w:w="0" w:type="dxa"/>
            <w:bottom w:w="0" w:type="dxa"/>
            <w:right w:w="0" w:type="dxa"/>
          </w:tblCellMar>
        </w:tblPrEx>
        <w:trPr>
          <w:trHeight w:val="391"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栏次</w:t>
            </w:r>
          </w:p>
        </w:tc>
        <w:tc>
          <w:tcPr>
            <w:tcW w:w="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w:t>
            </w:r>
          </w:p>
        </w:tc>
        <w:tc>
          <w:tcPr>
            <w:tcW w:w="92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w:t>
            </w:r>
          </w:p>
        </w:tc>
        <w:tc>
          <w:tcPr>
            <w:tcW w:w="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6</w:t>
            </w:r>
          </w:p>
        </w:tc>
        <w:tc>
          <w:tcPr>
            <w:tcW w:w="9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7</w:t>
            </w:r>
          </w:p>
        </w:tc>
      </w:tr>
      <w:tr>
        <w:tblPrEx>
          <w:tblCellMar>
            <w:top w:w="0" w:type="dxa"/>
            <w:left w:w="0" w:type="dxa"/>
            <w:bottom w:w="0" w:type="dxa"/>
            <w:right w:w="0" w:type="dxa"/>
          </w:tblCellMar>
        </w:tblPrEx>
        <w:trPr>
          <w:trHeight w:val="90"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合计</w:t>
            </w:r>
          </w:p>
        </w:tc>
        <w:tc>
          <w:tcPr>
            <w:tcW w:w="92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b/>
                <w:color w:val="000000"/>
                <w:sz w:val="18"/>
                <w:szCs w:val="18"/>
              </w:rPr>
            </w:pPr>
            <w:r>
              <w:rPr>
                <w:rFonts w:hint="eastAsia" w:ascii="宋体" w:hAnsi="宋体" w:cs="宋体"/>
                <w:b/>
                <w:color w:val="000000"/>
                <w:sz w:val="18"/>
                <w:szCs w:val="18"/>
              </w:rPr>
              <w:t>6340.81</w:t>
            </w:r>
          </w:p>
        </w:tc>
        <w:tc>
          <w:tcPr>
            <w:tcW w:w="920" w:type="dxa"/>
            <w:gridSpan w:val="4"/>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b/>
                <w:color w:val="000000"/>
                <w:sz w:val="18"/>
                <w:szCs w:val="18"/>
              </w:rPr>
            </w:pPr>
            <w:r>
              <w:rPr>
                <w:rFonts w:hint="eastAsia" w:ascii="宋体" w:hAnsi="宋体" w:cs="宋体"/>
                <w:b/>
                <w:color w:val="000000"/>
                <w:sz w:val="18"/>
                <w:szCs w:val="18"/>
              </w:rPr>
              <w:t>4826.71</w:t>
            </w:r>
          </w:p>
        </w:tc>
        <w:tc>
          <w:tcPr>
            <w:tcW w:w="921"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b/>
                <w:color w:val="000000"/>
                <w:sz w:val="18"/>
                <w:szCs w:val="18"/>
              </w:rPr>
            </w:pPr>
          </w:p>
        </w:tc>
        <w:tc>
          <w:tcPr>
            <w:tcW w:w="92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b/>
                <w:color w:val="000000"/>
                <w:sz w:val="18"/>
                <w:szCs w:val="18"/>
              </w:rPr>
            </w:pPr>
          </w:p>
        </w:tc>
        <w:tc>
          <w:tcPr>
            <w:tcW w:w="921"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b/>
                <w:color w:val="000000"/>
                <w:sz w:val="18"/>
                <w:szCs w:val="18"/>
              </w:rPr>
            </w:pPr>
          </w:p>
        </w:tc>
        <w:tc>
          <w:tcPr>
            <w:tcW w:w="92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b/>
                <w:color w:val="000000"/>
                <w:sz w:val="18"/>
                <w:szCs w:val="18"/>
              </w:rPr>
            </w:pPr>
          </w:p>
        </w:tc>
        <w:tc>
          <w:tcPr>
            <w:tcW w:w="92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332"/>
              </w:tabs>
              <w:spacing w:after="0" w:line="240" w:lineRule="atLeast"/>
              <w:jc w:val="center"/>
              <w:rPr>
                <w:rFonts w:hint="default" w:ascii="宋体" w:hAnsi="宋体" w:eastAsia="宋体" w:cs="宋体"/>
                <w:b/>
                <w:color w:val="000000"/>
                <w:sz w:val="18"/>
                <w:szCs w:val="18"/>
                <w:lang w:val="en-US" w:eastAsia="zh-CN"/>
              </w:rPr>
            </w:pPr>
            <w:r>
              <w:rPr>
                <w:rFonts w:hint="eastAsia" w:ascii="宋体" w:hAnsi="宋体" w:cs="宋体"/>
                <w:b/>
                <w:color w:val="000000"/>
                <w:sz w:val="18"/>
                <w:szCs w:val="18"/>
                <w:lang w:eastAsia="zh-CN"/>
              </w:rPr>
              <w:t>1514.1</w:t>
            </w:r>
            <w:r>
              <w:rPr>
                <w:rFonts w:hint="eastAsia" w:ascii="宋体" w:hAnsi="宋体" w:cs="宋体"/>
                <w:b/>
                <w:color w:val="000000"/>
                <w:sz w:val="18"/>
                <w:szCs w:val="18"/>
                <w:lang w:val="en-US" w:eastAsia="zh-CN"/>
              </w:rPr>
              <w:t>0</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kern w:val="0"/>
                <w:sz w:val="20"/>
                <w:szCs w:val="20"/>
                <w:lang w:bidi="ar"/>
              </w:rPr>
              <w:t>201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kern w:val="0"/>
                <w:sz w:val="20"/>
                <w:szCs w:val="20"/>
                <w:lang w:bidi="ar"/>
              </w:rPr>
              <w:t>一般公共服务支出</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398.18</w:t>
            </w:r>
          </w:p>
        </w:tc>
        <w:tc>
          <w:tcPr>
            <w:tcW w:w="92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397.27</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0.91</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20133</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宣传事务</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398.18</w:t>
            </w:r>
          </w:p>
        </w:tc>
        <w:tc>
          <w:tcPr>
            <w:tcW w:w="92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397.27</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0.91</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2013301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行政运行</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231.18</w:t>
            </w:r>
          </w:p>
        </w:tc>
        <w:tc>
          <w:tcPr>
            <w:tcW w:w="92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230.27</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0.91</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2013302</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一般行政管理事务</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rPr>
              <w:t>97</w:t>
            </w:r>
            <w:r>
              <w:rPr>
                <w:rFonts w:hint="eastAsia" w:ascii="宋体" w:hAnsi="宋体" w:cs="宋体"/>
                <w:color w:val="000000"/>
                <w:szCs w:val="21"/>
                <w:lang w:val="en-US" w:eastAsia="zh-CN"/>
              </w:rPr>
              <w:t>.00</w:t>
            </w:r>
          </w:p>
        </w:tc>
        <w:tc>
          <w:tcPr>
            <w:tcW w:w="92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rPr>
              <w:t>97</w:t>
            </w:r>
            <w:r>
              <w:rPr>
                <w:rFonts w:hint="eastAsia" w:ascii="宋体" w:hAnsi="宋体" w:cs="宋体"/>
                <w:color w:val="000000"/>
                <w:szCs w:val="21"/>
                <w:lang w:val="en-US" w:eastAsia="zh-CN"/>
              </w:rPr>
              <w:t>.00</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2013350</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事业运行</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5.00</w:t>
            </w:r>
          </w:p>
        </w:tc>
        <w:tc>
          <w:tcPr>
            <w:tcW w:w="92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5.00</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2013399</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其他宣传事务支出</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65.00</w:t>
            </w:r>
          </w:p>
        </w:tc>
        <w:tc>
          <w:tcPr>
            <w:tcW w:w="92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65.00</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文化体育与传媒支出</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768.94</w:t>
            </w:r>
          </w:p>
        </w:tc>
        <w:tc>
          <w:tcPr>
            <w:tcW w:w="92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751.24</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eastAsia" w:ascii="宋体" w:hAnsi="宋体" w:eastAsia="宋体" w:cs="宋体"/>
                <w:color w:val="000000"/>
                <w:szCs w:val="21"/>
                <w:lang w:val="en-US" w:eastAsia="zh-CN"/>
              </w:rPr>
            </w:pPr>
            <w:r>
              <w:rPr>
                <w:rFonts w:hint="eastAsia" w:ascii="宋体" w:hAnsi="宋体" w:cs="宋体"/>
                <w:color w:val="000000"/>
                <w:szCs w:val="21"/>
              </w:rPr>
              <w:t>17.7</w:t>
            </w:r>
            <w:r>
              <w:rPr>
                <w:rFonts w:hint="eastAsia" w:ascii="宋体" w:hAnsi="宋体" w:cs="宋体"/>
                <w:color w:val="000000"/>
                <w:szCs w:val="21"/>
                <w:lang w:val="en-US" w:eastAsia="zh-CN"/>
              </w:rPr>
              <w:t>0</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20701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文化</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135.00</w:t>
            </w:r>
          </w:p>
        </w:tc>
        <w:tc>
          <w:tcPr>
            <w:tcW w:w="92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135.00</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2070199</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其他文化支出</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135.00</w:t>
            </w:r>
          </w:p>
        </w:tc>
        <w:tc>
          <w:tcPr>
            <w:tcW w:w="92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135.00</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20799</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其他文化体育与传媒支出</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633.94</w:t>
            </w:r>
          </w:p>
        </w:tc>
        <w:tc>
          <w:tcPr>
            <w:tcW w:w="92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616.24</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17.70</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2079902</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宣传文化发展专项支出</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100.00</w:t>
            </w:r>
          </w:p>
        </w:tc>
        <w:tc>
          <w:tcPr>
            <w:tcW w:w="92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100.00</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2079903</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文化产业发展专项支出</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510.14</w:t>
            </w:r>
          </w:p>
        </w:tc>
        <w:tc>
          <w:tcPr>
            <w:tcW w:w="92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510.14</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2079999</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其他文化体育与传媒支出</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eastAsia" w:ascii="宋体" w:hAnsi="宋体" w:eastAsia="宋体" w:cs="宋体"/>
                <w:color w:val="000000"/>
                <w:szCs w:val="21"/>
                <w:lang w:val="en-US" w:eastAsia="zh-CN"/>
              </w:rPr>
            </w:pPr>
            <w:r>
              <w:rPr>
                <w:rFonts w:hint="eastAsia" w:ascii="宋体" w:hAnsi="宋体" w:cs="宋体"/>
                <w:color w:val="000000"/>
                <w:szCs w:val="21"/>
              </w:rPr>
              <w:t>23.8</w:t>
            </w:r>
            <w:r>
              <w:rPr>
                <w:rFonts w:hint="eastAsia" w:ascii="宋体" w:hAnsi="宋体" w:cs="宋体"/>
                <w:color w:val="000000"/>
                <w:szCs w:val="21"/>
                <w:lang w:val="en-US" w:eastAsia="zh-CN"/>
              </w:rPr>
              <w:t>0</w:t>
            </w:r>
          </w:p>
        </w:tc>
        <w:tc>
          <w:tcPr>
            <w:tcW w:w="92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eastAsia" w:ascii="宋体" w:hAnsi="宋体" w:eastAsia="宋体" w:cs="宋体"/>
                <w:color w:val="000000"/>
                <w:szCs w:val="21"/>
                <w:lang w:val="en-US" w:eastAsia="zh-CN"/>
              </w:rPr>
            </w:pPr>
            <w:r>
              <w:rPr>
                <w:rFonts w:hint="eastAsia" w:ascii="宋体" w:hAnsi="宋体" w:cs="宋体"/>
                <w:color w:val="000000"/>
                <w:szCs w:val="21"/>
              </w:rPr>
              <w:t>6.1</w:t>
            </w:r>
            <w:r>
              <w:rPr>
                <w:rFonts w:hint="eastAsia" w:ascii="宋体" w:hAnsi="宋体" w:cs="宋体"/>
                <w:color w:val="000000"/>
                <w:szCs w:val="21"/>
                <w:lang w:val="en-US" w:eastAsia="zh-CN"/>
              </w:rPr>
              <w:t>0</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17.70</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kern w:val="0"/>
                <w:sz w:val="20"/>
                <w:szCs w:val="20"/>
                <w:lang w:bidi="ar"/>
              </w:rPr>
              <w:t>社会保障和就业支出</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16.26</w:t>
            </w:r>
          </w:p>
        </w:tc>
        <w:tc>
          <w:tcPr>
            <w:tcW w:w="92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16.26</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20805</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kern w:val="0"/>
                <w:sz w:val="20"/>
                <w:szCs w:val="20"/>
                <w:lang w:bidi="ar"/>
              </w:rPr>
              <w:t>行政事业单位离退休</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16.26</w:t>
            </w:r>
          </w:p>
        </w:tc>
        <w:tc>
          <w:tcPr>
            <w:tcW w:w="92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16.26</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2080505</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kern w:val="0"/>
                <w:sz w:val="20"/>
                <w:szCs w:val="20"/>
                <w:lang w:bidi="ar"/>
              </w:rPr>
              <w:t>机关事业单位基本养老保险缴费支出</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16.26</w:t>
            </w:r>
          </w:p>
        </w:tc>
        <w:tc>
          <w:tcPr>
            <w:tcW w:w="92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16.26</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医疗卫生与计划生育支出</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12.12</w:t>
            </w:r>
          </w:p>
        </w:tc>
        <w:tc>
          <w:tcPr>
            <w:tcW w:w="92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12.12</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21011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行政事业单位医疗</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12.12</w:t>
            </w:r>
          </w:p>
        </w:tc>
        <w:tc>
          <w:tcPr>
            <w:tcW w:w="92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12.12</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2101101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行政单位医疗</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12.12</w:t>
            </w:r>
          </w:p>
        </w:tc>
        <w:tc>
          <w:tcPr>
            <w:tcW w:w="92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12.12</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216</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商业服务业等支出</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5135.55</w:t>
            </w:r>
          </w:p>
        </w:tc>
        <w:tc>
          <w:tcPr>
            <w:tcW w:w="92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3640.06</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1495.49</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21605</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旅游业管理与服务支出</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5135.55</w:t>
            </w:r>
          </w:p>
        </w:tc>
        <w:tc>
          <w:tcPr>
            <w:tcW w:w="92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3640.06</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1495.49</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2160504</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旅游宣传</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5135.55</w:t>
            </w:r>
          </w:p>
        </w:tc>
        <w:tc>
          <w:tcPr>
            <w:tcW w:w="92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3640.06</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1495.49</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住房保障支出</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9.76</w:t>
            </w:r>
          </w:p>
        </w:tc>
        <w:tc>
          <w:tcPr>
            <w:tcW w:w="92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9.76</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22102</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住房改革支出</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9.76</w:t>
            </w:r>
          </w:p>
        </w:tc>
        <w:tc>
          <w:tcPr>
            <w:tcW w:w="92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9.76</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2210201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住房公积金</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9.76</w:t>
            </w:r>
          </w:p>
        </w:tc>
        <w:tc>
          <w:tcPr>
            <w:tcW w:w="92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9.76</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81" w:hRule="atLeast"/>
          <w:jc w:val="center"/>
        </w:trPr>
        <w:tc>
          <w:tcPr>
            <w:tcW w:w="8800" w:type="dxa"/>
            <w:gridSpan w:val="17"/>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lang w:bidi="ar"/>
              </w:rPr>
              <w:t>注：本表反映部门本年度取得的各项收入情况。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000" w:type="dxa"/>
        <w:tblInd w:w="0" w:type="dxa"/>
        <w:tblLayout w:type="fixed"/>
        <w:tblCellMar>
          <w:top w:w="0" w:type="dxa"/>
          <w:left w:w="0" w:type="dxa"/>
          <w:bottom w:w="0" w:type="dxa"/>
          <w:right w:w="0" w:type="dxa"/>
        </w:tblCellMar>
      </w:tblPr>
      <w:tblGrid>
        <w:gridCol w:w="290"/>
        <w:gridCol w:w="289"/>
        <w:gridCol w:w="509"/>
        <w:gridCol w:w="1411"/>
        <w:gridCol w:w="892"/>
        <w:gridCol w:w="191"/>
        <w:gridCol w:w="682"/>
        <w:gridCol w:w="402"/>
        <w:gridCol w:w="718"/>
        <w:gridCol w:w="365"/>
        <w:gridCol w:w="753"/>
        <w:gridCol w:w="331"/>
        <w:gridCol w:w="789"/>
        <w:gridCol w:w="294"/>
        <w:gridCol w:w="1084"/>
      </w:tblGrid>
      <w:tr>
        <w:tblPrEx>
          <w:tblCellMar>
            <w:top w:w="0" w:type="dxa"/>
            <w:left w:w="0" w:type="dxa"/>
            <w:bottom w:w="0" w:type="dxa"/>
            <w:right w:w="0" w:type="dxa"/>
          </w:tblCellMar>
        </w:tblPrEx>
        <w:trPr>
          <w:trHeight w:val="798" w:hRule="atLeast"/>
        </w:trPr>
        <w:tc>
          <w:tcPr>
            <w:tcW w:w="9000" w:type="dxa"/>
            <w:gridSpan w:val="1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支出决算</w:t>
            </w:r>
            <w:r>
              <w:rPr>
                <w:sz w:val="44"/>
              </w:rPr>
              <mc:AlternateContent>
                <mc:Choice Requires="wpg">
                  <w:drawing>
                    <wp:anchor distT="0" distB="0" distL="114300" distR="114300" simplePos="0" relativeHeight="251676672"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38" name="组合 38"/>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39"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40"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76672;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AcmlLK3AAAAA0BAAAPAAAAAAAAAAEA&#10;IAAAACIAAABkcnMvZG93bnJldi54bWxQSwECFAAUAAAACACHTuJATKGUYCgDAADuCAAADgAAAAAA&#10;AAABACAAAAArAQAAZHJzL2Uyb0RvYy54bWxQSwUGAAAAAAYABgBZAQAAxQ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N8NB1r4AAADb&#10;AAAADwAAAGRycy9kb3ducmV2LnhtbEWPzW7CMBCE75X6DtZW6q3YoeIvYDggqlY9QUDiusTbJE28&#10;jmwX6NvXlZA4jmbmG81idbWdOJMPjWMN2UCBIC6dabjScNi/vUxBhIhssHNMGn4pwGr5+LDA3LgL&#10;7+hcxEokCIccNdQx9rmUoazJYhi4njh5X85bjEn6ShqPlwS3nRwqNZYWG04LNfa0rqlsix+roT1M&#10;to1av38fP9vxyG+y02TkT1o/P2VqDiLSNd7Dt/aH0fA6g/8v6QfI5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8NB1r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d1bfALkAAADb&#10;AAAADwAAAGRycy9kb3ducmV2LnhtbEVPy4rCMBTdD/gP4QruxkQZOqUahRGUWWqdx/bSXNsyzU1J&#10;0qp/bxbCLA/nvd7ebCdG8qF1rGExVyCIK2darjV8nfevOYgQkQ12jknDnQJsN5OXNRbGXflEYxlr&#10;kUI4FKihibEvpAxVQxbD3PXEibs4bzEm6GtpPF5TuO3kUqlMWmw5NTTY066h6q8crIbs+LFz1Tk/&#10;/PjfVh3dsL/n799az6YLtQIR6Rb/xU/3p9HwltanL+kHyM0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HdW3wC5AAAA2w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表</w:t>
            </w:r>
          </w:p>
        </w:tc>
      </w:tr>
      <w:tr>
        <w:tblPrEx>
          <w:tblCellMar>
            <w:top w:w="0" w:type="dxa"/>
            <w:left w:w="0" w:type="dxa"/>
            <w:bottom w:w="0" w:type="dxa"/>
            <w:right w:w="0" w:type="dxa"/>
          </w:tblCellMar>
        </w:tblPrEx>
        <w:trPr>
          <w:trHeight w:val="404" w:hRule="atLeast"/>
        </w:trPr>
        <w:tc>
          <w:tcPr>
            <w:tcW w:w="29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8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50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411"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92"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73"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公开03表</w:t>
            </w:r>
          </w:p>
        </w:tc>
      </w:tr>
      <w:tr>
        <w:tblPrEx>
          <w:tblCellMar>
            <w:top w:w="0" w:type="dxa"/>
            <w:left w:w="0" w:type="dxa"/>
            <w:bottom w:w="0" w:type="dxa"/>
            <w:right w:w="0" w:type="dxa"/>
          </w:tblCellMar>
        </w:tblPrEx>
        <w:trPr>
          <w:trHeight w:val="380" w:hRule="atLeast"/>
        </w:trPr>
        <w:tc>
          <w:tcPr>
            <w:tcW w:w="3391"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lang w:bidi="ar"/>
              </w:rPr>
              <w:t>部门：中共石家庄市鹿泉区委宣传部</w:t>
            </w:r>
          </w:p>
        </w:tc>
        <w:tc>
          <w:tcPr>
            <w:tcW w:w="873"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498"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金额单位：万元</w:t>
            </w:r>
          </w:p>
        </w:tc>
      </w:tr>
      <w:tr>
        <w:tblPrEx>
          <w:tblCellMar>
            <w:top w:w="0" w:type="dxa"/>
            <w:left w:w="0" w:type="dxa"/>
            <w:bottom w:w="0" w:type="dxa"/>
            <w:right w:w="0" w:type="dxa"/>
          </w:tblCellMar>
        </w:tblPrEx>
        <w:trPr>
          <w:trHeight w:val="837" w:hRule="atLeast"/>
        </w:trPr>
        <w:tc>
          <w:tcPr>
            <w:tcW w:w="2499"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项目</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本年支出合计</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基本支出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项目支出</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上缴上级支出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经营支出</w:t>
            </w:r>
          </w:p>
        </w:tc>
        <w:tc>
          <w:tcPr>
            <w:tcW w:w="1084"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对附属单位补助支出</w:t>
            </w:r>
          </w:p>
        </w:tc>
      </w:tr>
      <w:tr>
        <w:tblPrEx>
          <w:tblCellMar>
            <w:top w:w="0" w:type="dxa"/>
            <w:left w:w="0" w:type="dxa"/>
            <w:bottom w:w="0" w:type="dxa"/>
            <w:right w:w="0" w:type="dxa"/>
          </w:tblCellMar>
        </w:tblPrEx>
        <w:trPr>
          <w:trHeight w:val="782" w:hRule="atLeast"/>
        </w:trPr>
        <w:tc>
          <w:tcPr>
            <w:tcW w:w="1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功能分类科目编码</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1083" w:type="dxa"/>
            <w:gridSpan w:val="2"/>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95" w:hRule="atLeast"/>
        </w:trPr>
        <w:tc>
          <w:tcPr>
            <w:tcW w:w="2499"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栏次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6</w:t>
            </w:r>
          </w:p>
        </w:tc>
      </w:tr>
      <w:tr>
        <w:tblPrEx>
          <w:tblCellMar>
            <w:top w:w="0" w:type="dxa"/>
            <w:left w:w="0" w:type="dxa"/>
            <w:bottom w:w="0" w:type="dxa"/>
            <w:right w:w="0" w:type="dxa"/>
          </w:tblCellMar>
        </w:tblPrEx>
        <w:trPr>
          <w:trHeight w:val="440" w:hRule="atLeast"/>
        </w:trPr>
        <w:tc>
          <w:tcPr>
            <w:tcW w:w="2499"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6330.56</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271.32</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6059.24</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r>
      <w:tr>
        <w:tblPrEx>
          <w:tblCellMar>
            <w:top w:w="0" w:type="dxa"/>
            <w:left w:w="0" w:type="dxa"/>
            <w:bottom w:w="0" w:type="dxa"/>
            <w:right w:w="0" w:type="dxa"/>
          </w:tblCellMar>
        </w:tblPrEx>
        <w:trPr>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201</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一般公共服务支出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388.64</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233.89</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154.75</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20133</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宣传事务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388.64</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233.89</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154.75</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2013301</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行政运行</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eastAsia" w:ascii="宋体" w:hAnsi="宋体" w:eastAsia="宋体" w:cs="宋体"/>
                <w:color w:val="000000"/>
                <w:szCs w:val="21"/>
                <w:lang w:val="en-US" w:eastAsia="zh-CN"/>
              </w:rPr>
            </w:pPr>
            <w:r>
              <w:rPr>
                <w:rFonts w:hint="eastAsia" w:ascii="宋体" w:hAnsi="宋体" w:cs="宋体"/>
                <w:color w:val="000000"/>
                <w:szCs w:val="21"/>
              </w:rPr>
              <w:t>220.8</w:t>
            </w:r>
            <w:r>
              <w:rPr>
                <w:rFonts w:hint="eastAsia" w:ascii="宋体" w:hAnsi="宋体" w:cs="宋体"/>
                <w:color w:val="000000"/>
                <w:szCs w:val="21"/>
                <w:lang w:val="en-US" w:eastAsia="zh-CN"/>
              </w:rPr>
              <w:t>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eastAsia" w:ascii="宋体" w:hAnsi="宋体" w:eastAsia="宋体" w:cs="宋体"/>
                <w:color w:val="000000"/>
                <w:szCs w:val="21"/>
                <w:lang w:val="en-US" w:eastAsia="zh-CN"/>
              </w:rPr>
            </w:pPr>
            <w:r>
              <w:rPr>
                <w:rFonts w:hint="eastAsia" w:ascii="宋体" w:hAnsi="宋体" w:cs="宋体"/>
                <w:color w:val="000000"/>
                <w:szCs w:val="21"/>
              </w:rPr>
              <w:t>220.8</w:t>
            </w:r>
            <w:r>
              <w:rPr>
                <w:rFonts w:hint="eastAsia" w:ascii="宋体" w:hAnsi="宋体" w:cs="宋体"/>
                <w:color w:val="000000"/>
                <w:szCs w:val="21"/>
                <w:lang w:val="en-US" w:eastAsia="zh-CN"/>
              </w:rPr>
              <w:t>0</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2013302</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一般行政管理事务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97.83</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8.08</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89.75</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2013350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事业运行</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5.00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5.00</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2013399</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其他宣传事务支出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65.00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65.00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207</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文化体育与传媒支出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768.94</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768.94</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20701</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文化</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135.00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135.00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2070199</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其他文化支出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135.00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135.00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20799</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其他文化体育与传媒支出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633.94</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633.94</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2079902</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宣传文化发展专项支出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100.00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100.00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2079903</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文化产业发展专项支出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510.14</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510.14</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2079999</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其他文化体育与传媒支出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eastAsia" w:ascii="宋体" w:hAnsi="宋体" w:eastAsia="宋体" w:cs="宋体"/>
                <w:color w:val="000000"/>
                <w:szCs w:val="21"/>
                <w:lang w:val="en-US" w:eastAsia="zh-CN"/>
              </w:rPr>
            </w:pPr>
            <w:r>
              <w:rPr>
                <w:rFonts w:hint="eastAsia" w:ascii="宋体" w:hAnsi="宋体" w:cs="宋体"/>
                <w:color w:val="000000"/>
                <w:szCs w:val="21"/>
              </w:rPr>
              <w:t>23.8</w:t>
            </w:r>
            <w:r>
              <w:rPr>
                <w:rFonts w:hint="eastAsia" w:ascii="宋体" w:hAnsi="宋体" w:cs="宋体"/>
                <w:color w:val="000000"/>
                <w:szCs w:val="21"/>
                <w:lang w:val="en-US" w:eastAsia="zh-CN"/>
              </w:rPr>
              <w:t>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23.80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208</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社会保障和就业支出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16.26</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16.26</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20805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行政事业单位离退休</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16.26</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16.26</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2080505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机关事业单位基本养老保险缴费支出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16.26</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16.26</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210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医疗卫生与计划生育支出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11.41</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11.41</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21011</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行政事业单位医疗</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11.41</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11.41</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2101101</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行政单位医疗</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11.41</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11.41</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216</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商业服务业等支出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5135.55</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5135.55</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21605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旅游业管理与服务支出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5135.55</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5135.55</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2160504</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旅游宣传</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5135.55</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5135.55</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221</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住房保障支出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9.76</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9.76</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22102</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住房改革支出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9.76</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9.76</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8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2210201</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住房公积金</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9.76</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9.76</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748" w:hRule="atLeast"/>
        </w:trPr>
        <w:tc>
          <w:tcPr>
            <w:tcW w:w="9000" w:type="dxa"/>
            <w:gridSpan w:val="1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lang w:bidi="ar"/>
              </w:rPr>
              <w:t>注：本表反映部门本年度各项支出情况。</w:t>
            </w:r>
          </w:p>
        </w:tc>
      </w:tr>
    </w:tbl>
    <w:p>
      <w:pPr>
        <w:widowControl/>
        <w:spacing w:after="0" w:line="560" w:lineRule="exact"/>
        <w:ind w:firstLine="562" w:firstLineChars="200"/>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财政拨款收入支出决</w:t>
            </w:r>
            <w:r>
              <w:rPr>
                <w:sz w:val="44"/>
              </w:rPr>
              <mc:AlternateContent>
                <mc:Choice Requires="wpg">
                  <w:drawing>
                    <wp:anchor distT="0" distB="0" distL="114300" distR="114300" simplePos="0" relativeHeight="251677696"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43" name="组合 43"/>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44"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45"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77696;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HJpSytwAAAANAQAADwAAAAAAAAAB&#10;ACAAAAAiAAAAZHJzL2Rvd25yZXYueG1sUEsBAhQAFAAAAAgAh07iQF5b3vwpAwAA7ggAAA4AAAAA&#10;AAAAAQAgAAAAKwEAAGRycy9lMm9Eb2MueG1sUEsFBgAAAAAGAAYAWQEAAMY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gcSdNb4AAADb&#10;AAAADwAAAGRycy9kb3ducmV2LnhtbEWPzWsCMRTE7wX/h/AEbzVZ8aNsjR5EsXhqVfD63Lzubnfz&#10;siTxo/+9KRQ8DjPzG2a+vNtWXMmH2rGGbKhAEBfO1FxqOB42r28gQkQ22DomDb8UYLnovcwxN+7G&#10;X3Tdx1IkCIccNVQxdrmUoajIYhi6jjh5385bjEn6UhqPtwS3rRwpNZUWa04LFXa0qqho9heroTnO&#10;Pmu12v6cds104tfZeTbxZ60H/Uy9g4h0j8/wf/vDaBiP4e9L+gFy8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cSdNb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ZyF8mLsAAADb&#10;AAAADwAAAGRycy9kb3ducmV2LnhtbEWPS4sCMRCE78L+h9ALe9PExdVhNAorKHv07bWZtDODk86Q&#10;xNe/3wiCx6KqvqIms7ttxJV8qB1r6PcUCOLCmZpLDbvtopuBCBHZYOOYNDwowGz60ZlgbtyN13Td&#10;xFIkCIccNVQxtrmUoajIYui5ljh5J+ctxiR9KY3HW4LbRn4rNZQWa04LFbY0r6g4by5Ww3D1O3fF&#10;Nlse/LFWK3dZPLLRXuuvz74ag4h0j+/wq/1nNAx+4Pkl/QA5/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yF8mL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公开04表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部门：中共石家庄市鹿泉区委宣传部</w:t>
            </w:r>
          </w:p>
        </w:tc>
        <w:tc>
          <w:tcPr>
            <w:tcW w:w="65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收     入</w:t>
            </w:r>
          </w:p>
        </w:tc>
        <w:tc>
          <w:tcPr>
            <w:tcW w:w="6153" w:type="dxa"/>
            <w:gridSpan w:val="9"/>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支     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项目</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行次</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金额</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项目</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行次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合计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一般公共预算财政拨款</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栏次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栏次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一、一般公共预算财政拨款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4826.71</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一、一般公共服务支出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387.73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387.73</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二、政府性基金预算财政拨款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二、外交支出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三、国防支出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四、公共安全支出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五、教育支出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六、科学技术支出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七、文化体育与传媒支出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751.24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751.24</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八、社会保障和就业支出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16.26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16.26</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9</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lang w:bidi="ar"/>
              </w:rPr>
              <w:t>九、医疗卫生与计划生育支出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11.41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11.41</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10</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十、节能环保支出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十一、城乡社区支出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十二、农林水支出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十三、交通运输支出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十四、资源勘探信息等支出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十五、商业服务业等支出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3640.06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3640.06</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十六、金融支出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十七、援助其他地区支出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十八、国土海洋气象等支出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19</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十九、住房保障支出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20</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二十、粮油物资储备支出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二十一、其他支出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二十二、债务还本支出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二十三、债务付息支出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312"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lang w:bidi="ar"/>
              </w:rPr>
              <w:t>本年收入合计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4826.71</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lang w:bidi="ar"/>
              </w:rPr>
              <w:t>本年支出合计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4816.46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4816.46</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年初财政拨款结转和结余</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17.95</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年末财政拨款结转和结余</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eastAsia" w:ascii="宋体" w:hAnsi="宋体" w:eastAsia="宋体" w:cs="宋体"/>
                <w:color w:val="000000"/>
                <w:sz w:val="18"/>
                <w:szCs w:val="18"/>
                <w:lang w:val="en-US" w:eastAsia="zh-CN"/>
              </w:rPr>
            </w:pPr>
            <w:r>
              <w:rPr>
                <w:rFonts w:hint="eastAsia" w:ascii="宋体" w:hAnsi="宋体" w:cs="宋体"/>
                <w:color w:val="000000"/>
                <w:sz w:val="18"/>
                <w:szCs w:val="18"/>
              </w:rPr>
              <w:t>28.2</w:t>
            </w:r>
            <w:r>
              <w:rPr>
                <w:rFonts w:hint="eastAsia" w:ascii="宋体" w:hAnsi="宋体" w:cs="宋体"/>
                <w:color w:val="000000"/>
                <w:sz w:val="18"/>
                <w:szCs w:val="18"/>
                <w:lang w:val="en-US" w:eastAsia="zh-CN"/>
              </w:rPr>
              <w:t>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eastAsia" w:ascii="宋体" w:hAnsi="宋体" w:eastAsia="宋体" w:cs="宋体"/>
                <w:color w:val="000000"/>
                <w:sz w:val="18"/>
                <w:szCs w:val="18"/>
                <w:lang w:val="en-US" w:eastAsia="zh-CN"/>
              </w:rPr>
            </w:pPr>
            <w:r>
              <w:rPr>
                <w:rFonts w:hint="eastAsia" w:ascii="宋体" w:hAnsi="宋体" w:cs="宋体"/>
                <w:color w:val="000000"/>
                <w:sz w:val="18"/>
                <w:szCs w:val="18"/>
              </w:rPr>
              <w:t>28.2</w:t>
            </w:r>
            <w:r>
              <w:rPr>
                <w:rFonts w:hint="eastAsia" w:ascii="宋体" w:hAnsi="宋体" w:cs="宋体"/>
                <w:color w:val="000000"/>
                <w:sz w:val="18"/>
                <w:szCs w:val="18"/>
                <w:lang w:val="en-US" w:eastAsia="zh-CN"/>
              </w:rPr>
              <w:t>0</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一般公共预算财政拨款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17.95</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政府性基金预算财政拨款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lang w:bidi="ar"/>
              </w:rPr>
              <w:t>总计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4844.66</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lang w:bidi="ar"/>
              </w:rPr>
              <w:t>总计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4844.66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4844.66</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注：本表反映部门本年度一般公共预算财政拨款和政府性基金预算财政拨款的总收支和年末结转结余情况。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317"/>
        <w:gridCol w:w="319"/>
        <w:gridCol w:w="357"/>
        <w:gridCol w:w="2109"/>
        <w:gridCol w:w="745"/>
        <w:gridCol w:w="1174"/>
        <w:gridCol w:w="718"/>
        <w:gridCol w:w="1201"/>
        <w:gridCol w:w="1920"/>
      </w:tblGrid>
      <w:tr>
        <w:tblPrEx>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shd w:val="clear" w:color="auto" w:fill="auto"/>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lang w:bidi="ar"/>
              </w:rPr>
              <w:t>一般公共预算财政拨</w:t>
            </w:r>
            <w:r>
              <w:rPr>
                <w:sz w:val="44"/>
              </w:rPr>
              <mc:AlternateContent>
                <mc:Choice Requires="wpg">
                  <w:drawing>
                    <wp:anchor distT="0" distB="0" distL="114300" distR="114300" simplePos="0" relativeHeight="251678720"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46" name="组合 46"/>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47"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48"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78720;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HJpSytwAAAANAQAADwAAAAAAAAABACAA&#10;AAAiAAAAZHJzL2Rvd25yZXYueG1sUEsBAhQAFAAAAAgAh07iQLS7gBcmAwAA7ggAAA4AAAAAAAAA&#10;AQAgAAAAKwEAAGRycy9lMm9Eb2MueG1sUEsFBgAAAAAGAAYAWQEAAMM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cRYDQr4AAADb&#10;AAAADwAAAGRycy9kb3ducmV2LnhtbEWPzWrDMBCE74G+g9hAb4nk0MTFiZJDaEjpqU0NvW6sje3Y&#10;WhlJ+enbV4VCj8PMfMOsNnfbiyv50DrWkE0VCOLKmZZrDeXnbvIMIkRkg71j0vBNATbrh9EKC+Nu&#10;/EHXQ6xFgnAoUEMT41BIGaqGLIapG4iTd3LeYkzS19J4vCW47eVMqYW02HJaaHCgbUNVd7hYDV2Z&#10;v7dquz9/vXWLuX/JjvncH7V+HGdqCSLSPf6H/9qvRsNTDr9f0g+Q6x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RYDQr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iSDTBrkAAADb&#10;AAAADwAAAGRycy9kb3ducmV2LnhtbEVPy4rCMBTdD/gP4QruxkQZOqUahRGUWWqdx/bSXNsyzU1J&#10;0qp/bxbCLA/nvd7ebCdG8qF1rGExVyCIK2darjV8nfevOYgQkQ12jknDnQJsN5OXNRbGXflEYxlr&#10;kUI4FKihibEvpAxVQxbD3PXEibs4bzEm6GtpPF5TuO3kUqlMWmw5NTTY066h6q8crIbs+LFz1Tk/&#10;/PjfVh3dsL/n799az6YLtQIR6Rb/xU/3p9HwlsamL+kHyM0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Ikg0wa5AAAA2w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款支出决算表</w:t>
            </w:r>
          </w:p>
        </w:tc>
      </w:tr>
      <w:tr>
        <w:tblPrEx>
          <w:tblCellMar>
            <w:top w:w="0" w:type="dxa"/>
            <w:left w:w="0" w:type="dxa"/>
            <w:bottom w:w="0" w:type="dxa"/>
            <w:right w:w="0" w:type="dxa"/>
          </w:tblCellMar>
        </w:tblPrEx>
        <w:trPr>
          <w:trHeight w:val="334" w:hRule="atLeast"/>
        </w:trPr>
        <w:tc>
          <w:tcPr>
            <w:tcW w:w="3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10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74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公开05表</w:t>
            </w:r>
          </w:p>
        </w:tc>
      </w:tr>
      <w:tr>
        <w:tblPrEx>
          <w:tblCellMar>
            <w:top w:w="0" w:type="dxa"/>
            <w:left w:w="0" w:type="dxa"/>
            <w:bottom w:w="0" w:type="dxa"/>
            <w:right w:w="0" w:type="dxa"/>
          </w:tblCellMar>
        </w:tblPrEx>
        <w:trPr>
          <w:trHeight w:val="334" w:hRule="atLeast"/>
        </w:trPr>
        <w:tc>
          <w:tcPr>
            <w:tcW w:w="3847"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lang w:bidi="ar"/>
              </w:rPr>
              <w:t>部门：中共石家庄市鹿泉区委宣传部</w:t>
            </w:r>
          </w:p>
        </w:tc>
        <w:tc>
          <w:tcPr>
            <w:tcW w:w="1892"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金额单位：万元</w:t>
            </w:r>
          </w:p>
        </w:tc>
      </w:tr>
      <w:tr>
        <w:tblPrEx>
          <w:tblCellMar>
            <w:top w:w="0" w:type="dxa"/>
            <w:left w:w="0" w:type="dxa"/>
            <w:bottom w:w="0" w:type="dxa"/>
            <w:right w:w="0" w:type="dxa"/>
          </w:tblCellMar>
        </w:tblPrEx>
        <w:trPr>
          <w:trHeight w:val="351" w:hRule="atLeast"/>
        </w:trPr>
        <w:tc>
          <w:tcPr>
            <w:tcW w:w="3102"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项目</w:t>
            </w:r>
          </w:p>
        </w:tc>
        <w:tc>
          <w:tcPr>
            <w:tcW w:w="5758"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本年支出</w:t>
            </w:r>
          </w:p>
        </w:tc>
      </w:tr>
      <w:tr>
        <w:tblPrEx>
          <w:tblCellMar>
            <w:top w:w="0" w:type="dxa"/>
            <w:left w:w="0" w:type="dxa"/>
            <w:bottom w:w="0" w:type="dxa"/>
            <w:right w:w="0" w:type="dxa"/>
          </w:tblCellMar>
        </w:tblPrEx>
        <w:trPr>
          <w:trHeight w:val="334" w:hRule="atLeast"/>
        </w:trPr>
        <w:tc>
          <w:tcPr>
            <w:tcW w:w="993"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功能分类科目编码</w:t>
            </w:r>
          </w:p>
        </w:tc>
        <w:tc>
          <w:tcPr>
            <w:tcW w:w="210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小计</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基本支出</w:t>
            </w:r>
          </w:p>
        </w:tc>
        <w:tc>
          <w:tcPr>
            <w:tcW w:w="19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项目支出</w:t>
            </w:r>
          </w:p>
        </w:tc>
      </w:tr>
      <w:tr>
        <w:tblPrEx>
          <w:tblCellMar>
            <w:top w:w="0" w:type="dxa"/>
            <w:left w:w="0" w:type="dxa"/>
            <w:bottom w:w="0" w:type="dxa"/>
            <w:right w:w="0" w:type="dxa"/>
          </w:tblCellMar>
        </w:tblPrEx>
        <w:trPr>
          <w:trHeight w:val="334"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栏次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3</w:t>
            </w: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4816.46</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270.41</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4546.05</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387.73</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232.98</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154.75</w:t>
            </w:r>
          </w:p>
        </w:tc>
      </w:tr>
      <w:tr>
        <w:tblPrEx>
          <w:tblCellMar>
            <w:top w:w="0" w:type="dxa"/>
            <w:left w:w="0" w:type="dxa"/>
            <w:bottom w:w="0" w:type="dxa"/>
            <w:right w:w="0" w:type="dxa"/>
          </w:tblCellMar>
        </w:tblPrEx>
        <w:trPr>
          <w:trHeight w:val="454" w:hRule="exac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20133</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宣传事务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387.73</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232.98</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154.75</w:t>
            </w:r>
          </w:p>
        </w:tc>
      </w:tr>
      <w:tr>
        <w:tblPrEx>
          <w:tblCellMar>
            <w:top w:w="0" w:type="dxa"/>
            <w:left w:w="0" w:type="dxa"/>
            <w:bottom w:w="0" w:type="dxa"/>
            <w:right w:w="0" w:type="dxa"/>
          </w:tblCellMar>
        </w:tblPrEx>
        <w:trPr>
          <w:trHeight w:val="454" w:hRule="exac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2013301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cs="宋体"/>
                <w:color w:val="000000"/>
                <w:szCs w:val="21"/>
              </w:rPr>
            </w:pPr>
            <w:r>
              <w:rPr>
                <w:rFonts w:hint="eastAsia" w:ascii="宋体" w:hAnsi="宋体" w:eastAsia="宋体" w:cs="宋体"/>
                <w:i w:val="0"/>
                <w:color w:val="000000"/>
                <w:kern w:val="0"/>
                <w:sz w:val="22"/>
                <w:szCs w:val="22"/>
                <w:u w:val="none"/>
                <w:lang w:val="en-US" w:eastAsia="zh-CN" w:bidi="ar"/>
              </w:rPr>
              <w:t xml:space="preserve">  行政运行</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219.90</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219.90</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eastAsia"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2013302</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一般行政管理事务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97.83</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8.08</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89.75</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2013350</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事业运行</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5.00</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5.00</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2013399</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其他宣传事务支出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65.00</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65.00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文化体育与传媒支出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751.24</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751.24</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20701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文化</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135.00</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135.00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2070199</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其他文化支出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135.00</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135.00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20799</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其他文化体育与传媒支出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616.24</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616.24</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2079902</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宣传文化发展专项支出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100.00</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100.00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2079903</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文化产业发展专项支出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510.14</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510.14</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2079999</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其他文化体育与传媒支出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6.10</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6.10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16.26</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16.26</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20805</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行政事业单位离退休</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16.26</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16.26</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2080505</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机关事业单位基本养老保险缴费支出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16.26</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16.26</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医疗卫生与计划生育支出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11.41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11.41</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21011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行政事业单位医疗</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11.41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11.41</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2101101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行政单位医疗</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11.41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11.41</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216</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商业服务业等支出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3640.06</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3640.06</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21605</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旅游业管理与服务支出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3640.06</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3640.06</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2160504</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旅游宣传</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3640.06</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3640.06</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住房保障支出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9.76</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9.76</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22102</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住房改革支出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9.76</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9.76</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2210201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住房公积金</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9.76</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9.76</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886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lang w:bidi="ar"/>
              </w:rPr>
              <w:t xml:space="preserve">注：本表反映部门本年度一般公共预算财政拨款收入及支出情况。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公开06表</w:t>
            </w:r>
          </w:p>
        </w:tc>
      </w:tr>
      <w:tr>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部门：中共石家庄市鹿泉区委宣传部</w:t>
            </w:r>
            <w:r>
              <w:rPr>
                <w:sz w:val="44"/>
              </w:rPr>
              <mc:AlternateContent>
                <mc:Choice Requires="wpg">
                  <w:drawing>
                    <wp:anchor distT="0" distB="0" distL="114300" distR="114300" simplePos="0" relativeHeight="251679744" behindDoc="0" locked="1" layoutInCell="1" allowOverlap="1">
                      <wp:simplePos x="0" y="0"/>
                      <wp:positionH relativeFrom="column">
                        <wp:posOffset>-930275</wp:posOffset>
                      </wp:positionH>
                      <wp:positionV relativeFrom="page">
                        <wp:posOffset>-1643380</wp:posOffset>
                      </wp:positionV>
                      <wp:extent cx="3088640" cy="523240"/>
                      <wp:effectExtent l="3175" t="0" r="13335" b="29210"/>
                      <wp:wrapNone/>
                      <wp:docPr id="49" name="组合 49"/>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50"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73.25pt;margin-top:-129.4pt;height:41.2pt;width:243.2pt;mso-position-vertical-relative:page;z-index:251679744;mso-width-relative:page;mso-height-relative:page;" coordorigin="4551,52615" coordsize="8546,1398" o:gfxdata="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sDI+9N0AAAAOAQAADwAAAAAAAAABACAA&#10;AAAiAAAAZHJzL2Rvd25yZXYueG1sUEsBAhQAFAAAAAgAh07iQORqdSQlAwAA7ggAAA4AAAAAAAAA&#10;AQAgAAAALAEAAGRycy9lMm9Eb2MueG1sUEsFBgAAAAAGAAYAWQEAAMM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eyYN67oAAADb&#10;AAAADwAAAGRycy9kb3ducmV2LnhtbEVPu27CMBTdK/EP1kXqVuxUCqCAYUCgok4UkFgv8SUJia8j&#10;2zz69/WA1PHovOfLp+3EnXxoHGvIRgoEcelMw5WG42HzMQURIrLBzjFp+KUAy8XgbY6FcQ/+ofs+&#10;ViKFcChQQx1jX0gZyposhpHriRN3cd5iTNBX0nh8pHDbyU+lxtJiw6mhxp5WNZXt/mY1tMfJrlGr&#10;r+vpux3nfp2dJ7k/a/0+zNQMRKRn/Be/3FujIU/r05f0A+Ti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7Jg3rugAAANsA&#10;AAAPAAAAAAAAAAEAIAAAACIAAABkcnMvZG93bnJldi54bWxQSwECFAAUAAAACACHTuJAMy8FnjsA&#10;AAA5AAAAEAAAAAAAAAABACAAAAAJAQAAZHJzL3NoYXBleG1sLnhtbFBLBQYAAAAABgAGAFsBAACz&#10;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ncPsRrsAAADb&#10;AAAADwAAAGRycy9kb3ducmV2LnhtbEWPS4sCMRCE7wv+h9CCtzUZQXcYjYKCyx59e20m7czgpDMk&#10;8fXvzcLCHouq+oqaLZ62FXfyoXGsIRsqEMSlMw1XGg779WcOIkRkg61j0vCiAIt572OGhXEP3tJ9&#10;FyuRIBwK1FDH2BVShrImi2HoOuLkXZy3GJP0lTQeHwluWzlSaiItNpwWauxoVVN53d2shslmuXLl&#10;Pv8++XOjNu62fuVfR60H/UxNQUR6xv/wX/vHaBhn8Psl/QA5f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ncPsRr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p>
        </w:tc>
        <w:tc>
          <w:tcPr>
            <w:tcW w:w="7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金额单位：万元</w:t>
            </w:r>
          </w:p>
        </w:tc>
      </w:tr>
      <w:tr>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人员经费</w:t>
            </w:r>
          </w:p>
        </w:tc>
        <w:tc>
          <w:tcPr>
            <w:tcW w:w="6185"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科目编码</w:t>
            </w:r>
          </w:p>
        </w:tc>
        <w:tc>
          <w:tcPr>
            <w:tcW w:w="15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8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决算数</w:t>
            </w:r>
          </w:p>
        </w:tc>
        <w:tc>
          <w:tcPr>
            <w:tcW w:w="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科目编码</w:t>
            </w:r>
          </w:p>
        </w:tc>
        <w:tc>
          <w:tcPr>
            <w:tcW w:w="17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7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决算数</w:t>
            </w:r>
          </w:p>
        </w:tc>
        <w:tc>
          <w:tcPr>
            <w:tcW w:w="5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科目编码</w:t>
            </w:r>
          </w:p>
        </w:tc>
        <w:tc>
          <w:tcPr>
            <w:tcW w:w="17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8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工资福利支出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249.25</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商品和服务支出</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17.21</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债务利息及费用支出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基本工资</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hint="eastAsia" w:ascii="宋体" w:hAnsi="宋体" w:eastAsia="宋体" w:cs="宋体"/>
                <w:color w:val="000000"/>
                <w:sz w:val="16"/>
                <w:szCs w:val="16"/>
                <w:lang w:val="en-US" w:eastAsia="zh-CN"/>
              </w:rPr>
            </w:pPr>
            <w:r>
              <w:rPr>
                <w:rFonts w:hint="eastAsia" w:ascii="宋体" w:hAnsi="宋体" w:cs="宋体"/>
                <w:color w:val="000000"/>
                <w:sz w:val="16"/>
                <w:szCs w:val="16"/>
              </w:rPr>
              <w:t>44.3</w:t>
            </w:r>
            <w:r>
              <w:rPr>
                <w:rFonts w:hint="eastAsia" w:ascii="宋体" w:hAnsi="宋体" w:cs="宋体"/>
                <w:color w:val="000000"/>
                <w:sz w:val="16"/>
                <w:szCs w:val="16"/>
                <w:lang w:val="en-US" w:eastAsia="zh-CN"/>
              </w:rPr>
              <w:t>0</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办公费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3.14</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30701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国内债务付息</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津贴补贴</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38.81</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印刷费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30702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国外债务付息</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奖金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61.51</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咨询费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资本性支出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伙食补助费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手续费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房屋建筑物购建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绩效工资</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6.57</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水费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办公设备购置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机关事业单位基本养老保险缴费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27.67</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电费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专用设备购置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职业年金缴费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邮电费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1.93</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31005</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基础设施建设</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职工基本医疗保险缴费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取暖费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大型修缮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30111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公务员医疗补助缴费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物业管理费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信息网络及软件购置更新</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30112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其他社会保障缴费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11.46</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差旅费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3.87</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物资储备</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30113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住房公积金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9.76</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因公出国（境）费用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土地补偿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30114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医疗费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维修（护）费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安置补助</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其他工资福利支出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49.17</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租赁费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31011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地上附着物和青苗补偿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对个人和家庭的补助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3.96</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会议费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31012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拆迁补偿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离休费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培训费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31013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公务用车购置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退休费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3.96</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公务接待费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31019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其他交通工具购置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退职（役）费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专用材料费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31021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文物和陈列品购置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抚恤金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被装购置费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31022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无形资产购置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30305</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生活补助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专用燃料费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其他资本性支出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救济费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劳务费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其他支出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医疗费补助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委托业务费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39906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赠与</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助学金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工会经费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39907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国家赔偿费用支出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奖励金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福利费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0.18</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39908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对民间非营利组织和群众性自治组织补贴</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个人农业生产补贴</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30231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公务用车运行维护费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2.31</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39999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其他对个人和家庭的补助支出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30239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其他交通费用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5.77</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30240</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税金及附加费用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30299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其他商品和服务支出</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人员经费合计</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253.21</w:t>
            </w:r>
          </w:p>
        </w:tc>
        <w:tc>
          <w:tcPr>
            <w:tcW w:w="5328"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公用经费合计</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17.21</w:t>
            </w:r>
          </w:p>
        </w:tc>
      </w:tr>
      <w:tr>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 xml:space="preserve">注：本表反映部门本年度一般公共预算财政拨款基本支出明细情况。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一般公共预算财政拨款“</w:t>
            </w:r>
            <w:r>
              <w:rPr>
                <w:sz w:val="44"/>
              </w:rPr>
              <mc:AlternateContent>
                <mc:Choice Requires="wpg">
                  <w:drawing>
                    <wp:anchor distT="0" distB="0" distL="114300" distR="114300" simplePos="0" relativeHeight="251680768" behindDoc="0" locked="1" layoutInCell="1" allowOverlap="1">
                      <wp:simplePos x="0" y="0"/>
                      <wp:positionH relativeFrom="column">
                        <wp:posOffset>-1050925</wp:posOffset>
                      </wp:positionH>
                      <wp:positionV relativeFrom="page">
                        <wp:posOffset>-1029970</wp:posOffset>
                      </wp:positionV>
                      <wp:extent cx="3088640" cy="523240"/>
                      <wp:effectExtent l="3175" t="0" r="13335" b="29210"/>
                      <wp:wrapNone/>
                      <wp:docPr id="52" name="组合 52"/>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53"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4"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2.75pt;margin-top:-81.1pt;height:41.2pt;width:243.2pt;mso-position-vertical-relative:page;z-index:251680768;mso-width-relative:page;mso-height-relative:page;" coordorigin="4551,52615" coordsize="8546,1398" o:gfxdata="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Bwnm4jcAAAADQEAAA8AAAAAAAAAAQAgAAAA&#10;IgAAAGRycy9kb3ducmV2LnhtbFBLAQIUABQAAAAIAIdO4kBoNz3RJAMAAO4IAAAOAAAAAAAAAAEA&#10;IAAAACsBAABkcnMvZTJvRG9jLnhtbFBLBQYAAAAABgAGAFkBAADB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i/STnL4AAADb&#10;AAAADwAAAGRycy9kb3ducmV2LnhtbEWPT2sCMRTE74LfIbyCN022sipbowexWHpqVfD63Lzubnfz&#10;siTxT799Uyh4HGbmN8xyfbeduJIPjWMN2USBIC6dabjScDy8jhcgQkQ22DkmDT8UYL0aDpZYGHfj&#10;T7ruYyUShEOBGuoY+0LKUNZkMUxcT5y8L+ctxiR9JY3HW4LbTj4rNZMWG04LNfa0qals9xeroT3O&#10;Pxq12X2f3ttZ7rfZeZ77s9ajp0y9gIh0j4/wf/vNaMin8Pcl/QC5+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STnL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jbRP3rsAAADb&#10;AAAADwAAAGRycy9kb3ducmV2LnhtbEWPS4sCMRCE78L+h9ALe9PExdVhNAorKHv07bWZtDODk86Q&#10;xNe/3wiCx6KqvqIms7ttxJV8qB1r6PcUCOLCmZpLDbvtopuBCBHZYOOYNDwowGz60ZlgbtyN13Td&#10;xFIkCIccNVQxtrmUoajIYui5ljh5J+ctxiR9KY3HW4LbRn4rNZQWa04LFbY0r6g4by5Ww3D1O3fF&#10;Nlse/LFWK3dZPLLRXuuvz74ag4h0j+/wq/1nNPwM4Pkl/QA5/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jbRP3r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部门：中共石家庄市鹿泉区委宣传部</w:t>
            </w: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2.70</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2.70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2.70</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8</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9</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2.31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2.31</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2.31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lang w:bidi="ar"/>
              </w:rPr>
              <w:t xml:space="preserve">注：本表反映部门本年度“三公”经费支出预决算情况。其中：预算数为“三公”经费年初预算数，决算数是包括当年一般公共预算财政拨款和以前年度结转资金安排的实际支出。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296"/>
        <w:gridCol w:w="191"/>
        <w:gridCol w:w="479"/>
        <w:gridCol w:w="669"/>
        <w:gridCol w:w="376"/>
        <w:gridCol w:w="1421"/>
        <w:gridCol w:w="585"/>
        <w:gridCol w:w="1191"/>
        <w:gridCol w:w="1192"/>
        <w:gridCol w:w="1192"/>
        <w:gridCol w:w="1268"/>
      </w:tblGrid>
      <w:tr>
        <w:tblPrEx>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lang w:bidi="ar"/>
              </w:rPr>
              <w:t>政府性基金预算财政拨款</w:t>
            </w:r>
            <w:r>
              <w:rPr>
                <w:sz w:val="44"/>
              </w:rPr>
              <mc:AlternateContent>
                <mc:Choice Requires="wpg">
                  <w:drawing>
                    <wp:anchor distT="0" distB="0" distL="114300" distR="114300" simplePos="0" relativeHeight="251681792"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55" name="组合 55"/>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56"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7"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81792;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ByaUsrcAAAADQEAAA8AAAAAAAAAAQAg&#10;AAAAIgAAAGRycy9kb3ducmV2LnhtbFBLAQIUABQAAAAIAIdO4kDg5H2kJwMAAO4IAAAOAAAAAAAA&#10;AAEAIAAAACsBAABkcnMvZTJvRG9jLnhtbFBLBQYAAAAABgAGAFkBAADE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m4MwBL4AAADb&#10;AAAADwAAAGRycy9kb3ducmV2LnhtbEWPT2sCMRTE70K/Q3hCb5psYdeyNXqQlhZPVoVen5vX3XU3&#10;L0uS+ufbm4LgcZiZ3zDz5cX24kQ+tI41ZFMFgrhypuVaw373MXkFESKywd4xabhSgOXiaTTH0rgz&#10;f9NpG2uRIBxK1NDEOJRShqohi2HqBuLk/TpvMSbpa2k8nhPc9vJFqUJabDktNDjQqqGq2/5ZDd1+&#10;tmnV6vP4s+6K3L9nh1nuD1o/jzP1BiLSJT7C9/aX0ZAX8P8l/QC5u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4MwBL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fWbRqbwAAADb&#10;AAAADwAAAGRycy9kb3ducmV2LnhtbEWPQWvCQBSE7wX/w/KE3uquQmNIXQUFpcdUW70+sq9JMPs2&#10;7K6J/vtuodDjMDPfMKvN3XZiIB9axxrmMwWCuHKm5VrD52n/koMIEdlg55g0PCjAZj15WmFh3Mgf&#10;NBxjLRKEQ4Eamhj7QspQNWQxzFxPnLxv5y3GJH0tjccxwW0nF0pl0mLLaaHBnnYNVdfjzWrIyu3O&#10;Vaf8cPaXVpXutn/kyy+tn6dz9QYi0j3+h//a70bD6xJ+v6QfIN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1m0am8AAAA&#10;2wAAAA8AAAAAAAAAAQAgAAAAIgAAAGRycy9kb3ducmV2LnhtbFBLAQIUABQAAAAIAIdO4kAzLwWe&#10;OwAAADkAAAAQAAAAAAAAAAEAIAAAAAsBAABkcnMvc2hhcGV4bWwueG1sUEsFBgAAAAAGAAYAWwEA&#10;ALUD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36"/>
                <w:szCs w:val="36"/>
                <w:lang w:bidi="ar"/>
              </w:rPr>
              <w:t>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797"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585"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lang w:bidi="ar"/>
              </w:rPr>
              <w:t>公开08表</w:t>
            </w:r>
          </w:p>
        </w:tc>
      </w:tr>
      <w:tr>
        <w:tblPrEx>
          <w:tblCellMar>
            <w:top w:w="0" w:type="dxa"/>
            <w:left w:w="0" w:type="dxa"/>
            <w:bottom w:w="0" w:type="dxa"/>
            <w:right w:w="0" w:type="dxa"/>
          </w:tblCellMar>
        </w:tblPrEx>
        <w:trPr>
          <w:trHeight w:val="411" w:hRule="atLeast"/>
        </w:trPr>
        <w:tc>
          <w:tcPr>
            <w:tcW w:w="3432"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lang w:bidi="ar"/>
              </w:rPr>
              <w:t>部门：中共石家庄市鹿泉区委宣传部</w:t>
            </w:r>
          </w:p>
        </w:tc>
        <w:tc>
          <w:tcPr>
            <w:tcW w:w="585"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lang w:bidi="ar"/>
              </w:rPr>
              <w:t>金额单位：万元</w:t>
            </w:r>
          </w:p>
        </w:tc>
      </w:tr>
      <w:tr>
        <w:tblPrEx>
          <w:tblCellMar>
            <w:top w:w="0" w:type="dxa"/>
            <w:left w:w="0" w:type="dxa"/>
            <w:bottom w:w="0" w:type="dxa"/>
            <w:right w:w="0" w:type="dxa"/>
          </w:tblCellMar>
        </w:tblPrEx>
        <w:trPr>
          <w:trHeight w:val="324" w:hRule="atLeast"/>
        </w:trPr>
        <w:tc>
          <w:tcPr>
            <w:tcW w:w="2011"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项目</w:t>
            </w:r>
          </w:p>
        </w:tc>
        <w:tc>
          <w:tcPr>
            <w:tcW w:w="142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年初结转和结余</w:t>
            </w:r>
          </w:p>
        </w:tc>
        <w:tc>
          <w:tcPr>
            <w:tcW w:w="58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本年收入</w:t>
            </w:r>
          </w:p>
        </w:tc>
        <w:tc>
          <w:tcPr>
            <w:tcW w:w="357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本年支出</w:t>
            </w:r>
          </w:p>
        </w:tc>
        <w:tc>
          <w:tcPr>
            <w:tcW w:w="126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年末结转和结余</w:t>
            </w:r>
          </w:p>
        </w:tc>
      </w:tr>
      <w:tr>
        <w:tblPrEx>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功能分类科目编码</w:t>
            </w:r>
          </w:p>
        </w:tc>
        <w:tc>
          <w:tcPr>
            <w:tcW w:w="1045"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142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58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小计</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基本支出</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项目支出</w:t>
            </w: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42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58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42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58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栏次</w:t>
            </w:r>
          </w:p>
        </w:tc>
        <w:tc>
          <w:tcPr>
            <w:tcW w:w="14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6</w:t>
            </w: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4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4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4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4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4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4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4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4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4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4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4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5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lang w:bidi="ar"/>
              </w:rPr>
              <w:t xml:space="preserve">注：本部门本年度无相关收入（或支出、收支及结转结余等）情况，按要求空表列示。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968"/>
        <w:gridCol w:w="930"/>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国有资本经营预算财政拨</w:t>
            </w:r>
            <w:r>
              <w:rPr>
                <w:sz w:val="44"/>
              </w:rPr>
              <mc:AlternateContent>
                <mc:Choice Requires="wpg">
                  <w:drawing>
                    <wp:anchor distT="0" distB="0" distL="114300" distR="114300" simplePos="0" relativeHeight="251682816"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58" name="组合 58"/>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59"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60"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82816;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HJpSytwAAAANAQAADwAAAAAAAAAB&#10;ACAAAAAiAAAAZHJzL2Rvd25yZXYueG1sUEsBAhQAFAAAAAgAh07iQLi3ANIpAwAA7ggAAA4AAAAA&#10;AAAAAQAgAAAAKwEAAGRycy9lMm9Eb2MueG1sUEsFBgAAAAAGAAYAWQEAAMY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6hykdr0AAADb&#10;AAAADwAAAGRycy9kb3ducmV2LnhtbEWPQWsCMRSE74X+h/AK3mqywmpdjR7EYvFUrdDrc/PcXXfz&#10;siSp2n9vCkKPw8x8w8yXN9uJC/nQONaQDRUI4tKZhisNh6/31zcQISIb7ByThl8KsFw8P82xMO7K&#10;O7rsYyUShEOBGuoY+0LKUNZkMQxdT5y8k/MWY5K+ksbjNcFtJ0dKjaXFhtNCjT2tairb/Y/V0B4m&#10;n41abc7f23ac+3V2nOT+qPXgJVMzEJFu8T/8aH8YDfkU/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qHKR2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POODYLgAAADb&#10;AAAADwAAAGRycy9kb3ducmV2LnhtbEVPS2sCMRC+F/ofwhS81cQedFmNgoLFo9XaXofNuLu4mSxJ&#10;1se/7xyEHj++92J19526UkxtYAuTsQFFXAXXcm3h+7h9L0CljOywC0wWHpRgtXx9WWDpwo2/6HrI&#10;tZIQTiVaaHLuS61T1ZDHNA49sXDnED1mgbHWLuJNwn2nP4yZao8tS0ODPW0aqi6HwVuY7tebUB2L&#10;z5/425p9GLaPYnaydvQ2MXNQme75X/x075z4ZL18kR+gl3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POODYLgAAADbAAAA&#10;DwAAAAAAAAABACAAAAAiAAAAZHJzL2Rvd25yZXYueG1sUEsBAhQAFAAAAAgAh07iQDMvBZ47AAAA&#10;OQAAABAAAAAAAAAAAQAgAAAABwEAAGRycy9zaGFwZXhtbC54bWxQSwUGAAAAAAYABgBbAQAAsQMA&#10;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5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289"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公开09表</w:t>
            </w:r>
          </w:p>
        </w:tc>
      </w:tr>
      <w:tr>
        <w:tblPrEx>
          <w:tblCellMar>
            <w:top w:w="0" w:type="dxa"/>
            <w:left w:w="0" w:type="dxa"/>
            <w:bottom w:w="0" w:type="dxa"/>
            <w:right w:w="0" w:type="dxa"/>
          </w:tblCellMar>
        </w:tblPrEx>
        <w:trPr>
          <w:trHeight w:val="335" w:hRule="atLeast"/>
        </w:trPr>
        <w:tc>
          <w:tcPr>
            <w:tcW w:w="4073" w:type="dxa"/>
            <w:gridSpan w:val="7"/>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编制单位：中共石家庄市鹿泉区委宣传部</w:t>
            </w:r>
          </w:p>
        </w:tc>
        <w:tc>
          <w:tcPr>
            <w:tcW w:w="1289"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科目</w:t>
            </w:r>
          </w:p>
        </w:tc>
        <w:tc>
          <w:tcPr>
            <w:tcW w:w="5695"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功能分类科目编码</w:t>
            </w: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科目名称</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小计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基本支出</w:t>
            </w: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栏次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w:t>
            </w: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合计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注：本部门本年度无相关收入（或支出、收支及结转结余等）情况，按要求空表列示。</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政府采购</w:t>
            </w:r>
            <w:r>
              <w:rPr>
                <w:sz w:val="44"/>
              </w:rPr>
              <mc:AlternateContent>
                <mc:Choice Requires="wpg">
                  <w:drawing>
                    <wp:anchor distT="0" distB="0" distL="114300" distR="114300" simplePos="0" relativeHeight="251683840"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61" name="组合 61"/>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62"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63"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83840;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ByaUsrcAAAADQEAAA8AAAAAAAAAAQAgAAAAIgAA&#10;AGRycy9kb3ducmV2LnhtbFBLAQIUABQAAAAIAIdO4kCmJVCBIQMAAO4IAAAOAAAAAAAAAAEAIAAA&#10;ACsBAABkcnMvZTJvRG9jLnhtbFBLBQYAAAAABgAGAFkBAAC+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KtT8ur0AAADb&#10;AAAADwAAAGRycy9kb3ducmV2LnhtbEWPT2sCMRTE7wW/Q3iCt5qs4CpbowdRKj3VP9Drc/O6u93N&#10;y5Kkar99Iwgeh5n5DbNY3WwnLuRD41hDNlYgiEtnGq40nI7b1zmIEJENdo5Jwx8FWC0HLwssjLvy&#10;ni6HWIkE4VCghjrGvpAylDVZDGPXEyfv23mLMUlfSePxmuC2kxOlcmmx4bRQY0/rmsr28Gs1tKfZ&#10;Z6PW7z9fH20+9ZvsPJv6s9ajYabeQES6xWf40d4ZDfkE7l/SD5DL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q1Py6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zDEdF7sAAADb&#10;AAAADwAAAGRycy9kb3ducmV2LnhtbEWPS4sCMRCE78L+h9AL3pzEFXSYNQorKB597e61mbQzg5PO&#10;kMTXvzeC4LGo+qqo6fxmW3EhHxrHGoaZAkFcOtNwpeGwXw5yECEiG2wdk4Y7BZjPPnpTLIy78pYu&#10;u1iJVMKhQA11jF0hZShrshgy1xEn7+i8xZikr6TxeE3ltpVfSo2lxYbTQo0dLWoqT7uz1TDe/Cxc&#10;uc9Xf/6/URt3Xt7zya/W/c+h+gYR6Rbf4Re9NokbwfNL+gFy9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DEdF7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lang w:bidi="ar"/>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lang w:bidi="ar"/>
              </w:rPr>
              <w:t>编制单位：中共石家庄市鹿泉区委宣传部</w:t>
            </w:r>
          </w:p>
        </w:tc>
        <w:tc>
          <w:tcPr>
            <w:tcW w:w="2500" w:type="dxa"/>
            <w:gridSpan w:val="3"/>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lang w:bidi="ar"/>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项目</w:t>
            </w:r>
          </w:p>
        </w:tc>
        <w:tc>
          <w:tcPr>
            <w:tcW w:w="7039" w:type="dxa"/>
            <w:gridSpan w:val="9"/>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总计</w:t>
            </w:r>
          </w:p>
        </w:tc>
        <w:tc>
          <w:tcPr>
            <w:tcW w:w="4610" w:type="dxa"/>
            <w:gridSpan w:val="7"/>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采购预算（财政性资金）</w:t>
            </w:r>
          </w:p>
        </w:tc>
        <w:tc>
          <w:tcPr>
            <w:tcW w:w="122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其他资金</w:t>
            </w:r>
          </w:p>
        </w:tc>
        <w:tc>
          <w:tcPr>
            <w:tcW w:w="12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栏次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6</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       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rPr>
              <w:t>850</w:t>
            </w:r>
            <w:r>
              <w:rPr>
                <w:rFonts w:hint="eastAsia" w:ascii="宋体" w:hAnsi="宋体" w:cs="宋体"/>
                <w:color w:val="000000"/>
                <w:szCs w:val="21"/>
                <w:lang w:val="en-US" w:eastAsia="zh-CN"/>
              </w:rPr>
              <w:t>.00</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rPr>
              <w:t>850</w:t>
            </w:r>
            <w:r>
              <w:rPr>
                <w:rFonts w:hint="eastAsia" w:ascii="宋体" w:hAnsi="宋体" w:cs="宋体"/>
                <w:color w:val="000000"/>
                <w:szCs w:val="21"/>
                <w:lang w:val="en-US" w:eastAsia="zh-CN"/>
              </w:rPr>
              <w:t>.00</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rPr>
              <w:t>850</w:t>
            </w:r>
            <w:r>
              <w:rPr>
                <w:rFonts w:hint="eastAsia" w:ascii="宋体" w:hAnsi="宋体" w:cs="宋体"/>
                <w:color w:val="000000"/>
                <w:szCs w:val="21"/>
                <w:lang w:val="en-US" w:eastAsia="zh-CN"/>
              </w:rPr>
              <w:t>.00</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货物</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150.00</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150.00</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150.00</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工程</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服务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700.00</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700.00</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700.00</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项目</w:t>
            </w:r>
          </w:p>
        </w:tc>
        <w:tc>
          <w:tcPr>
            <w:tcW w:w="7039" w:type="dxa"/>
            <w:gridSpan w:val="9"/>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总计</w:t>
            </w:r>
          </w:p>
        </w:tc>
        <w:tc>
          <w:tcPr>
            <w:tcW w:w="4610" w:type="dxa"/>
            <w:gridSpan w:val="7"/>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采购预算（财政性资金）</w:t>
            </w:r>
          </w:p>
        </w:tc>
        <w:tc>
          <w:tcPr>
            <w:tcW w:w="122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其他资金</w:t>
            </w:r>
          </w:p>
        </w:tc>
        <w:tc>
          <w:tcPr>
            <w:tcW w:w="12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栏次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       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rPr>
              <w:t>776</w:t>
            </w:r>
            <w:r>
              <w:rPr>
                <w:rFonts w:hint="eastAsia" w:ascii="宋体" w:hAnsi="宋体" w:cs="宋体"/>
                <w:color w:val="000000"/>
                <w:szCs w:val="21"/>
                <w:lang w:val="en-US" w:eastAsia="zh-CN"/>
              </w:rPr>
              <w:t>.00</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rPr>
              <w:t>776</w:t>
            </w:r>
            <w:r>
              <w:rPr>
                <w:rFonts w:hint="eastAsia" w:ascii="宋体" w:hAnsi="宋体" w:cs="宋体"/>
                <w:color w:val="000000"/>
                <w:szCs w:val="21"/>
                <w:lang w:val="en-US" w:eastAsia="zh-CN"/>
              </w:rPr>
              <w:t>.00</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rPr>
              <w:t>776</w:t>
            </w:r>
            <w:r>
              <w:rPr>
                <w:rFonts w:hint="eastAsia" w:ascii="宋体" w:hAnsi="宋体" w:cs="宋体"/>
                <w:color w:val="000000"/>
                <w:szCs w:val="21"/>
                <w:lang w:val="en-US" w:eastAsia="zh-CN"/>
              </w:rPr>
              <w:t>.00</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货物</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142.00</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lang w:val="en-US" w:eastAsia="zh-CN"/>
              </w:rPr>
              <w:t>142.00</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lang w:val="en-US" w:eastAsia="zh-CN"/>
              </w:rPr>
              <w:t>142.00</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工程</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服务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634.00</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lang w:val="en-US" w:eastAsia="zh-CN"/>
              </w:rPr>
              <w:t>634.00</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lang w:val="en-US" w:eastAsia="zh-CN"/>
              </w:rPr>
              <w:t>634.00</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lang w:bidi="ar"/>
              </w:rPr>
              <w:t xml:space="preserve">注：本表反映部门本年度纳入部门预算范围的政府采购预算及支出情况。     </w:t>
            </w:r>
          </w:p>
        </w:tc>
      </w:tr>
    </w:tbl>
    <w:p>
      <w:pPr>
        <w:widowControl/>
        <w:spacing w:after="0" w:line="560" w:lineRule="exact"/>
        <w:jc w:val="left"/>
        <w:rPr>
          <w:rFonts w:ascii="仿宋_GB2312" w:eastAsia="仿宋_GB2312" w:hAnsiTheme="majorEastAsia"/>
          <w:b/>
          <w:sz w:val="28"/>
          <w:szCs w:val="28"/>
          <w:highlight w:val="yellow"/>
        </w:rPr>
      </w:pPr>
    </w:p>
    <w:p/>
    <w:p/>
    <w:p/>
    <w:p/>
    <w:p>
      <w:pPr>
        <w:tabs>
          <w:tab w:val="left" w:pos="1086"/>
        </w:tabs>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rPr>
        <w:tab/>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6432"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5"/>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65408"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5" name="文本框 5"/>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第三部分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65408;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NlmnozeAAAADQEAAA8AAAAAAAAAAQAgAAAAIgAAAGRycy9kb3ducmV2LnhtbFBLAQIUABQAAAAI&#10;AIdO4kDG978hIAIAABkEAAAOAAAAAAAAAAEAIAAAAC0BAABkcnMvZTJvRG9jLnhtbFBLBQYAAAAA&#10;BgAGAFkBAAC/BQ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第三部分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部门决算情况说明</w:t>
                      </w:r>
                    </w:p>
                  </w:txbxContent>
                </v:textbox>
              </v:shape>
            </w:pict>
          </mc:Fallback>
        </mc:AlternateConten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w:t>
      </w:r>
      <w:r>
        <w:rPr>
          <w:sz w:val="44"/>
        </w:rPr>
        <mc:AlternateContent>
          <mc:Choice Requires="wpg">
            <w:drawing>
              <wp:anchor distT="0" distB="0" distL="114300" distR="114300" simplePos="0" relativeHeight="251692032"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18" name="组合 18"/>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19"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0"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92032;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FWgPwonAwAA7ggAAA4AAAAAAAAA&#10;AQAgAAAAKgEAAGRycy9lMm9Eb2MueG1sUEsFBgAAAAAGAAYAWQEAAMM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fHYdtrsAAADb&#10;AAAADwAAAGRycy9kb3ducmV2LnhtbEVPS2sCMRC+F/wPYQRvNVnB12r0IBalp9YKXsfNuLvuZrIk&#10;qY9/3xQKvc3H95zl+mFbcSMfascasqECQVw4U3Op4fj19joDESKywdYxaXhSgPWq97LE3Lg7f9Lt&#10;EEuRQjjkqKGKsculDEVFFsPQdcSJuzhvMSboS2k83lO4beVIqYm0WHNqqLCjTUVFc/i2Gprj9KNW&#10;m9319N5Mxn6bnadjf9Z60M/UAkSkR/wX/7n3Js2fw+8v6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HYdtrsAAADb&#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qok6oLkAAADb&#10;AAAADwAAAGRycy9kb3ducmV2LnhtbEVPz2vCMBS+D/wfwhN2m4keXKlGQUHZ0bVuXh/Nsy02LyWJ&#10;tv73y2Hg8eP7vd6OthMP8qF1rGE+UyCIK2darjWcy8NHBiJEZIOdY9LwpADbzeRtjblxA3/To4i1&#10;SCEcctTQxNjnUoaqIYth5nrixF2dtxgT9LU0HocUbju5UGopLbacGhrsad9QdSvuVsPytNu7qsyO&#10;v/7SqpO7H57Z54/W79O5WoGINMaX+N/9ZTQs0vr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qJOqC5AAAA2w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r>
        <w:rPr>
          <w:rFonts w:hint="eastAsia" w:ascii="黑体" w:eastAsia="黑体" w:cs="黑体" w:hAnsiTheme="minorHAnsi"/>
          <w:b w:val="0"/>
          <w:bCs w:val="0"/>
          <w:kern w:val="0"/>
        </w:rPr>
        <w:t>出</w:t>
      </w:r>
      <w:r>
        <w:rPr>
          <w:rFonts w:hint="eastAsia" w:ascii="黑体" w:eastAsia="黑体"/>
          <w:b w:val="0"/>
          <w:bCs w:val="0"/>
        </w:rPr>
        <w:t>决算总体情况说明</w:t>
      </w:r>
    </w:p>
    <w:p>
      <w:pPr>
        <w:pStyle w:val="3"/>
        <w:spacing w:before="0" w:after="0" w:line="580" w:lineRule="exact"/>
        <w:ind w:firstLine="640" w:firstLineChars="200"/>
        <w:rPr>
          <w:rFonts w:hint="eastAsia" w:ascii="仿宋_GB2312" w:eastAsia="仿宋_GB2312" w:cs="DengXian-Regular"/>
          <w:b w:val="0"/>
          <w:bCs w:val="0"/>
          <w:sz w:val="32"/>
          <w:szCs w:val="32"/>
          <w:lang w:eastAsia="zh-CN"/>
        </w:rPr>
      </w:pPr>
      <w:r>
        <w:rPr>
          <w:rFonts w:hint="eastAsia" w:ascii="仿宋_GB2312" w:eastAsia="仿宋_GB2312" w:cs="DengXian-Regular"/>
          <w:b w:val="0"/>
          <w:bCs w:val="0"/>
          <w:sz w:val="32"/>
          <w:szCs w:val="32"/>
        </w:rPr>
        <w:t>本部门2018年度年初结转和结余17.95万元，本年收入6,340.81万元，本年支出6,330.56万元，年末结转和结余28.2万元。与2017年度决算相比，</w:t>
      </w:r>
      <w:r>
        <w:rPr>
          <w:rFonts w:hint="eastAsia" w:ascii="仿宋_GB2312" w:eastAsia="仿宋_GB2312" w:cs="DengXian-Regular"/>
          <w:b w:val="0"/>
          <w:bCs w:val="0"/>
          <w:sz w:val="32"/>
          <w:szCs w:val="32"/>
          <w:lang w:val="en-US" w:eastAsia="zh-CN"/>
        </w:rPr>
        <w:t>收入增加5690.59万元，增长875.18%，主要原因是筹备旅发大会、啤酒节等重大活动项目增加。支出增加5680.23万元，增长873.44%</w:t>
      </w:r>
      <w:r>
        <w:rPr>
          <w:rFonts w:hint="eastAsia" w:ascii="仿宋_GB2312" w:eastAsia="仿宋_GB2312" w:cs="DengXian-Regular"/>
          <w:b w:val="0"/>
          <w:bCs w:val="0"/>
          <w:sz w:val="32"/>
          <w:szCs w:val="32"/>
        </w:rPr>
        <w:t>，主要原因是人员工资增加及项目费用的增加</w:t>
      </w:r>
      <w:r>
        <w:rPr>
          <w:rFonts w:hint="eastAsia" w:ascii="仿宋_GB2312" w:eastAsia="仿宋_GB2312" w:cs="DengXian-Regular"/>
          <w:b w:val="0"/>
          <w:bCs w:val="0"/>
          <w:sz w:val="32"/>
          <w:szCs w:val="32"/>
          <w:lang w:eastAsia="zh-CN"/>
        </w:rPr>
        <w:t>。</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w:t>
      </w:r>
      <w:r>
        <w:rPr>
          <w:rFonts w:hint="eastAsia" w:ascii="仿宋_GB2312" w:eastAsia="仿宋_GB2312" w:cs="DengXian-Regular"/>
          <w:sz w:val="32"/>
          <w:szCs w:val="32"/>
          <w:lang w:val="en-US" w:eastAsia="zh-CN"/>
        </w:rPr>
        <w:t>6340.81</w:t>
      </w:r>
      <w:r>
        <w:rPr>
          <w:rFonts w:hint="eastAsia" w:ascii="仿宋_GB2312" w:eastAsia="仿宋_GB2312" w:cs="DengXian-Regular"/>
          <w:sz w:val="32"/>
          <w:szCs w:val="32"/>
        </w:rPr>
        <w:t>万元，其中：财政拨款收入</w:t>
      </w:r>
      <w:r>
        <w:rPr>
          <w:rFonts w:hint="eastAsia" w:ascii="仿宋_GB2312" w:eastAsia="仿宋_GB2312" w:cs="DengXian-Regular"/>
          <w:sz w:val="32"/>
          <w:szCs w:val="32"/>
          <w:lang w:val="en-US" w:eastAsia="zh-CN"/>
        </w:rPr>
        <w:t>4826.71</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76.12</w:t>
      </w:r>
      <w:r>
        <w:rPr>
          <w:rFonts w:hint="eastAsia" w:ascii="仿宋_GB2312" w:eastAsia="仿宋_GB2312" w:cs="DengXian-Regular"/>
          <w:sz w:val="32"/>
          <w:szCs w:val="32"/>
        </w:rPr>
        <w:t>%；事业收入</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%；经营收入</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%；其他收入</w:t>
      </w:r>
      <w:r>
        <w:rPr>
          <w:rFonts w:hint="eastAsia" w:ascii="仿宋_GB2312" w:eastAsia="仿宋_GB2312" w:cs="DengXian-Regular"/>
          <w:sz w:val="32"/>
          <w:szCs w:val="32"/>
          <w:lang w:val="en-US" w:eastAsia="zh-CN"/>
        </w:rPr>
        <w:t>1514.10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23.88</w:t>
      </w:r>
      <w:r>
        <w:rPr>
          <w:rFonts w:hint="eastAsia" w:ascii="仿宋_GB2312" w:eastAsia="仿宋_GB2312" w:cs="DengXian-Regular"/>
          <w:sz w:val="32"/>
          <w:szCs w:val="32"/>
        </w:rPr>
        <w:t>%。如图所示：</w:t>
      </w:r>
    </w:p>
    <w:p>
      <w:pPr>
        <w:adjustRightInd w:val="0"/>
        <w:snapToGrid w:val="0"/>
        <w:spacing w:after="0" w:line="580" w:lineRule="exact"/>
        <w:ind w:firstLine="1920" w:firstLineChars="600"/>
        <w:rPr>
          <w:rFonts w:hint="eastAsia" w:ascii="仿宋_GB2312" w:eastAsia="仿宋_GB2312" w:cs="DengXian-Regular"/>
          <w:sz w:val="32"/>
          <w:szCs w:val="32"/>
          <w:lang w:eastAsia="zh-CN"/>
        </w:rPr>
      </w:pPr>
      <w:r>
        <w:rPr>
          <w:rFonts w:hint="eastAsia" w:ascii="仿宋_GB2312" w:eastAsia="仿宋_GB2312" w:cs="DengXian-Regular"/>
          <w:sz w:val="32"/>
          <w:szCs w:val="32"/>
          <w:lang w:eastAsia="zh-CN"/>
        </w:rPr>
        <w:drawing>
          <wp:anchor distT="0" distB="0" distL="114300" distR="114300" simplePos="0" relativeHeight="251696128" behindDoc="0" locked="0" layoutInCell="1" allowOverlap="1">
            <wp:simplePos x="0" y="0"/>
            <wp:positionH relativeFrom="column">
              <wp:posOffset>283845</wp:posOffset>
            </wp:positionH>
            <wp:positionV relativeFrom="paragraph">
              <wp:posOffset>97155</wp:posOffset>
            </wp:positionV>
            <wp:extent cx="5155565" cy="2924810"/>
            <wp:effectExtent l="4445" t="4445" r="21590" b="23495"/>
            <wp:wrapNone/>
            <wp:docPr id="27" name="图表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anchor>
        </w:drawing>
      </w: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pStyle w:val="3"/>
        <w:spacing w:before="0" w:after="0" w:line="580" w:lineRule="exact"/>
        <w:ind w:firstLine="643" w:firstLineChars="200"/>
        <w:rPr>
          <w:rFonts w:ascii="黑体" w:eastAsia="黑体"/>
        </w:rPr>
      </w:pPr>
    </w:p>
    <w:p>
      <w:pPr>
        <w:pStyle w:val="3"/>
        <w:spacing w:before="0" w:after="0" w:line="580" w:lineRule="exact"/>
        <w:ind w:firstLine="640" w:firstLineChars="200"/>
        <w:rPr>
          <w:rFonts w:hint="eastAsia"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图1：收入构成情况</w:t>
      </w:r>
    </w:p>
    <w:p>
      <w:pPr>
        <w:pStyle w:val="3"/>
        <w:spacing w:before="0" w:after="0" w:line="580" w:lineRule="exact"/>
        <w:ind w:firstLine="640" w:firstLineChars="200"/>
        <w:rPr>
          <w:rFonts w:hint="eastAsia"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本部门2018年度本年支出合计</w:t>
      </w:r>
      <w:r>
        <w:rPr>
          <w:rFonts w:hint="eastAsia" w:ascii="仿宋_GB2312" w:eastAsia="仿宋_GB2312" w:cs="DengXian-Regular"/>
          <w:sz w:val="32"/>
          <w:szCs w:val="32"/>
          <w:lang w:val="en-US" w:eastAsia="zh-CN"/>
        </w:rPr>
        <w:t>6330.56</w:t>
      </w:r>
      <w:r>
        <w:rPr>
          <w:rFonts w:hint="eastAsia" w:ascii="仿宋_GB2312" w:eastAsia="仿宋_GB2312" w:cs="DengXian-Regular"/>
          <w:sz w:val="32"/>
          <w:szCs w:val="32"/>
        </w:rPr>
        <w:t>万元，其中：基本支出</w:t>
      </w:r>
      <w:r>
        <w:rPr>
          <w:rFonts w:hint="eastAsia" w:ascii="仿宋_GB2312" w:eastAsia="仿宋_GB2312" w:cs="DengXian-Regular"/>
          <w:sz w:val="32"/>
          <w:szCs w:val="32"/>
          <w:lang w:val="en-US" w:eastAsia="zh-CN"/>
        </w:rPr>
        <w:t>271.32</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4.29</w:t>
      </w:r>
      <w:r>
        <w:rPr>
          <w:rFonts w:hint="eastAsia" w:ascii="仿宋_GB2312" w:eastAsia="仿宋_GB2312" w:cs="DengXian-Regular"/>
          <w:sz w:val="32"/>
          <w:szCs w:val="32"/>
        </w:rPr>
        <w:t>%；项目支出</w:t>
      </w:r>
      <w:r>
        <w:rPr>
          <w:rFonts w:hint="eastAsia" w:ascii="仿宋_GB2312" w:eastAsia="仿宋_GB2312" w:cs="DengXian-Regular"/>
          <w:sz w:val="32"/>
          <w:szCs w:val="32"/>
          <w:lang w:val="en-US" w:eastAsia="zh-CN"/>
        </w:rPr>
        <w:t>6059.24</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95.71</w:t>
      </w:r>
      <w:r>
        <w:rPr>
          <w:rFonts w:hint="eastAsia" w:ascii="仿宋_GB2312" w:eastAsia="仿宋_GB2312" w:cs="DengXian-Regular"/>
          <w:sz w:val="32"/>
          <w:szCs w:val="32"/>
        </w:rPr>
        <w:t>%；经营支出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%。如图所示：</w:t>
      </w:r>
    </w:p>
    <w:p>
      <w:pPr>
        <w:adjustRightInd w:val="0"/>
        <w:snapToGrid w:val="0"/>
        <w:spacing w:after="0" w:line="580" w:lineRule="exact"/>
        <w:ind w:firstLine="640" w:firstLineChars="200"/>
        <w:rPr>
          <w:rFonts w:hint="eastAsia" w:ascii="仿宋_GB2312" w:eastAsia="仿宋_GB2312" w:cs="DengXian-Regular"/>
          <w:sz w:val="32"/>
          <w:szCs w:val="32"/>
          <w:lang w:eastAsia="zh-CN"/>
        </w:rPr>
      </w:pPr>
      <w:r>
        <w:rPr>
          <w:rFonts w:hint="eastAsia" w:ascii="仿宋_GB2312" w:eastAsia="仿宋_GB2312" w:cs="DengXian-Regular"/>
          <w:sz w:val="32"/>
          <w:szCs w:val="32"/>
          <w:lang w:eastAsia="zh-CN"/>
        </w:rPr>
        <w:drawing>
          <wp:anchor distT="0" distB="0" distL="114300" distR="114300" simplePos="0" relativeHeight="251694080" behindDoc="0" locked="0" layoutInCell="1" allowOverlap="1">
            <wp:simplePos x="0" y="0"/>
            <wp:positionH relativeFrom="column">
              <wp:posOffset>344170</wp:posOffset>
            </wp:positionH>
            <wp:positionV relativeFrom="paragraph">
              <wp:posOffset>137160</wp:posOffset>
            </wp:positionV>
            <wp:extent cx="4975225" cy="3162935"/>
            <wp:effectExtent l="4445" t="4445" r="11430" b="13970"/>
            <wp:wrapNone/>
            <wp:docPr id="28" name="图表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anchor>
        </w:drawing>
      </w: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2640" w:firstLineChars="600"/>
        <w:rPr>
          <w:rFonts w:ascii="仿宋_GB2312" w:eastAsia="仿宋_GB2312" w:cs="DengXian-Regular"/>
          <w:sz w:val="32"/>
          <w:szCs w:val="32"/>
        </w:rPr>
      </w:pPr>
      <w:r>
        <w:rPr>
          <w:sz w:val="44"/>
        </w:rPr>
        <mc:AlternateContent>
          <mc:Choice Requires="wpg">
            <w:drawing>
              <wp:anchor distT="0" distB="0" distL="114300" distR="114300" simplePos="0" relativeHeight="251684864"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70" name="组合 70"/>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71"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72"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84864;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wvFHAyUDAADu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BJ+ys7bAAAACwEAAA8AAAAAAAAAAQAgAAAA&#10;IgAAAGRycy9kb3ducmV2LnhtbFBLAQIUABQAAAAIAIdO4kDC8UcDJQMAAO4IAAAOAAAAAAAAAAEA&#10;IAAAACoBAABkcnMvZTJvRG9jLnhtbFBLBQYAAAAABgAGAFkBAADB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X9/0EL4AAADb&#10;AAAADwAAAGRycy9kb3ducmV2LnhtbEWPQWvCQBSE74L/YXmF3nQ3BY2kbnIQS0tPVgWvz+xrkib7&#10;Nuxu1f57t1DocZiZb5h1dbODuJAPnWMN2VyBIK6d6bjRcDy8zFYgQkQ2ODgmDT8UoCqnkzUWxl35&#10;gy772IgE4VCghjbGsZAy1C1ZDHM3Eifv03mLMUnfSOPxmuB2kE9KLaXFjtNCiyNtWqr7/bfV0B/z&#10;Xac2r1+n93658NvsnC/8WevHh0w9g4h0i//hv/ab0ZBn8Psl/QBZ3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9/0EL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JqQuUboAAADb&#10;AAAADwAAAGRycy9kb3ducmV2LnhtbEWPS4sCMRCE74L/IbSwN030oMNoFBSUPfra9dpM2pnBSWdI&#10;4uvfG0HwWFTVV9Rs8bCNuJEPtWMNw4ECQVw4U3Op4XhY9zMQISIbbByThicFWMy7nRnmxt15R7d9&#10;LEWCcMhRQxVjm0sZiooshoFriZN3dt5iTNKX0ni8J7ht5EipsbRYc1qosKVVRcVlf7UaxtvlyhWH&#10;bPPvT7Xauuv6mU3+tP7pDdUURKRH/IY/7V+jYTKC95f0A+T8B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mpC5RugAAANsA&#10;AAAPAAAAAAAAAAEAIAAAACIAAABkcnMvZG93bnJldi54bWxQSwECFAAUAAAACACHTuJAMy8FnjsA&#10;AAA5AAAAEAAAAAAAAAABACAAAAAJAQAAZHJzL3NoYXBleG1sLnhtbFBLBQYAAAAABgAGAFsBAACz&#10;Aw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p>
    <w:p>
      <w:pPr>
        <w:adjustRightInd w:val="0"/>
        <w:snapToGrid w:val="0"/>
        <w:spacing w:after="0" w:line="580" w:lineRule="exact"/>
        <w:ind w:firstLine="1920" w:firstLineChars="600"/>
        <w:rPr>
          <w:rFonts w:ascii="仿宋_GB2312" w:eastAsia="仿宋_GB2312" w:cs="DengXian-Regular"/>
          <w:sz w:val="32"/>
          <w:szCs w:val="32"/>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p>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pPr>
        <w:adjustRightInd w:val="0"/>
        <w:snapToGrid w:val="0"/>
        <w:spacing w:after="0" w:line="580" w:lineRule="exact"/>
        <w:ind w:firstLine="640" w:firstLineChars="200"/>
        <w:rPr>
          <w:rFonts w:hint="eastAsia" w:ascii="仿宋_GB2312" w:eastAsia="仿宋_GB2312" w:cs="DengXian-Regular"/>
          <w:b w:val="0"/>
          <w:bCs w:val="0"/>
          <w:sz w:val="32"/>
          <w:szCs w:val="32"/>
          <w:lang w:eastAsia="zh-CN"/>
        </w:rPr>
      </w:pPr>
      <w:r>
        <w:rPr>
          <w:rFonts w:hint="eastAsia" w:ascii="仿宋_GB2312" w:eastAsia="仿宋_GB2312" w:cs="DengXian-Regular"/>
          <w:sz w:val="32"/>
          <w:szCs w:val="32"/>
        </w:rPr>
        <w:t>本部门2018年度形成的财政拨款收支均为一般公共预算财政拨款，其中一般公共预算财政拨款年初结转和结余17.95万元，本年收入</w:t>
      </w:r>
      <w:r>
        <w:rPr>
          <w:rFonts w:hint="eastAsia" w:ascii="仿宋_GB2312" w:eastAsia="仿宋_GB2312" w:cs="DengXian-Regular"/>
          <w:sz w:val="32"/>
          <w:szCs w:val="32"/>
          <w:lang w:val="en-US" w:eastAsia="zh-CN"/>
        </w:rPr>
        <w:t>4826.71</w:t>
      </w:r>
      <w:r>
        <w:rPr>
          <w:rFonts w:hint="eastAsia" w:ascii="仿宋_GB2312" w:eastAsia="仿宋_GB2312" w:cs="DengXian-Regular"/>
          <w:sz w:val="32"/>
          <w:szCs w:val="32"/>
        </w:rPr>
        <w:t>万元,比2017年度增加</w:t>
      </w:r>
      <w:r>
        <w:rPr>
          <w:rFonts w:hint="eastAsia" w:ascii="仿宋_GB2312" w:eastAsia="仿宋_GB2312" w:cs="DengXian-Regular"/>
          <w:sz w:val="32"/>
          <w:szCs w:val="32"/>
          <w:lang w:val="en-US" w:eastAsia="zh-CN"/>
        </w:rPr>
        <w:t>4318.49</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849.73</w:t>
      </w:r>
      <w:r>
        <w:rPr>
          <w:rFonts w:hint="eastAsia" w:ascii="仿宋_GB2312" w:eastAsia="仿宋_GB2312" w:cs="DengXian-Regular"/>
          <w:sz w:val="32"/>
          <w:szCs w:val="32"/>
        </w:rPr>
        <w:t>%，主要是</w:t>
      </w:r>
      <w:r>
        <w:rPr>
          <w:rFonts w:hint="eastAsia" w:ascii="仿宋_GB2312" w:eastAsia="仿宋_GB2312" w:cs="DengXian-Regular"/>
          <w:b w:val="0"/>
          <w:bCs w:val="0"/>
          <w:sz w:val="32"/>
          <w:szCs w:val="32"/>
          <w:lang w:val="en-US" w:eastAsia="zh-CN"/>
        </w:rPr>
        <w:t>筹备旅发大会、啤酒节等重大活动项目增加</w:t>
      </w:r>
      <w:r>
        <w:rPr>
          <w:rFonts w:hint="eastAsia" w:ascii="仿宋_GB2312" w:eastAsia="仿宋_GB2312" w:cs="DengXian-Regular"/>
          <w:sz w:val="32"/>
          <w:szCs w:val="32"/>
        </w:rPr>
        <w:t>；本年支出</w:t>
      </w:r>
      <w:r>
        <w:rPr>
          <w:rFonts w:hint="eastAsia" w:ascii="仿宋_GB2312" w:eastAsia="仿宋_GB2312" w:cs="DengXian-Regular"/>
          <w:sz w:val="32"/>
          <w:szCs w:val="32"/>
          <w:lang w:val="en-US" w:eastAsia="zh-CN"/>
        </w:rPr>
        <w:t>4816.46</w:t>
      </w:r>
      <w:r>
        <w:rPr>
          <w:rFonts w:hint="eastAsia" w:ascii="仿宋_GB2312" w:eastAsia="仿宋_GB2312" w:cs="DengXian-Regular"/>
          <w:sz w:val="32"/>
          <w:szCs w:val="32"/>
        </w:rPr>
        <w:t>万元，年末结转和结余28.2万元。增加</w:t>
      </w:r>
      <w:r>
        <w:rPr>
          <w:rFonts w:hint="eastAsia" w:ascii="仿宋_GB2312" w:eastAsia="仿宋_GB2312" w:cs="DengXian-Regular"/>
          <w:sz w:val="32"/>
          <w:szCs w:val="32"/>
          <w:lang w:val="en-US" w:eastAsia="zh-CN"/>
        </w:rPr>
        <w:t>4308.13</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847.51</w:t>
      </w:r>
      <w:r>
        <w:rPr>
          <w:rFonts w:hint="eastAsia" w:ascii="仿宋_GB2312" w:eastAsia="仿宋_GB2312" w:cs="DengXian-Regular"/>
          <w:sz w:val="32"/>
          <w:szCs w:val="32"/>
        </w:rPr>
        <w:t>%，主要是</w:t>
      </w:r>
      <w:r>
        <w:rPr>
          <w:rFonts w:hint="eastAsia" w:ascii="仿宋_GB2312" w:eastAsia="仿宋_GB2312" w:cs="DengXian-Regular"/>
          <w:b w:val="0"/>
          <w:bCs w:val="0"/>
          <w:sz w:val="32"/>
          <w:szCs w:val="32"/>
        </w:rPr>
        <w:t>人员工资增加及项目费用的增加</w:t>
      </w:r>
      <w:r>
        <w:rPr>
          <w:rFonts w:hint="eastAsia" w:ascii="仿宋_GB2312" w:eastAsia="仿宋_GB2312" w:cs="DengXian-Regular"/>
          <w:b w:val="0"/>
          <w:bCs w:val="0"/>
          <w:sz w:val="32"/>
          <w:szCs w:val="32"/>
          <w:lang w:eastAsia="zh-CN"/>
        </w:rPr>
        <w:t>。</w:t>
      </w:r>
    </w:p>
    <w:p>
      <w:pPr>
        <w:adjustRightInd w:val="0"/>
        <w:snapToGrid w:val="0"/>
        <w:spacing w:after="0" w:line="580" w:lineRule="exact"/>
        <w:rPr>
          <w:rFonts w:hint="eastAsia" w:ascii="仿宋_GB2312" w:eastAsia="仿宋_GB2312" w:cs="DengXian-Regular"/>
          <w:b w:val="0"/>
          <w:bCs w:val="0"/>
          <w:sz w:val="32"/>
          <w:szCs w:val="32"/>
          <w:lang w:eastAsia="zh-CN"/>
        </w:rPr>
      </w:pPr>
      <w:r>
        <w:rPr>
          <w:rFonts w:hint="eastAsia" w:ascii="仿宋_GB2312" w:eastAsia="仿宋_GB2312" w:cs="DengXian-Regular"/>
          <w:b w:val="0"/>
          <w:bCs w:val="0"/>
          <w:sz w:val="32"/>
          <w:szCs w:val="32"/>
          <w:lang w:eastAsia="zh-CN"/>
        </w:rPr>
        <w:t>如图所示：</w:t>
      </w:r>
    </w:p>
    <w:p>
      <w:pPr>
        <w:adjustRightInd w:val="0"/>
        <w:snapToGrid w:val="0"/>
        <w:spacing w:after="0" w:line="580" w:lineRule="exact"/>
        <w:ind w:firstLine="640" w:firstLineChars="200"/>
        <w:rPr>
          <w:rFonts w:hint="eastAsia" w:ascii="仿宋_GB2312" w:eastAsia="仿宋_GB2312" w:cs="DengXian-Regular"/>
          <w:b w:val="0"/>
          <w:bCs w:val="0"/>
          <w:sz w:val="32"/>
          <w:szCs w:val="32"/>
          <w:lang w:eastAsia="zh-CN"/>
        </w:rPr>
      </w:pPr>
      <w:r>
        <w:rPr>
          <w:rFonts w:hint="eastAsia" w:ascii="仿宋_GB2312" w:eastAsia="仿宋_GB2312" w:cs="DengXian-Regular"/>
          <w:sz w:val="32"/>
          <w:szCs w:val="32"/>
          <w:lang w:eastAsia="zh-CN"/>
        </w:rPr>
        <w:drawing>
          <wp:anchor distT="0" distB="0" distL="114300" distR="114300" simplePos="0" relativeHeight="251695104" behindDoc="0" locked="0" layoutInCell="1" allowOverlap="1">
            <wp:simplePos x="0" y="0"/>
            <wp:positionH relativeFrom="column">
              <wp:posOffset>419100</wp:posOffset>
            </wp:positionH>
            <wp:positionV relativeFrom="paragraph">
              <wp:posOffset>184150</wp:posOffset>
            </wp:positionV>
            <wp:extent cx="5240020" cy="3321050"/>
            <wp:effectExtent l="4445" t="4445" r="13335" b="8255"/>
            <wp:wrapNone/>
            <wp:docPr id="29" name="图表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anchor>
        </w:drawing>
      </w: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hint="eastAsia" w:ascii="仿宋_GB2312" w:eastAsia="仿宋_GB2312" w:cs="DengXian-Regular"/>
          <w:sz w:val="32"/>
          <w:szCs w:val="32"/>
          <w:lang w:eastAsia="zh-CN"/>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1920" w:firstLineChars="600"/>
        <w:rPr>
          <w:rFonts w:hint="eastAsia" w:ascii="仿宋_GB2312" w:eastAsia="仿宋_GB2312" w:cs="DengXian-Regular"/>
          <w:sz w:val="32"/>
          <w:szCs w:val="32"/>
        </w:rPr>
      </w:pPr>
    </w:p>
    <w:p>
      <w:pPr>
        <w:adjustRightInd w:val="0"/>
        <w:snapToGrid w:val="0"/>
        <w:spacing w:after="0" w:line="580" w:lineRule="exact"/>
        <w:ind w:firstLine="1920" w:firstLineChars="600"/>
        <w:rPr>
          <w:rFonts w:hint="eastAsia" w:ascii="仿宋_GB2312" w:eastAsia="仿宋_GB2312" w:cs="DengXian-Regular"/>
          <w:sz w:val="32"/>
          <w:szCs w:val="32"/>
        </w:rPr>
      </w:pPr>
    </w:p>
    <w:p>
      <w:pPr>
        <w:adjustRightInd w:val="0"/>
        <w:snapToGrid w:val="0"/>
        <w:spacing w:after="0" w:line="580" w:lineRule="exact"/>
        <w:ind w:firstLine="2240" w:firstLineChars="700"/>
        <w:rPr>
          <w:rFonts w:hint="eastAsia" w:ascii="仿宋_GB2312" w:eastAsia="仿宋_GB2312" w:cs="DengXian-Regular"/>
          <w:sz w:val="32"/>
          <w:szCs w:val="32"/>
        </w:rPr>
      </w:pPr>
      <w:r>
        <w:rPr>
          <w:rFonts w:hint="eastAsia" w:ascii="仿宋_GB2312" w:eastAsia="仿宋_GB2312" w:cs="DengXian-Regular"/>
          <w:sz w:val="32"/>
          <w:szCs w:val="32"/>
        </w:rPr>
        <w:t>图3:2017—2018年财政拨款收支情况</w:t>
      </w:r>
    </w:p>
    <w:p>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ascii="仿宋_GB2312" w:eastAsia="仿宋_GB2312" w:cs="DengXian-Regular"/>
          <w:sz w:val="32"/>
          <w:szCs w:val="32"/>
          <w:highlight w:val="yellow"/>
        </w:rPr>
      </w:pPr>
      <w:r>
        <w:rPr>
          <w:rFonts w:hint="eastAsia" w:ascii="仿宋_GB2312" w:eastAsia="仿宋_GB2312" w:cs="DengXian-Regular"/>
          <w:sz w:val="32"/>
          <w:szCs w:val="32"/>
        </w:rPr>
        <w:t>本部门2018年度一般公共预算财政拨款收入4826.71万元，完成年初预算的</w:t>
      </w:r>
      <w:r>
        <w:rPr>
          <w:rFonts w:hint="eastAsia" w:ascii="仿宋_GB2312" w:eastAsia="仿宋_GB2312" w:cs="DengXian-Regular"/>
          <w:sz w:val="32"/>
          <w:szCs w:val="32"/>
          <w:lang w:val="en-US" w:eastAsia="zh-CN"/>
        </w:rPr>
        <w:t>348.74</w:t>
      </w:r>
      <w:r>
        <w:rPr>
          <w:rFonts w:hint="eastAsia" w:ascii="仿宋_GB2312" w:eastAsia="仿宋_GB2312" w:cs="DengXian-Regular"/>
          <w:sz w:val="32"/>
          <w:szCs w:val="32"/>
        </w:rPr>
        <w:t>%,比年初预算增加</w:t>
      </w:r>
      <w:r>
        <w:rPr>
          <w:rFonts w:hint="eastAsia" w:ascii="仿宋_GB2312" w:eastAsia="仿宋_GB2312" w:cs="DengXian-Regular"/>
          <w:sz w:val="32"/>
          <w:szCs w:val="32"/>
          <w:lang w:val="en-US" w:eastAsia="zh-CN"/>
        </w:rPr>
        <w:t>3442.68</w:t>
      </w:r>
      <w:r>
        <w:rPr>
          <w:rFonts w:hint="eastAsia" w:ascii="仿宋_GB2312" w:eastAsia="仿宋_GB2312" w:cs="DengXian-Regular"/>
          <w:sz w:val="32"/>
          <w:szCs w:val="32"/>
        </w:rPr>
        <w:t>万元，决算数大于预算数主要原因是</w:t>
      </w:r>
      <w:r>
        <w:rPr>
          <w:rFonts w:hint="eastAsia" w:ascii="仿宋_GB2312" w:eastAsia="仿宋_GB2312" w:cs="DengXian-Regular"/>
          <w:b w:val="0"/>
          <w:bCs w:val="0"/>
          <w:sz w:val="32"/>
          <w:szCs w:val="32"/>
          <w:lang w:val="en-US" w:eastAsia="zh-CN"/>
        </w:rPr>
        <w:t>筹备旅发大会、啤酒节等重大活动项目增加</w:t>
      </w:r>
      <w:r>
        <w:rPr>
          <w:rFonts w:hint="eastAsia" w:ascii="仿宋_GB2312" w:eastAsia="仿宋_GB2312" w:cs="DengXian-Regular"/>
          <w:sz w:val="32"/>
          <w:szCs w:val="32"/>
        </w:rPr>
        <w:t>；本年支出4816.46万元，完成年初预算的</w:t>
      </w:r>
      <w:r>
        <w:rPr>
          <w:rFonts w:hint="eastAsia" w:ascii="仿宋_GB2312" w:eastAsia="仿宋_GB2312" w:cs="DengXian-Regular"/>
          <w:sz w:val="32"/>
          <w:szCs w:val="32"/>
          <w:lang w:val="en-US" w:eastAsia="zh-CN"/>
        </w:rPr>
        <w:t>348.00</w:t>
      </w:r>
      <w:r>
        <w:rPr>
          <w:rFonts w:hint="eastAsia" w:ascii="仿宋_GB2312" w:eastAsia="仿宋_GB2312" w:cs="DengXian-Regular"/>
          <w:sz w:val="32"/>
          <w:szCs w:val="32"/>
        </w:rPr>
        <w:t>%,比年初预算增加</w:t>
      </w:r>
      <w:r>
        <w:rPr>
          <w:rFonts w:hint="eastAsia" w:ascii="仿宋_GB2312" w:eastAsia="仿宋_GB2312" w:cs="DengXian-Regular"/>
          <w:sz w:val="32"/>
          <w:szCs w:val="32"/>
          <w:lang w:val="en-US" w:eastAsia="zh-CN"/>
        </w:rPr>
        <w:t>3432.43</w:t>
      </w:r>
      <w:r>
        <w:rPr>
          <w:rFonts w:hint="eastAsia" w:ascii="仿宋_GB2312" w:eastAsia="仿宋_GB2312" w:cs="DengXian-Regular"/>
          <w:sz w:val="32"/>
          <w:szCs w:val="32"/>
        </w:rPr>
        <w:t>万元，决算数大于预算数主要原因是</w:t>
      </w:r>
      <w:r>
        <w:rPr>
          <w:rFonts w:hint="eastAsia" w:ascii="仿宋_GB2312" w:eastAsia="仿宋_GB2312" w:cs="DengXian-Regular"/>
          <w:b w:val="0"/>
          <w:bCs w:val="0"/>
          <w:sz w:val="32"/>
          <w:szCs w:val="32"/>
          <w:lang w:val="en-US" w:eastAsia="zh-CN"/>
        </w:rPr>
        <w:t>筹备旅发大会、啤酒节等重大活动项目增加。如图所示：</w:t>
      </w:r>
    </w:p>
    <w:p>
      <w:pPr>
        <w:adjustRightInd w:val="0"/>
        <w:snapToGrid w:val="0"/>
        <w:spacing w:after="0" w:line="580" w:lineRule="exact"/>
        <w:ind w:firstLine="640" w:firstLineChars="200"/>
        <w:rPr>
          <w:rFonts w:hint="eastAsia" w:ascii="仿宋_GB2312" w:eastAsia="仿宋_GB2312" w:cs="DengXian-Regular"/>
          <w:sz w:val="32"/>
          <w:szCs w:val="32"/>
          <w:highlight w:val="yellow"/>
          <w:lang w:eastAsia="zh-CN"/>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r>
        <w:rPr>
          <w:rFonts w:hint="eastAsia" w:ascii="仿宋_GB2312" w:eastAsia="仿宋_GB2312" w:cs="DengXian-Regular"/>
          <w:sz w:val="32"/>
          <w:szCs w:val="32"/>
          <w:highlight w:val="yellow"/>
          <w:lang w:eastAsia="zh-CN"/>
        </w:rPr>
        <w:drawing>
          <wp:anchor distT="0" distB="0" distL="114300" distR="114300" simplePos="0" relativeHeight="251697152" behindDoc="0" locked="0" layoutInCell="1" allowOverlap="1">
            <wp:simplePos x="0" y="0"/>
            <wp:positionH relativeFrom="column">
              <wp:posOffset>30480</wp:posOffset>
            </wp:positionH>
            <wp:positionV relativeFrom="paragraph">
              <wp:posOffset>53340</wp:posOffset>
            </wp:positionV>
            <wp:extent cx="5850890" cy="4077335"/>
            <wp:effectExtent l="4445" t="4445" r="12065" b="13970"/>
            <wp:wrapNone/>
            <wp:docPr id="30" name="图表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rPr>
          <w:rFonts w:hint="eastAsia" w:ascii="仿宋_GB2312" w:eastAsia="仿宋_GB2312" w:cs="DengXian-Regular"/>
          <w:sz w:val="32"/>
          <w:szCs w:val="32"/>
        </w:rPr>
      </w:pPr>
    </w:p>
    <w:p>
      <w:pPr>
        <w:adjustRightInd w:val="0"/>
        <w:snapToGrid w:val="0"/>
        <w:spacing w:after="0" w:line="580" w:lineRule="exact"/>
        <w:ind w:firstLine="2240" w:firstLineChars="700"/>
        <w:rPr>
          <w:rFonts w:hint="eastAsia" w:ascii="仿宋_GB2312" w:eastAsia="仿宋_GB2312" w:cs="DengXian-Regular"/>
          <w:sz w:val="32"/>
          <w:szCs w:val="32"/>
        </w:rPr>
      </w:pPr>
      <w:r>
        <w:rPr>
          <w:rFonts w:hint="eastAsia" w:ascii="仿宋_GB2312" w:eastAsia="仿宋_GB2312" w:cs="DengXian-Regular"/>
          <w:sz w:val="32"/>
          <w:szCs w:val="32"/>
        </w:rPr>
        <w:t>图4：财政拨款收支预决算对比情况</w:t>
      </w:r>
    </w:p>
    <w:p>
      <w:pPr>
        <w:numPr>
          <w:ilvl w:val="0"/>
          <w:numId w:val="0"/>
        </w:numPr>
        <w:adjustRightInd w:val="0"/>
        <w:snapToGrid w:val="0"/>
        <w:spacing w:after="0" w:line="580" w:lineRule="exact"/>
        <w:rPr>
          <w:rFonts w:ascii="楷体_GB2312" w:eastAsia="楷体_GB2312" w:cs="DengXian-Bold"/>
          <w:b/>
          <w:bCs/>
          <w:sz w:val="32"/>
          <w:szCs w:val="32"/>
        </w:rPr>
      </w:pPr>
      <w:r>
        <w:rPr>
          <w:rFonts w:hint="eastAsia" w:ascii="楷体_GB2312" w:eastAsia="楷体_GB2312" w:cs="DengXian-Bold"/>
          <w:b/>
          <w:bCs/>
          <w:sz w:val="32"/>
          <w:szCs w:val="32"/>
          <w:lang w:eastAsia="zh-CN"/>
        </w:rPr>
        <w:t>（三）</w:t>
      </w: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hint="eastAsia" w:ascii="仿宋_GB2312" w:eastAsia="仿宋_GB2312" w:cs="DengXian-Regular"/>
          <w:sz w:val="32"/>
          <w:szCs w:val="32"/>
          <w:lang w:eastAsia="zh-CN"/>
        </w:rPr>
      </w:pPr>
      <w:r>
        <w:rPr>
          <w:rFonts w:hint="eastAsia" w:ascii="仿宋_GB2312" w:eastAsia="仿宋_GB2312" w:cs="DengXian-Regular"/>
          <w:sz w:val="32"/>
          <w:szCs w:val="32"/>
        </w:rPr>
        <w:t>2018 年度财政拨款支出</w:t>
      </w:r>
      <w:r>
        <w:rPr>
          <w:rFonts w:hint="eastAsia" w:ascii="仿宋_GB2312" w:eastAsia="仿宋_GB2312" w:cs="DengXian-Regular"/>
          <w:sz w:val="32"/>
          <w:szCs w:val="32"/>
          <w:lang w:val="en-US" w:eastAsia="zh-CN"/>
        </w:rPr>
        <w:t>4816.46</w:t>
      </w:r>
      <w:r>
        <w:rPr>
          <w:rFonts w:hint="eastAsia" w:ascii="仿宋_GB2312" w:eastAsia="仿宋_GB2312" w:cs="DengXian-Regular"/>
          <w:sz w:val="32"/>
          <w:szCs w:val="32"/>
        </w:rPr>
        <w:t>万元，主要用于以下方面</w:t>
      </w:r>
      <w:r>
        <w:rPr>
          <w:rFonts w:hint="eastAsia" w:ascii="仿宋_GB2312" w:eastAsia="仿宋_GB2312" w:cs="DengXian-Regular"/>
          <w:sz w:val="32"/>
          <w:szCs w:val="32"/>
          <w:lang w:eastAsia="zh-CN"/>
        </w:rPr>
        <w:t>：</w:t>
      </w:r>
      <w:r>
        <w:rPr>
          <w:rFonts w:hint="eastAsia" w:ascii="仿宋_GB2312" w:eastAsia="仿宋_GB2312" w:cs="DengXian-Regular"/>
          <w:sz w:val="32"/>
          <w:szCs w:val="32"/>
        </w:rPr>
        <w:t>一般公共服务支出387.73万元，占</w:t>
      </w:r>
      <w:r>
        <w:rPr>
          <w:rFonts w:hint="eastAsia" w:ascii="仿宋_GB2312" w:eastAsia="仿宋_GB2312" w:cs="DengXian-Regular"/>
          <w:sz w:val="32"/>
          <w:szCs w:val="32"/>
          <w:lang w:val="en-US" w:eastAsia="zh-CN"/>
        </w:rPr>
        <w:t>8.05</w:t>
      </w:r>
      <w:r>
        <w:rPr>
          <w:rFonts w:hint="eastAsia" w:ascii="仿宋_GB2312" w:eastAsia="仿宋_GB2312" w:cs="DengXian-Regular"/>
          <w:sz w:val="32"/>
          <w:szCs w:val="32"/>
        </w:rPr>
        <w:t>%；文化体育与传媒支出</w:t>
      </w:r>
      <w:r>
        <w:rPr>
          <w:rFonts w:hint="eastAsia" w:ascii="仿宋_GB2312" w:eastAsia="仿宋_GB2312" w:cs="DengXian-Regular"/>
          <w:sz w:val="32"/>
          <w:szCs w:val="32"/>
          <w:lang w:val="en-US" w:eastAsia="zh-CN"/>
        </w:rPr>
        <w:t>751.24</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15.60</w:t>
      </w:r>
      <w:r>
        <w:rPr>
          <w:rFonts w:hint="eastAsia" w:ascii="仿宋_GB2312" w:eastAsia="仿宋_GB2312" w:cs="DengXian-Regular"/>
          <w:sz w:val="32"/>
          <w:szCs w:val="32"/>
        </w:rPr>
        <w:t>%；社会保障和就业支出</w:t>
      </w:r>
      <w:r>
        <w:rPr>
          <w:rFonts w:hint="eastAsia" w:ascii="仿宋_GB2312" w:eastAsia="仿宋_GB2312" w:cs="DengXian-Regular"/>
          <w:sz w:val="32"/>
          <w:szCs w:val="32"/>
          <w:lang w:val="en-US" w:eastAsia="zh-CN"/>
        </w:rPr>
        <w:t>16.26</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0.34</w:t>
      </w:r>
      <w:r>
        <w:rPr>
          <w:rFonts w:hint="eastAsia" w:ascii="仿宋_GB2312" w:eastAsia="仿宋_GB2312" w:cs="DengXian-Regular"/>
          <w:sz w:val="32"/>
          <w:szCs w:val="32"/>
        </w:rPr>
        <w:t>%；医疗卫生与计划生育支出</w:t>
      </w:r>
      <w:r>
        <w:rPr>
          <w:rFonts w:hint="eastAsia" w:ascii="仿宋_GB2312" w:eastAsia="仿宋_GB2312" w:cs="DengXian-Regular"/>
          <w:sz w:val="32"/>
          <w:szCs w:val="32"/>
          <w:lang w:val="en-US" w:eastAsia="zh-CN"/>
        </w:rPr>
        <w:t>11.41</w:t>
      </w:r>
      <w:r>
        <w:rPr>
          <w:rFonts w:hint="eastAsia" w:ascii="仿宋_GB2312" w:eastAsia="仿宋_GB2312" w:cs="DengXian-Regular"/>
          <w:sz w:val="32"/>
          <w:szCs w:val="32"/>
        </w:rPr>
        <w:t xml:space="preserve">万元，占 </w:t>
      </w:r>
      <w:r>
        <w:rPr>
          <w:rFonts w:hint="eastAsia" w:ascii="仿宋_GB2312" w:eastAsia="仿宋_GB2312" w:cs="DengXian-Regular"/>
          <w:sz w:val="32"/>
          <w:szCs w:val="32"/>
          <w:lang w:val="en-US" w:eastAsia="zh-CN"/>
        </w:rPr>
        <w:t>0.24</w:t>
      </w:r>
      <w:r>
        <w:rPr>
          <w:rFonts w:hint="eastAsia" w:ascii="仿宋_GB2312" w:eastAsia="仿宋_GB2312" w:cs="DengXian-Regular"/>
          <w:sz w:val="32"/>
          <w:szCs w:val="32"/>
        </w:rPr>
        <w:t>%；商业服务业等支出3640.06万元，占</w:t>
      </w:r>
      <w:r>
        <w:rPr>
          <w:rFonts w:hint="eastAsia" w:ascii="仿宋_GB2312" w:eastAsia="仿宋_GB2312" w:cs="DengXian-Regular"/>
          <w:sz w:val="32"/>
          <w:szCs w:val="32"/>
          <w:lang w:val="en-US" w:eastAsia="zh-CN"/>
        </w:rPr>
        <w:t>75.58</w:t>
      </w:r>
      <w:r>
        <w:rPr>
          <w:rFonts w:hint="eastAsia" w:ascii="仿宋_GB2312" w:eastAsia="仿宋_GB2312" w:cs="DengXian-Regular"/>
          <w:sz w:val="32"/>
          <w:szCs w:val="32"/>
        </w:rPr>
        <w:t>%；住房保障支出</w:t>
      </w:r>
      <w:r>
        <w:rPr>
          <w:rFonts w:hint="eastAsia" w:ascii="仿宋_GB2312" w:eastAsia="仿宋_GB2312" w:cs="DengXian-Regular"/>
          <w:sz w:val="32"/>
          <w:szCs w:val="32"/>
          <w:lang w:val="en-US" w:eastAsia="zh-CN"/>
        </w:rPr>
        <w:t>9.76</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0.20</w:t>
      </w:r>
      <w:r>
        <w:rPr>
          <w:rFonts w:hint="eastAsia" w:ascii="仿宋_GB2312" w:eastAsia="仿宋_GB2312" w:cs="DengXian-Regular"/>
          <w:sz w:val="32"/>
          <w:szCs w:val="32"/>
        </w:rPr>
        <w:t>%。</w:t>
      </w:r>
      <w:r>
        <w:rPr>
          <w:rFonts w:hint="eastAsia" w:ascii="仿宋_GB2312" w:eastAsia="仿宋_GB2312" w:cs="DengXian-Regular"/>
          <w:sz w:val="32"/>
          <w:szCs w:val="32"/>
          <w:lang w:eastAsia="zh-CN"/>
        </w:rPr>
        <w:t>如图所示：</w:t>
      </w: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hint="eastAsia" w:ascii="楷体_GB2312" w:eastAsia="楷体_GB2312" w:cs="DengXian-Bold"/>
          <w:b/>
          <w:bCs/>
          <w:sz w:val="32"/>
          <w:szCs w:val="32"/>
          <w:lang w:eastAsia="zh-CN"/>
        </w:rPr>
      </w:pPr>
      <w:r>
        <w:rPr>
          <w:rFonts w:hint="eastAsia" w:ascii="楷体_GB2312" w:eastAsia="楷体_GB2312" w:cs="DengXian-Bold"/>
          <w:b/>
          <w:bCs/>
          <w:sz w:val="32"/>
          <w:szCs w:val="32"/>
          <w:lang w:eastAsia="zh-CN"/>
        </w:rPr>
        <w:drawing>
          <wp:anchor distT="0" distB="0" distL="114300" distR="114300" simplePos="0" relativeHeight="251698176" behindDoc="0" locked="0" layoutInCell="1" allowOverlap="1">
            <wp:simplePos x="0" y="0"/>
            <wp:positionH relativeFrom="column">
              <wp:posOffset>269240</wp:posOffset>
            </wp:positionH>
            <wp:positionV relativeFrom="paragraph">
              <wp:posOffset>118745</wp:posOffset>
            </wp:positionV>
            <wp:extent cx="5080000" cy="3810000"/>
            <wp:effectExtent l="4445" t="4445" r="20955" b="14605"/>
            <wp:wrapNone/>
            <wp:docPr id="32" name="图表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firstLine="1280" w:firstLineChars="400"/>
        <w:rPr>
          <w:rFonts w:hint="eastAsia" w:ascii="仿宋_GB2312" w:eastAsia="仿宋_GB2312" w:cs="DengXian-Regular"/>
          <w:sz w:val="32"/>
          <w:szCs w:val="32"/>
        </w:rPr>
      </w:pPr>
      <w:r>
        <w:rPr>
          <w:rFonts w:hint="eastAsia" w:ascii="仿宋_GB2312" w:eastAsia="仿宋_GB2312" w:cs="DengXian-Regular"/>
          <w:sz w:val="32"/>
          <w:szCs w:val="32"/>
        </w:rPr>
        <w:t>图5：财政拨款支出决算结构（按功能分类）</w:t>
      </w:r>
    </w:p>
    <w:p>
      <w:pPr>
        <w:adjustRightInd w:val="0"/>
        <w:snapToGrid w:val="0"/>
        <w:spacing w:after="0" w:line="580" w:lineRule="exact"/>
        <w:ind w:firstLine="880" w:firstLineChars="200"/>
        <w:rPr>
          <w:rFonts w:ascii="楷体_GB2312" w:eastAsia="楷体_GB2312" w:cs="DengXian-Bold"/>
          <w:b/>
          <w:bCs/>
          <w:sz w:val="32"/>
          <w:szCs w:val="32"/>
        </w:rPr>
      </w:pPr>
      <w:r>
        <w:rPr>
          <w:sz w:val="44"/>
        </w:rPr>
        <mc:AlternateContent>
          <mc:Choice Requires="wpg">
            <w:drawing>
              <wp:anchor distT="0" distB="0" distL="114300" distR="114300" simplePos="0" relativeHeight="251685888"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79" name="组合 79"/>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80"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85888;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wwEkficDAADu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MMBJH4nAwAA7ggAAA4AAAAAAAAA&#10;AQAgAAAAKgEAAGRycy9lMm9Eb2MueG1sUEsFBgAAAAAGAAYAWQEAAMM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BUYhrLoAAADb&#10;AAAADwAAAGRycy9kb3ducmV2LnhtbEVPy4rCMBTdD/gP4QruxqSCD6rRhSiKqxkV3F6ba1vb3JQk&#10;PubvJ4uBWR7Oe7F621Y8yYfasYZsqEAQF87UXGo4n7afMxAhIhtsHZOGHwqwWvY+Fpgb9+Jveh5j&#10;KVIIhxw1VDF2uZShqMhiGLqOOHE35y3GBH0pjcdXCretHCk1kRZrTg0VdrSuqGiOD6uhOU+/arXe&#10;3S+HZjL2m+w6Hfur1oN+puYgIr3jv/jPvTcaZml9+pJ+gFz+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FRiGsugAAANsA&#10;AAAPAAAAAAAAAAEAIAAAACIAAABkcnMvZG93bnJldi54bWxQSwECFAAUAAAACACHTuJAMy8FnjsA&#10;AAA5AAAAEAAAAAAAAAABACAAAAAJAQAAZHJzL3NoYXBleG1sLnhtbFBLBQYAAAAABgAGAFsBAACz&#10;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46PAAbwAAADb&#10;AAAADwAAAGRycy9kb3ducmV2LnhtbEWPS2vDMBCE74H+B7GB3mLJPaTGjRJIIKXHNOnjulgb28Ra&#10;GUl+5N9XhUKPw8x8w2x2s+3ESD60jjXkmQJBXDnTcq3h43JcFSBCRDbYOSYNdwqw2z4sNlgaN/E7&#10;jedYiwThUKKGJsa+lDJUDVkMmeuJk3d13mJM0tfSeJwS3HbySam1tNhyWmiwp0ND1e08WA3r0/7g&#10;qkvx+uW/W3Vyw/FePH9q/bjM1QuISHP8D/+134yGIoffL+kHyO0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OjwAG8AAAA&#10;2wAAAA8AAAAAAAAAAQAgAAAAIgAAAGRycy9kb3ducmV2LnhtbFBLAQIUABQAAAAIAIdO4kAzLwWe&#10;OwAAADkAAAAQAAAAAAAAAAEAIAAAAAsBAABkcnMvc2hhcGV4bWwueG1sUEsFBgAAAAAGAAYAWwEA&#10;ALUD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880" w:firstLineChars="200"/>
        <w:rPr>
          <w:rFonts w:ascii="仿宋_GB2312" w:eastAsia="仿宋_GB2312" w:cs="DengXian-Regular"/>
          <w:sz w:val="32"/>
          <w:szCs w:val="32"/>
        </w:rPr>
      </w:pPr>
      <w:r>
        <w:rPr>
          <w:sz w:val="44"/>
        </w:rPr>
        <mc:AlternateContent>
          <mc:Choice Requires="wpg">
            <w:drawing>
              <wp:anchor distT="0" distB="0" distL="114300" distR="114300" simplePos="0" relativeHeight="251693056"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23" name="组合 23"/>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24"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93056;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XBt4lb4AAADb&#10;AAAADwAAAGRycy9kb3ducmV2LnhtbEWPzWsCMRTE74X+D+EVvNVkxY+yNXoQpcWTX+D1uXnd3e7m&#10;ZUlStf+9EQSPw8z8hpnOr7YVZ/Khdqwh6ysQxIUzNZcaDvvV+weIEJENto5Jwz8FmM9eX6aYG3fh&#10;LZ13sRQJwiFHDVWMXS5lKCqyGPquI07ej/MWY5K+lMbjJcFtKwdKjaXFmtNChR0tKiqa3Z/V0Bwm&#10;m1otvn6P62Y88svsNBn5k9a9t0x9goh0jc/wo/1tNAyGcP+SfoCc3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Bt4lb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uv6ZOLwAAADb&#10;AAAADwAAAGRycy9kb3ducmV2LnhtbEWPQWvCQBSE7wX/w/KE3uquQm1IXYUKiseorV4f2dckNPs2&#10;7G4S/fduodDjMDPfMKvNzbZiIB8axxrmMwWCuHSm4UrD53n3koEIEdlg65g03CnAZj15WmFu3MhH&#10;Gk6xEgnCIUcNdYxdLmUoa7IYZq4jTt638xZjkr6SxuOY4LaVC6WW0mLDaaHGjrY1lT+n3mpYFh9b&#10;V56z/cVfG1W4fnfP3r60fp7O1TuISLf4H/5rH4yGxSv8fkk/QK4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r+mTi8AAAA&#10;2wAAAA8AAAAAAAAAAQAgAAAAIgAAAGRycy9kb3ducmV2LnhtbFBLAQIUABQAAAAIAIdO4kAzLwWe&#10;OwAAADkAAAAQAAAAAAAAAAEAIAAAAAsBAABkcnMvc2hhcGV4bWwueG1sUEsFBgAAAAAGAAYAWwEA&#10;ALUD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r>
        <w:rPr>
          <w:rFonts w:hint="eastAsia" w:ascii="仿宋_GB2312" w:eastAsia="仿宋_GB2312" w:cs="DengXian-Regular"/>
          <w:sz w:val="32"/>
          <w:szCs w:val="32"/>
        </w:rPr>
        <w:t>2018 年度一般公共预算财政拨款基本支出</w:t>
      </w:r>
      <w:r>
        <w:rPr>
          <w:rFonts w:hint="eastAsia" w:ascii="仿宋_GB2312" w:eastAsia="仿宋_GB2312" w:cs="DengXian-Regular"/>
          <w:sz w:val="32"/>
          <w:szCs w:val="32"/>
          <w:lang w:val="en-US" w:eastAsia="zh-CN"/>
        </w:rPr>
        <w:t>270.42</w:t>
      </w:r>
      <w:r>
        <w:rPr>
          <w:rFonts w:hint="eastAsia" w:ascii="仿宋_GB2312" w:eastAsia="仿宋_GB2312" w:cs="DengXian-Regular"/>
          <w:sz w:val="32"/>
          <w:szCs w:val="32"/>
        </w:rPr>
        <w:t>万元，其中：人员经费 253.21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17.21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w:t>
      </w:r>
      <w:r>
        <w:rPr>
          <w:rFonts w:hint="eastAsia" w:ascii="仿宋_GB2312" w:eastAsia="仿宋_GB2312" w:cs="DengXian-Regular"/>
          <w:sz w:val="32"/>
          <w:szCs w:val="32"/>
          <w:lang w:val="en-US" w:eastAsia="zh-CN"/>
        </w:rPr>
        <w:t>2.31</w:t>
      </w:r>
      <w:r>
        <w:rPr>
          <w:rFonts w:hint="eastAsia" w:ascii="仿宋_GB2312" w:eastAsia="仿宋_GB2312" w:cs="DengXian-Regular"/>
          <w:sz w:val="32"/>
          <w:szCs w:val="32"/>
        </w:rPr>
        <w:t>万元，</w:t>
      </w:r>
      <w:r>
        <w:rPr>
          <w:rFonts w:hint="eastAsia" w:ascii="仿宋_GB2312" w:eastAsia="仿宋_GB2312" w:cs="DengXian-Regular"/>
          <w:b/>
          <w:bCs/>
          <w:sz w:val="32"/>
          <w:szCs w:val="32"/>
        </w:rPr>
        <w:t>较年初预算减少</w:t>
      </w:r>
      <w:r>
        <w:rPr>
          <w:rFonts w:hint="eastAsia" w:ascii="仿宋_GB2312" w:eastAsia="仿宋_GB2312" w:cs="DengXian-Regular"/>
          <w:b/>
          <w:bCs/>
          <w:sz w:val="32"/>
          <w:szCs w:val="32"/>
          <w:lang w:val="en-US" w:eastAsia="zh-CN"/>
        </w:rPr>
        <w:t>0.39</w:t>
      </w:r>
      <w:r>
        <w:rPr>
          <w:rFonts w:hint="eastAsia" w:ascii="仿宋_GB2312" w:eastAsia="仿宋_GB2312" w:cs="DengXian-Regular"/>
          <w:b/>
          <w:bCs/>
          <w:sz w:val="32"/>
          <w:szCs w:val="32"/>
        </w:rPr>
        <w:t>万元，降低</w:t>
      </w:r>
      <w:r>
        <w:rPr>
          <w:rFonts w:hint="eastAsia" w:ascii="仿宋_GB2312" w:eastAsia="仿宋_GB2312" w:cs="DengXian-Regular"/>
          <w:b/>
          <w:bCs/>
          <w:sz w:val="32"/>
          <w:szCs w:val="32"/>
          <w:lang w:val="en-US" w:eastAsia="zh-CN"/>
        </w:rPr>
        <w:t>16.88</w:t>
      </w:r>
      <w:r>
        <w:rPr>
          <w:rFonts w:hint="eastAsia" w:ascii="仿宋_GB2312" w:eastAsia="仿宋_GB2312" w:cs="DengXian-Regular"/>
          <w:b/>
          <w:bCs/>
          <w:sz w:val="32"/>
          <w:szCs w:val="32"/>
        </w:rPr>
        <w:t>%，</w:t>
      </w:r>
      <w:r>
        <w:rPr>
          <w:rFonts w:hint="eastAsia" w:ascii="仿宋_GB2312" w:eastAsia="仿宋_GB2312" w:cs="DengXian-Regular"/>
          <w:sz w:val="32"/>
          <w:szCs w:val="32"/>
        </w:rPr>
        <w:t>主要是认真贯彻落实中央八项规定精神和厉行节约要求，从严控制“三公”经费开支，全年实际支出比预算有所节约。具体情况如下：</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w:t>
      </w:r>
      <w:r>
        <w:rPr>
          <w:sz w:val="44"/>
        </w:rPr>
        <mc:AlternateContent>
          <mc:Choice Requires="wpg">
            <w:drawing>
              <wp:anchor distT="0" distB="0" distL="114300" distR="114300" simplePos="0" relativeHeight="251686912"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82" name="组合 82"/>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83"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4"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86912;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9ZS/274AAADb&#10;AAAADwAAAGRycy9kb3ducmV2LnhtbEWPzWsCMRTE74L/Q3gFb5psxQ+2Rg9isXhqVfD63Lzubnfz&#10;siTxo/+9KRQ8DjPzG2axuttWXMmH2rGGbKRAEBfO1FxqOB7eh3MQISIbbB2Thl8KsFr2ewvMjbvx&#10;F133sRQJwiFHDVWMXS5lKCqyGEauI07et/MWY5K+lMbjLcFtK1+VmkqLNaeFCjtaV1Q0+4vV0Bxn&#10;n7Vab39Ou2Y68ZvsPJv4s9aDl0y9gYh0j8/wf/vDaJiP4e9L+gFy+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ZS/27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89RjmbsAAADb&#10;AAAADwAAAGRycy9kb3ducmV2LnhtbEWPS4sCMRCE78L+h9AL3pzERXSYNQorKB597e61mbQzg5PO&#10;kMTXvzeC4LGoqq+o6fxmW3EhHxrHGoaZAkFcOtNwpeGwXw5yECEiG2wdk4Y7BZjPPnpTLIy78pYu&#10;u1iJBOFQoIY6xq6QMpQ1WQyZ64iTd3TeYkzSV9J4vCa4beWXUmNpseG0UGNHi5rK0+5sNYw3PwtX&#10;7vPVn/9v1Madl/d88qt1/3OovkFEusV3+NVeGw35CJ5f0g+Qs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9Rjmb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r>
        <w:rPr>
          <w:rFonts w:hint="eastAsia" w:ascii="楷体_GB2312" w:eastAsia="楷体_GB2312" w:cs="DengXian-Bold"/>
          <w:b/>
          <w:bCs/>
          <w:sz w:val="32"/>
          <w:szCs w:val="32"/>
        </w:rPr>
        <w:t>一）因公出国（境）费支出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本部门2018年度无本单位组织的出国（境）团组。</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w:t>
      </w:r>
      <w:r>
        <w:rPr>
          <w:rFonts w:hint="eastAsia" w:ascii="楷体_GB2312" w:eastAsia="楷体_GB2312" w:cs="DengXian-Bold"/>
          <w:b/>
          <w:bCs/>
          <w:sz w:val="32"/>
          <w:szCs w:val="32"/>
          <w:lang w:val="en-US" w:eastAsia="zh-CN"/>
        </w:rPr>
        <w:t>2.31</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本部门2018年度公务用车购置及运行维护费较年初预算减少</w:t>
      </w:r>
      <w:r>
        <w:rPr>
          <w:rFonts w:hint="eastAsia" w:ascii="仿宋_GB2312" w:eastAsia="仿宋_GB2312" w:cs="DengXian-Regular"/>
          <w:sz w:val="32"/>
          <w:szCs w:val="32"/>
          <w:lang w:val="en-US" w:eastAsia="zh-CN"/>
        </w:rPr>
        <w:t>0.39</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16.88</w:t>
      </w:r>
      <w:r>
        <w:rPr>
          <w:rFonts w:hint="eastAsia" w:ascii="仿宋_GB2312" w:eastAsia="仿宋_GB2312" w:cs="DengXian-Regular"/>
          <w:sz w:val="32"/>
          <w:szCs w:val="32"/>
        </w:rPr>
        <w:t>%,主要是按照</w:t>
      </w:r>
      <w:r>
        <w:rPr>
          <w:rFonts w:hint="eastAsia" w:ascii="仿宋_GB2312" w:eastAsia="仿宋_GB2312" w:cs="DengXian-Regular"/>
          <w:sz w:val="32"/>
          <w:szCs w:val="32"/>
          <w:lang w:val="en-US" w:eastAsia="zh-CN"/>
        </w:rPr>
        <w:t>中央</w:t>
      </w:r>
      <w:r>
        <w:rPr>
          <w:rFonts w:hint="eastAsia" w:ascii="仿宋_GB2312" w:eastAsia="仿宋_GB2312" w:cs="DengXian-Regular"/>
          <w:sz w:val="32"/>
          <w:szCs w:val="32"/>
        </w:rPr>
        <w:t>八项规定的工作要求，严格控制公车使用范围，规范管理，减少运行成本，降低财政支出，提高工作效率，杜绝超预算支出现象。</w:t>
      </w:r>
      <w:r>
        <w:rPr>
          <w:rFonts w:hint="eastAsia" w:ascii="仿宋_GB2312" w:eastAsia="仿宋_GB2312" w:cs="DengXian-Bold"/>
          <w:b/>
          <w:bCs/>
          <w:sz w:val="32"/>
          <w:szCs w:val="32"/>
        </w:rPr>
        <w:t>其中：</w:t>
      </w:r>
    </w:p>
    <w:p>
      <w:pPr>
        <w:adjustRightInd w:val="0"/>
        <w:snapToGrid w:val="0"/>
        <w:spacing w:after="0" w:line="580" w:lineRule="exact"/>
        <w:ind w:firstLine="643" w:firstLineChars="200"/>
        <w:rPr>
          <w:rFonts w:ascii="仿宋_GB2312" w:eastAsia="仿宋_GB2312" w:cs="DengXian-Regular"/>
          <w:color w:val="000000" w:themeColor="text1"/>
          <w:sz w:val="32"/>
          <w:szCs w:val="32"/>
          <w14:textFill>
            <w14:solidFill>
              <w14:schemeClr w14:val="tx1"/>
            </w14:solidFill>
          </w14:textFill>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本部门2018年度“未发生‘公务用车购置’经费支出”</w:t>
      </w:r>
      <w:r>
        <w:rPr>
          <w:rFonts w:hint="eastAsia" w:ascii="仿宋_GB2312" w:eastAsia="仿宋_GB2312" w:cs="DengXian-Regular"/>
          <w:sz w:val="32"/>
          <w:szCs w:val="32"/>
          <w:lang w:eastAsia="zh-CN"/>
        </w:rPr>
        <w:t>。</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辆。公车运行维护费支出较年初预算减少</w:t>
      </w:r>
      <w:r>
        <w:rPr>
          <w:rFonts w:hint="eastAsia" w:ascii="仿宋_GB2312" w:eastAsia="仿宋_GB2312" w:cs="DengXian-Regular"/>
          <w:sz w:val="32"/>
          <w:szCs w:val="32"/>
          <w:lang w:val="en-US" w:eastAsia="zh-CN"/>
        </w:rPr>
        <w:t>0.39</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16.88</w:t>
      </w:r>
      <w:r>
        <w:rPr>
          <w:rFonts w:hint="eastAsia" w:ascii="仿宋_GB2312" w:eastAsia="仿宋_GB2312" w:cs="DengXian-Regular"/>
          <w:sz w:val="32"/>
          <w:szCs w:val="32"/>
        </w:rPr>
        <w:t>%,主要是按</w:t>
      </w:r>
      <w:r>
        <w:rPr>
          <w:rFonts w:hint="eastAsia" w:ascii="仿宋_GB2312" w:eastAsia="仿宋_GB2312" w:cs="DengXian-Regular"/>
          <w:sz w:val="32"/>
          <w:szCs w:val="32"/>
          <w:lang w:val="en-US" w:eastAsia="zh-CN"/>
        </w:rPr>
        <w:t>照中央</w:t>
      </w:r>
      <w:r>
        <w:rPr>
          <w:rFonts w:hint="eastAsia" w:ascii="仿宋_GB2312" w:eastAsia="仿宋_GB2312" w:cs="DengXian-Regular"/>
          <w:sz w:val="32"/>
          <w:szCs w:val="32"/>
        </w:rPr>
        <w:t>八项规定的工作要求，严格控制公车使用范围，规</w:t>
      </w:r>
      <w:bookmarkStart w:id="0" w:name="_GoBack"/>
      <w:bookmarkEnd w:id="0"/>
      <w:r>
        <w:rPr>
          <w:rFonts w:hint="eastAsia" w:ascii="仿宋_GB2312" w:eastAsia="仿宋_GB2312" w:cs="DengXian-Regular"/>
          <w:sz w:val="32"/>
          <w:szCs w:val="32"/>
        </w:rPr>
        <w:t>范管理，减少运行成本，降低财政支出，提高工作效率，杜绝超预算支出现象。</w:t>
      </w:r>
    </w:p>
    <w:p>
      <w:pPr>
        <w:adjustRightInd w:val="0"/>
        <w:snapToGrid w:val="0"/>
        <w:spacing w:after="0" w:line="580" w:lineRule="exact"/>
        <w:ind w:firstLine="643" w:firstLineChars="200"/>
        <w:rPr>
          <w:rFonts w:hint="eastAsia" w:ascii="仿宋_GB2312" w:eastAsia="仿宋_GB2312" w:cs="DengXian-Regular"/>
          <w:sz w:val="32"/>
          <w:szCs w:val="32"/>
          <w:highlight w:val="yellow"/>
          <w:lang w:eastAsia="zh-CN"/>
        </w:rPr>
      </w:pPr>
      <w:r>
        <w:rPr>
          <w:rFonts w:hint="eastAsia" w:ascii="楷体_GB2312" w:eastAsia="楷体_GB2312" w:cs="DengXian-Bold"/>
          <w:b/>
          <w:bCs/>
          <w:sz w:val="32"/>
          <w:szCs w:val="32"/>
        </w:rPr>
        <w:t>（三）公务接待费支出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sz w:val="44"/>
        </w:rPr>
        <mc:AlternateContent>
          <mc:Choice Requires="wpg">
            <w:drawing>
              <wp:anchor distT="0" distB="0" distL="114300" distR="114300" simplePos="0" relativeHeight="251687936"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85" name="组合 85"/>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86"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7"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87936;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CosVcQnAwAA7ggAAA4AAAAAAAAA&#10;AQAgAAAAKgEAAGRycy9lMm9Eb2MueG1sUEsFBgAAAAAGAAYAWQEAAMM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5eMcQ74AAADb&#10;AAAADwAAAGRycy9kb3ducmV2LnhtbEWPzWsCMRTE74L/Q3iF3jTZgqtsjR7E0uKpfoDX5+Z1d7ub&#10;lyVJ/fjvG0HwOMzMb5j58mo7cSYfGscasrECQVw603Cl4bD/GM1AhIhssHNMGm4UYLkYDuZYGHfh&#10;LZ13sRIJwqFADXWMfSFlKGuyGMauJ07ej/MWY5K+ksbjJcFtJ9+UyqXFhtNCjT2tairb3Z/V0B6m&#10;341aff4eN20+8evsNJ34k9avL5l6BxHpGp/hR/vLaJjlcP+SfoBc/A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eMcQ7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Awb97rwAAADb&#10;AAAADwAAAGRycy9kb3ducmV2LnhtbEWPwWrDMBBE74X+g9hCbo3kHhLjRjbEkJJjmjTtdbG2tom1&#10;MpISO39fFQo9DjPzhtlUsx3EjXzoHWvIlgoEceNMz62Gj9PuOQcRIrLBwTFpuFOAqnx82GBh3MTv&#10;dDvGViQIhwI1dDGOhZSh6chiWLqROHnfzluMSfpWGo9TgttBvii1khZ7TgsdjlR31FyOV6thddjW&#10;rjnlb5/+q1cHd93d8/VZ68VTpl5BRJrjf/ivvTca8jX8fkk/QJY/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MG/e68AAAA&#10;2wAAAA8AAAAAAAAAAQAgAAAAIgAAAGRycy9kb3ducmV2LnhtbFBLAQIUABQAAAAIAIdO4kAzLwWe&#10;OwAAADkAAAAQAAAAAAAAAAEAIAAAAAsBAABkcnMvc2hhcGV4bWwueG1sUEsFBgAAAAAGAAYAWwEA&#10;ALUD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r>
        <w:rPr>
          <w:rFonts w:hint="eastAsia" w:ascii="仿宋_GB2312" w:eastAsia="仿宋_GB2312" w:cs="DengXian-Regular"/>
          <w:sz w:val="32"/>
          <w:szCs w:val="32"/>
        </w:rPr>
        <w:t>本部门2018年度</w:t>
      </w:r>
      <w:r>
        <w:rPr>
          <w:rFonts w:hint="eastAsia" w:ascii="仿宋_GB2312" w:eastAsia="仿宋_GB2312" w:cs="DengXian-Regular"/>
          <w:sz w:val="32"/>
          <w:szCs w:val="32"/>
          <w:lang w:val="en-US" w:eastAsia="zh-CN"/>
        </w:rPr>
        <w:t>未发生</w:t>
      </w:r>
      <w:r>
        <w:rPr>
          <w:rFonts w:hint="eastAsia" w:ascii="仿宋_GB2312" w:eastAsia="仿宋_GB2312" w:cs="DengXian-Regular"/>
          <w:sz w:val="32"/>
          <w:szCs w:val="32"/>
        </w:rPr>
        <w:t>公务接待</w:t>
      </w:r>
      <w:r>
        <w:rPr>
          <w:rFonts w:hint="eastAsia" w:ascii="仿宋_GB2312" w:eastAsia="仿宋_GB2312" w:cs="DengXian-Regular"/>
          <w:sz w:val="32"/>
          <w:szCs w:val="32"/>
          <w:lang w:eastAsia="zh-CN"/>
        </w:rPr>
        <w:t>。</w:t>
      </w:r>
    </w:p>
    <w:p>
      <w:pPr>
        <w:pStyle w:val="3"/>
        <w:spacing w:before="0" w:after="0" w:line="500" w:lineRule="exact"/>
        <w:ind w:firstLine="643" w:firstLineChars="200"/>
        <w:rPr>
          <w:rFonts w:ascii="黑体" w:eastAsia="黑体" w:cs="Times New Roman"/>
          <w:shd w:val="pct10" w:color="auto" w:fill="FFFFFF"/>
        </w:rPr>
      </w:pPr>
      <w:r>
        <w:rPr>
          <w:rFonts w:hint="eastAsia" w:ascii="黑体" w:eastAsia="黑体"/>
          <w:szCs w:val="40"/>
        </w:rPr>
        <w:t>六、绩效预算情况说明</w:t>
      </w:r>
    </w:p>
    <w:p>
      <w:pPr>
        <w:keepNext w:val="0"/>
        <w:keepLines w:val="0"/>
        <w:pageBreakBefore w:val="0"/>
        <w:widowControl w:val="0"/>
        <w:kinsoku/>
        <w:wordWrap/>
        <w:overflowPunct/>
        <w:topLinePunct w:val="0"/>
        <w:autoSpaceDE/>
        <w:autoSpaceDN/>
        <w:bidi w:val="0"/>
        <w:adjustRightInd w:val="0"/>
        <w:snapToGrid w:val="0"/>
        <w:spacing w:after="0" w:line="50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绩效管理工作开展情况。根据《关于开展2018年度财政专项资金部门绩效自评价工作的通知》（石财绩[2019]1号），本单位认真开展了预算绩效管理改革开展情况自查，对部门全面规范绩效预算编制、严格预算执行管理、推进绩效评价工作、推进预决算信息公开等方面进行了自评，考核结果为优秀。</w:t>
      </w:r>
    </w:p>
    <w:p>
      <w:pPr>
        <w:keepNext w:val="0"/>
        <w:keepLines w:val="0"/>
        <w:pageBreakBefore w:val="0"/>
        <w:widowControl w:val="0"/>
        <w:kinsoku/>
        <w:wordWrap/>
        <w:overflowPunct/>
        <w:topLinePunct w:val="0"/>
        <w:autoSpaceDE/>
        <w:autoSpaceDN/>
        <w:bidi w:val="0"/>
        <w:adjustRightInd w:val="0"/>
        <w:snapToGrid w:val="0"/>
        <w:spacing w:after="0" w:line="50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预算项目绩效评价开展情况。根据预算绩效管理要求，本单位组织对2018年度一般公共预算项目支出全面开展绩效自评，涉及党教经费、宣传费、石家庄日报专版费、网络舆情中心监管运行费、网群建设费、中心组学习经费、践行社会主义核心价值观公益宣传、文化产业发展及文化事业扶持资金、爱国主义基地管护费、旅发大会期间宣传费用等10个项目，涉及资金4546.05万元。从评价情况看，评价结果为优秀的项目有9个，良好的项目有1个。</w:t>
      </w:r>
    </w:p>
    <w:p>
      <w:pPr>
        <w:keepNext w:val="0"/>
        <w:keepLines w:val="0"/>
        <w:pageBreakBefore w:val="0"/>
        <w:widowControl w:val="0"/>
        <w:kinsoku/>
        <w:wordWrap/>
        <w:overflowPunct/>
        <w:topLinePunct w:val="0"/>
        <w:autoSpaceDE/>
        <w:autoSpaceDN/>
        <w:bidi w:val="0"/>
        <w:adjustRightInd w:val="0"/>
        <w:snapToGrid w:val="0"/>
        <w:spacing w:after="0" w:line="560" w:lineRule="exact"/>
        <w:ind w:firstLine="640" w:firstLineChars="200"/>
        <w:textAlignment w:val="auto"/>
        <w:rPr>
          <w:rFonts w:ascii="仿宋_GB2312" w:eastAsia="仿宋_GB2312" w:cs="DengXian-Regular"/>
          <w:sz w:val="32"/>
          <w:szCs w:val="32"/>
          <w:shd w:val="pct10" w:color="auto" w:fill="FFFFFF"/>
        </w:rPr>
      </w:pPr>
      <w:r>
        <w:rPr>
          <w:rFonts w:hint="eastAsia" w:ascii="仿宋_GB2312" w:hAnsi="仿宋_GB2312" w:eastAsia="仿宋_GB2312" w:cs="仿宋_GB2312"/>
          <w:sz w:val="32"/>
          <w:szCs w:val="32"/>
        </w:rPr>
        <w:t>（三）预算项目绩效自评选例根据年初设定的绩效目标，</w:t>
      </w:r>
      <w:r>
        <w:rPr>
          <w:rFonts w:hint="eastAsia" w:ascii="仿宋_GB2312" w:hAnsi="仿宋_GB2312" w:eastAsia="仿宋_GB2312" w:cs="仿宋_GB2312"/>
          <w:sz w:val="32"/>
          <w:szCs w:val="32"/>
          <w:lang w:val="en-US" w:eastAsia="zh-CN"/>
        </w:rPr>
        <w:t>9个</w:t>
      </w:r>
      <w:r>
        <w:rPr>
          <w:rFonts w:hint="eastAsia" w:ascii="仿宋_GB2312" w:hAnsi="仿宋_GB2312" w:eastAsia="仿宋_GB2312" w:cs="仿宋_GB2312"/>
          <w:sz w:val="32"/>
          <w:szCs w:val="32"/>
        </w:rPr>
        <w:t>专项项目绩效自评结果为优秀，良好的项目1个。项目全年预算数为</w:t>
      </w:r>
      <w:r>
        <w:rPr>
          <w:rFonts w:hint="eastAsia" w:ascii="仿宋_GB2312" w:hAnsi="仿宋_GB2312" w:eastAsia="仿宋_GB2312" w:cs="仿宋_GB2312"/>
          <w:sz w:val="32"/>
          <w:szCs w:val="32"/>
          <w:lang w:val="en-US" w:eastAsia="zh-CN"/>
        </w:rPr>
        <w:t>1185.1</w:t>
      </w:r>
      <w:r>
        <w:rPr>
          <w:rFonts w:hint="eastAsia" w:ascii="仿宋_GB2312" w:hAnsi="仿宋_GB2312" w:eastAsia="仿宋_GB2312" w:cs="仿宋_GB2312"/>
          <w:sz w:val="32"/>
          <w:szCs w:val="32"/>
        </w:rPr>
        <w:t>万元，执行数为4546.05万元，完成预算</w:t>
      </w:r>
      <w:r>
        <w:rPr>
          <w:rFonts w:hint="eastAsia" w:ascii="仿宋_GB2312" w:hAnsi="仿宋_GB2312" w:eastAsia="仿宋_GB2312" w:cs="仿宋_GB2312"/>
          <w:sz w:val="32"/>
          <w:szCs w:val="32"/>
          <w:lang w:val="en-US" w:eastAsia="zh-CN"/>
        </w:rPr>
        <w:t>383.60</w:t>
      </w:r>
      <w:r>
        <w:rPr>
          <w:rFonts w:hint="eastAsia" w:ascii="仿宋_GB2312" w:hAnsi="仿宋_GB2312" w:eastAsia="仿宋_GB2312" w:cs="仿宋_GB2312"/>
          <w:sz w:val="32"/>
          <w:szCs w:val="32"/>
        </w:rPr>
        <w:t>%。主要是完成全区宣传思想文化及精神文明建设工作，文化产业发展及文化事业扶持资金、爱国主义基地管护费、旅发大会期间宣传费用。牢牢把握</w:t>
      </w:r>
      <w:r>
        <w:rPr>
          <w:rFonts w:hint="eastAsia" w:ascii="仿宋_GB2312" w:hAnsi="仿宋_GB2312" w:eastAsia="仿宋_GB2312" w:cs="仿宋_GB2312"/>
          <w:sz w:val="32"/>
          <w:szCs w:val="32"/>
          <w:lang w:val="en-US" w:eastAsia="zh-CN"/>
        </w:rPr>
        <w:t>了</w:t>
      </w:r>
      <w:r>
        <w:rPr>
          <w:rFonts w:hint="eastAsia" w:ascii="仿宋_GB2312" w:hAnsi="仿宋_GB2312" w:eastAsia="仿宋_GB2312" w:cs="仿宋_GB2312"/>
          <w:sz w:val="32"/>
          <w:szCs w:val="32"/>
        </w:rPr>
        <w:t>意识形态工作的主导权、领导权和话语权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确保各项业务工作谋划到位、顺利开展，保障机关工作正常高效运转。</w:t>
      </w:r>
    </w:p>
    <w:p>
      <w:pPr>
        <w:pStyle w:val="3"/>
        <w:pageBreakBefore w:val="0"/>
        <w:kinsoku/>
        <w:wordWrap/>
        <w:overflowPunct/>
        <w:topLinePunct w:val="0"/>
        <w:autoSpaceDE/>
        <w:autoSpaceDN/>
        <w:bidi w:val="0"/>
        <w:spacing w:before="0" w:after="0" w:line="560" w:lineRule="exact"/>
        <w:ind w:firstLine="640" w:firstLineChars="200"/>
        <w:textAlignment w:val="auto"/>
        <w:rPr>
          <w:rFonts w:ascii="黑体" w:eastAsia="黑体" w:cs="Times New Roman"/>
          <w:b w:val="0"/>
          <w:bCs w:val="0"/>
        </w:rPr>
      </w:pPr>
      <w:r>
        <w:rPr>
          <w:rFonts w:hint="eastAsia" w:ascii="黑体" w:eastAsia="黑体" w:cs="Times New Roman"/>
          <w:b w:val="0"/>
          <w:bCs w:val="0"/>
        </w:rPr>
        <w:t>七、其他重要事项的说明</w:t>
      </w:r>
    </w:p>
    <w:p>
      <w:pPr>
        <w:pStyle w:val="4"/>
        <w:pageBreakBefore w:val="0"/>
        <w:kinsoku/>
        <w:wordWrap/>
        <w:overflowPunct/>
        <w:topLinePunct w:val="0"/>
        <w:autoSpaceDE/>
        <w:autoSpaceDN/>
        <w:bidi w:val="0"/>
        <w:spacing w:before="0" w:after="0" w:line="560" w:lineRule="exact"/>
        <w:ind w:firstLine="643" w:firstLineChars="200"/>
        <w:textAlignment w:val="auto"/>
        <w:rPr>
          <w:rFonts w:ascii="楷体_GB2312" w:eastAsia="楷体_GB2312" w:cs="DengXian-Bold"/>
        </w:rPr>
      </w:pPr>
      <w:r>
        <w:rPr>
          <w:rFonts w:hint="eastAsia" w:ascii="楷体_GB2312" w:eastAsia="楷体_GB2312" w:cs="DengXian-Bold"/>
        </w:rPr>
        <w:t>（一）机关运行经费情况</w:t>
      </w:r>
    </w:p>
    <w:p>
      <w:pPr>
        <w:pageBreakBefore w:val="0"/>
        <w:kinsoku/>
        <w:wordWrap/>
        <w:overflowPunct/>
        <w:topLinePunct w:val="0"/>
        <w:autoSpaceDE/>
        <w:autoSpaceDN/>
        <w:bidi w:val="0"/>
        <w:adjustRightInd w:val="0"/>
        <w:snapToGrid w:val="0"/>
        <w:spacing w:after="0" w:line="560" w:lineRule="exact"/>
        <w:ind w:firstLine="640" w:firstLineChars="200"/>
        <w:textAlignment w:val="auto"/>
        <w:rPr>
          <w:rFonts w:ascii="仿宋_GB2312" w:eastAsia="仿宋_GB2312" w:cs="DengXian-Regular"/>
          <w:sz w:val="32"/>
          <w:szCs w:val="32"/>
        </w:rPr>
      </w:pPr>
      <w:r>
        <w:rPr>
          <w:rFonts w:hint="eastAsia" w:ascii="仿宋_GB2312" w:eastAsia="仿宋_GB2312" w:cs="DengXian-Regular"/>
          <w:sz w:val="32"/>
          <w:szCs w:val="32"/>
        </w:rPr>
        <w:t>本部门2018年度机关运行经费支出</w:t>
      </w:r>
      <w:r>
        <w:rPr>
          <w:rFonts w:hint="eastAsia" w:ascii="仿宋_GB2312" w:eastAsia="仿宋_GB2312" w:cs="DengXian-Regular"/>
          <w:sz w:val="32"/>
          <w:szCs w:val="32"/>
          <w:lang w:val="en-US" w:eastAsia="zh-CN"/>
        </w:rPr>
        <w:t>18.12</w:t>
      </w:r>
      <w:r>
        <w:rPr>
          <w:rFonts w:hint="eastAsia" w:ascii="仿宋_GB2312" w:eastAsia="仿宋_GB2312" w:cs="DengXian-Regular"/>
          <w:sz w:val="32"/>
          <w:szCs w:val="32"/>
        </w:rPr>
        <w:t>万元，比年初预算数增加</w:t>
      </w:r>
      <w:r>
        <w:rPr>
          <w:rFonts w:hint="eastAsia" w:ascii="仿宋_GB2312" w:eastAsia="仿宋_GB2312" w:cs="DengXian-Regular"/>
          <w:sz w:val="32"/>
          <w:szCs w:val="32"/>
          <w:lang w:val="en-US" w:eastAsia="zh-CN"/>
        </w:rPr>
        <w:t>0.82</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4.74</w:t>
      </w:r>
      <w:r>
        <w:rPr>
          <w:rFonts w:hint="eastAsia" w:ascii="仿宋_GB2312" w:eastAsia="仿宋_GB2312" w:cs="DengXian-Regular"/>
          <w:sz w:val="32"/>
          <w:szCs w:val="32"/>
        </w:rPr>
        <w:t>%。主要原因是</w:t>
      </w:r>
      <w:r>
        <w:rPr>
          <w:rFonts w:hint="eastAsia" w:ascii="仿宋_GB2312" w:eastAsia="仿宋_GB2312" w:cs="DengXian-Regular"/>
          <w:sz w:val="32"/>
          <w:szCs w:val="32"/>
          <w:lang w:val="en-US" w:eastAsia="zh-CN"/>
        </w:rPr>
        <w:t>人员增加</w:t>
      </w:r>
      <w:r>
        <w:rPr>
          <w:rFonts w:hint="eastAsia" w:ascii="仿宋_GB2312" w:eastAsia="仿宋_GB2312" w:cs="DengXian-Regular"/>
          <w:sz w:val="32"/>
          <w:szCs w:val="32"/>
        </w:rPr>
        <w:t>。</w:t>
      </w:r>
    </w:p>
    <w:p>
      <w:pPr>
        <w:pStyle w:val="4"/>
        <w:pageBreakBefore w:val="0"/>
        <w:kinsoku/>
        <w:wordWrap/>
        <w:overflowPunct/>
        <w:topLinePunct w:val="0"/>
        <w:autoSpaceDE/>
        <w:autoSpaceDN/>
        <w:bidi w:val="0"/>
        <w:spacing w:before="0" w:after="0" w:line="560" w:lineRule="exact"/>
        <w:ind w:firstLine="643" w:firstLineChars="200"/>
        <w:textAlignment w:val="auto"/>
        <w:rPr>
          <w:rFonts w:ascii="楷体_GB2312" w:eastAsia="楷体_GB2312" w:cs="DengXian-Bold"/>
        </w:rPr>
      </w:pPr>
      <w:r>
        <w:rPr>
          <w:rFonts w:hint="eastAsia" w:ascii="楷体_GB2312" w:eastAsia="楷体_GB2312" w:cs="DengXian-Bold"/>
        </w:rPr>
        <w:t>（二）政府采购情况</w:t>
      </w:r>
    </w:p>
    <w:p>
      <w:pPr>
        <w:pageBreakBefore w:val="0"/>
        <w:widowControl/>
        <w:kinsoku/>
        <w:wordWrap/>
        <w:overflowPunct/>
        <w:topLinePunct w:val="0"/>
        <w:autoSpaceDE/>
        <w:autoSpaceDN/>
        <w:bidi w:val="0"/>
        <w:spacing w:after="0" w:line="560" w:lineRule="exact"/>
        <w:ind w:firstLine="640" w:firstLineChars="200"/>
        <w:jc w:val="left"/>
        <w:textAlignment w:val="auto"/>
        <w:rPr>
          <w:rFonts w:ascii="仿宋_GB2312" w:eastAsia="仿宋_GB2312" w:cs="DengXian-Regular"/>
          <w:sz w:val="32"/>
          <w:szCs w:val="32"/>
        </w:rPr>
      </w:pPr>
      <w:r>
        <w:rPr>
          <w:rFonts w:hint="eastAsia" w:ascii="仿宋_GB2312" w:eastAsia="仿宋_GB2312" w:cs="DengXian-Regular"/>
          <w:sz w:val="32"/>
          <w:szCs w:val="32"/>
        </w:rPr>
        <w:t>本部门2018年度政府采购支出总额776</w:t>
      </w:r>
      <w:r>
        <w:rPr>
          <w:rFonts w:hint="eastAsia" w:ascii="仿宋_GB2312" w:eastAsia="仿宋_GB2312" w:cs="DengXian-Regular"/>
          <w:sz w:val="32"/>
          <w:szCs w:val="32"/>
          <w:lang w:val="en-US" w:eastAsia="zh-CN"/>
        </w:rPr>
        <w:t>.00</w:t>
      </w:r>
      <w:r>
        <w:rPr>
          <w:rFonts w:hint="eastAsia" w:ascii="仿宋_GB2312"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142.00</w:t>
      </w:r>
      <w:r>
        <w:rPr>
          <w:rFonts w:ascii="仿宋_GB2312" w:hAnsi="仿宋_GB2312" w:eastAsia="仿宋_GB2312" w:cs="仿宋_GB2312"/>
          <w:color w:val="000000"/>
          <w:kern w:val="0"/>
          <w:sz w:val="32"/>
          <w:szCs w:val="32"/>
          <w:lang w:bidi="ar"/>
        </w:rPr>
        <w:t>万元、政府采购工程支出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万元、政府采购服务支出 </w:t>
      </w:r>
      <w:r>
        <w:rPr>
          <w:rFonts w:hint="eastAsia" w:ascii="仿宋_GB2312" w:hAnsi="仿宋_GB2312" w:eastAsia="仿宋_GB2312" w:cs="仿宋_GB2312"/>
          <w:color w:val="000000"/>
          <w:kern w:val="0"/>
          <w:sz w:val="32"/>
          <w:szCs w:val="32"/>
          <w:lang w:val="en-US" w:eastAsia="zh-CN" w:bidi="ar"/>
        </w:rPr>
        <w:t>634.00</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w:t>
      </w:r>
    </w:p>
    <w:p>
      <w:pPr>
        <w:pStyle w:val="4"/>
        <w:pageBreakBefore w:val="0"/>
        <w:kinsoku/>
        <w:wordWrap/>
        <w:overflowPunct/>
        <w:topLinePunct w:val="0"/>
        <w:autoSpaceDE/>
        <w:autoSpaceDN/>
        <w:bidi w:val="0"/>
        <w:spacing w:before="0" w:after="0" w:line="560" w:lineRule="exact"/>
        <w:ind w:firstLine="643" w:firstLineChars="200"/>
        <w:textAlignment w:val="auto"/>
        <w:rPr>
          <w:rFonts w:ascii="楷体_GB2312" w:eastAsia="楷体_GB2312" w:cs="DengXian-Bold"/>
        </w:rPr>
      </w:pPr>
      <w:r>
        <w:rPr>
          <w:rFonts w:hint="eastAsia" w:ascii="楷体_GB2312" w:eastAsia="楷体_GB2312" w:cs="DengXian-Bold"/>
        </w:rPr>
        <w:t>（三）国有资产占用情况</w:t>
      </w:r>
    </w:p>
    <w:p>
      <w:pPr>
        <w:pageBreakBefore w:val="0"/>
        <w:kinsoku/>
        <w:wordWrap/>
        <w:overflowPunct/>
        <w:topLinePunct w:val="0"/>
        <w:autoSpaceDE/>
        <w:autoSpaceDN/>
        <w:bidi w:val="0"/>
        <w:adjustRightInd w:val="0"/>
        <w:snapToGrid w:val="0"/>
        <w:spacing w:after="0" w:line="560" w:lineRule="exact"/>
        <w:ind w:firstLine="640" w:firstLineChars="200"/>
        <w:textAlignment w:val="auto"/>
        <w:rPr>
          <w:rFonts w:hint="default" w:ascii="仿宋_GB2312" w:eastAsia="仿宋_GB2312" w:cs="DengXian-Regular"/>
          <w:sz w:val="32"/>
          <w:szCs w:val="32"/>
          <w:lang w:val="en-US" w:eastAsia="zh-CN"/>
        </w:rPr>
      </w:pPr>
      <w:r>
        <w:rPr>
          <w:rFonts w:hint="eastAsia" w:ascii="仿宋_GB2312" w:eastAsia="仿宋_GB2312" w:cs="DengXian-Regular"/>
          <w:sz w:val="32"/>
          <w:szCs w:val="32"/>
        </w:rPr>
        <w:t>截至2018年12月31日，本部门共有车辆</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辆，</w:t>
      </w:r>
      <w:r>
        <w:rPr>
          <w:rFonts w:hint="eastAsia" w:ascii="仿宋_GB2312" w:eastAsia="仿宋_GB2312" w:cs="DengXian-Regular"/>
          <w:sz w:val="32"/>
          <w:szCs w:val="32"/>
          <w:lang w:val="en-US" w:eastAsia="zh-CN"/>
        </w:rPr>
        <w:t>与上年相比，无变化；</w:t>
      </w:r>
      <w:r>
        <w:rPr>
          <w:rFonts w:hint="eastAsia" w:ascii="仿宋_GB2312"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台（套）</w:t>
      </w:r>
      <w:r>
        <w:rPr>
          <w:rFonts w:hint="eastAsia" w:ascii="仿宋_GB2312" w:eastAsia="仿宋_GB2312" w:cs="DengXian-Regular"/>
          <w:sz w:val="32"/>
          <w:szCs w:val="32"/>
          <w:lang w:eastAsia="zh-CN"/>
        </w:rPr>
        <w:t>，</w:t>
      </w:r>
      <w:r>
        <w:rPr>
          <w:rFonts w:hint="eastAsia" w:ascii="仿宋_GB2312" w:eastAsia="仿宋_GB2312" w:cs="DengXian-Regular"/>
          <w:sz w:val="32"/>
          <w:szCs w:val="32"/>
          <w:lang w:val="en-US" w:eastAsia="zh-CN"/>
        </w:rPr>
        <w:t>与上年相比，无变化；</w:t>
      </w:r>
      <w:r>
        <w:rPr>
          <w:rFonts w:hint="eastAsia" w:ascii="仿宋_GB2312" w:eastAsia="仿宋_GB2312" w:cs="DengXian-Regular"/>
          <w:sz w:val="32"/>
          <w:szCs w:val="32"/>
        </w:rPr>
        <w:t>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台（套）</w:t>
      </w:r>
      <w:r>
        <w:rPr>
          <w:rFonts w:hint="eastAsia" w:ascii="仿宋_GB2312" w:eastAsia="仿宋_GB2312" w:cs="DengXian-Regular"/>
          <w:sz w:val="32"/>
          <w:szCs w:val="32"/>
          <w:lang w:eastAsia="zh-CN"/>
        </w:rPr>
        <w:t>，</w:t>
      </w:r>
      <w:r>
        <w:rPr>
          <w:rFonts w:hint="eastAsia" w:ascii="仿宋_GB2312" w:eastAsia="仿宋_GB2312" w:cs="DengXian-Regular"/>
          <w:sz w:val="32"/>
          <w:szCs w:val="32"/>
          <w:lang w:val="en-US" w:eastAsia="zh-CN"/>
        </w:rPr>
        <w:t>与上年相比，无变化。</w:t>
      </w:r>
    </w:p>
    <w:p>
      <w:pPr>
        <w:pStyle w:val="4"/>
        <w:pageBreakBefore w:val="0"/>
        <w:kinsoku/>
        <w:wordWrap/>
        <w:overflowPunct/>
        <w:topLinePunct w:val="0"/>
        <w:autoSpaceDE/>
        <w:autoSpaceDN/>
        <w:bidi w:val="0"/>
        <w:spacing w:before="0" w:after="0" w:line="560" w:lineRule="exact"/>
        <w:ind w:firstLine="643" w:firstLineChars="200"/>
        <w:textAlignment w:val="auto"/>
        <w:rPr>
          <w:rFonts w:ascii="楷体_GB2312" w:eastAsia="楷体_GB2312" w:cs="DengXian-Bold"/>
        </w:rPr>
      </w:pPr>
      <w:r>
        <w:rPr>
          <w:rFonts w:hint="eastAsia" w:ascii="楷体_GB2312" w:eastAsia="楷体_GB2312" w:cs="DengXian-Bold"/>
        </w:rPr>
        <w:t>（四）其他需要说明的情况</w:t>
      </w:r>
    </w:p>
    <w:p>
      <w:pPr>
        <w:pageBreakBefore w:val="0"/>
        <w:kinsoku/>
        <w:wordWrap/>
        <w:overflowPunct/>
        <w:topLinePunct w:val="0"/>
        <w:autoSpaceDE/>
        <w:autoSpaceDN/>
        <w:bidi w:val="0"/>
        <w:adjustRightInd w:val="0"/>
        <w:snapToGrid w:val="0"/>
        <w:spacing w:after="0" w:line="560" w:lineRule="exact"/>
        <w:ind w:firstLine="640" w:firstLineChars="200"/>
        <w:textAlignment w:val="auto"/>
        <w:rPr>
          <w:rFonts w:ascii="仿宋_GB2312" w:eastAsia="仿宋_GB2312" w:cs="DengXian-Regular"/>
          <w:sz w:val="32"/>
          <w:szCs w:val="32"/>
        </w:rPr>
      </w:pPr>
      <w:r>
        <w:rPr>
          <w:rFonts w:hint="eastAsia" w:ascii="仿宋_GB2312" w:eastAsia="仿宋_GB2312" w:cs="DengXian-Regular"/>
          <w:sz w:val="32"/>
          <w:szCs w:val="32"/>
        </w:rPr>
        <w:t>1、本部门2018年度政府性基金预算财政拨款收入支出决算表</w:t>
      </w:r>
      <w:r>
        <w:rPr>
          <w:rFonts w:hint="eastAsia" w:ascii="仿宋_GB2312" w:eastAsia="仿宋_GB2312" w:cs="DengXian-Regular"/>
          <w:sz w:val="32"/>
          <w:szCs w:val="32"/>
          <w:lang w:val="en-US" w:eastAsia="zh-CN"/>
        </w:rPr>
        <w:t>和</w:t>
      </w:r>
      <w:r>
        <w:rPr>
          <w:rFonts w:hint="eastAsia" w:ascii="仿宋_GB2312" w:eastAsia="仿宋_GB2312" w:cs="DengXian-Regular"/>
          <w:sz w:val="32"/>
          <w:szCs w:val="32"/>
        </w:rPr>
        <w:t>国有资本经营预算财政拨款支出决算表无收支及结转结余情况，故</w:t>
      </w:r>
      <w:r>
        <w:rPr>
          <w:rFonts w:hint="eastAsia" w:ascii="仿宋_GB2312" w:eastAsia="仿宋_GB2312" w:cs="DengXian-Regular"/>
          <w:sz w:val="32"/>
          <w:szCs w:val="32"/>
          <w:lang w:val="en-US" w:eastAsia="zh-CN"/>
        </w:rPr>
        <w:t>公开08、09</w:t>
      </w:r>
      <w:r>
        <w:rPr>
          <w:rFonts w:hint="eastAsia" w:ascii="仿宋_GB2312" w:eastAsia="仿宋_GB2312" w:cs="DengXian-Regular"/>
          <w:sz w:val="32"/>
          <w:szCs w:val="32"/>
        </w:rPr>
        <w:t>表以空表列示。</w:t>
      </w:r>
    </w:p>
    <w:p>
      <w:pPr>
        <w:pageBreakBefore w:val="0"/>
        <w:kinsoku/>
        <w:wordWrap/>
        <w:overflowPunct/>
        <w:topLinePunct w:val="0"/>
        <w:autoSpaceDE/>
        <w:autoSpaceDN/>
        <w:bidi w:val="0"/>
        <w:adjustRightInd w:val="0"/>
        <w:snapToGrid w:val="0"/>
        <w:spacing w:after="0" w:line="560" w:lineRule="exact"/>
        <w:ind w:firstLine="640" w:firstLineChars="200"/>
        <w:textAlignment w:val="auto"/>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w:t>
      </w:r>
      <w:r>
        <w:rPr>
          <w:sz w:val="44"/>
        </w:rPr>
        <mc:AlternateContent>
          <mc:Choice Requires="wpg">
            <w:drawing>
              <wp:anchor distT="0" distB="0" distL="114300" distR="114300" simplePos="0" relativeHeight="251688960"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91" name="组合 91"/>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92"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93"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88960;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HwGMnb4AAADb&#10;AAAADwAAAGRycy9kb3ducmV2LnhtbEWPS2vDMBCE74H+B7GF3hLJgTzqRskhNLTklBf0urG2tmtr&#10;ZSTl0X8fBQI5DjPzDTNbXG0rzuRD7VhDNlAgiAtnai41HPar/hREiMgGW8ek4Z8CLOYvvRnmxl14&#10;S+ddLEWCcMhRQxVjl0sZiooshoHriJP367zFmKQvpfF4SXDbyqFSY2mx5rRQYUfLiopmd7IamsNk&#10;U6vl19/PuhmP/Gd2nIz8Ueu310x9gIh0jc/wo/1tNLwP4f4l/QA5v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wGMnb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eRtML0AAADb&#10;AAAADwAAAGRycy9kb3ducmV2LnhtbEWPT2vCQBTE7wW/w/IEb3U3FmyauhEULB6t9s/1kX1NQrNv&#10;w+4m6rd3hUKPw8z8hlmtL7YTI/nQOtaQzRUI4sqZlmsNH6fdYw4iRGSDnWPScKUA63LysMLCuDO/&#10;03iMtUgQDgVqaGLsCylD1ZDFMHc9cfJ+nLcYk/S1NB7PCW47uVBqKS22nBYa7GnbUPV7HKyG5WGz&#10;ddUpf/vy3606uGF3zZ8/tZ5NM/UKItIl/of/2nuj4eUJ7l/SD5Dl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55G0wvQAA&#10;ANsAAAAPAAAAAAAAAAEAIAAAACIAAABkcnMvZG93bnJldi54bWxQSwECFAAUAAAACACHTuJAMy8F&#10;njsAAAA5AAAAEAAAAAAAAAABACAAAAAMAQAAZHJzL3NoYXBleG1sLnhtbFBLBQYAAAAABgAGAFsB&#10;AAC2Aw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r>
        <w:rPr>
          <w:rFonts w:hint="eastAsia" w:ascii="仿宋_GB2312" w:eastAsia="仿宋_GB2312" w:cs="DengXian-Regular"/>
          <w:sz w:val="32"/>
          <w:szCs w:val="32"/>
        </w:rPr>
        <w:t>果，个别数据合计项与分项之和存在小数点后差额，特此说明。</w:t>
      </w:r>
    </w:p>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8480"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5"/>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67456"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第四部分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67456;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DZZp6M3gAAAA0BAAAPAAAAAAAAAAEAIAAAACIAAABkcnMvZG93bnJldi54bWxQSwECFAAUAAAA&#10;CACHTuJAal9dpSECAAAbBAAADgAAAAAAAAABACAAAAAtAQAAZHJzL2Uyb0RvYy54bWxQSwUGAAAA&#10;AAYABgBZAQAAwAU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第四部分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名词解释</w:t>
                      </w:r>
                    </w:p>
                  </w:txbxContent>
                </v:textbox>
              </v:shape>
            </w:pict>
          </mc:Fallback>
        </mc:AlternateConten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w:t>
      </w:r>
      <w:r>
        <w:rPr>
          <w:rFonts w:hint="eastAsia" w:ascii="仿宋_GB2312" w:eastAsia="仿宋_GB2312" w:hAnsiTheme="majorEastAsia"/>
          <w:b/>
          <w:bCs/>
          <w:color w:val="000000"/>
          <w:kern w:val="0"/>
          <w:sz w:val="32"/>
          <w:szCs w:val="32"/>
        </w:rPr>
        <mc:AlternateContent>
          <mc:Choice Requires="wpg">
            <w:drawing>
              <wp:anchor distT="0" distB="0" distL="114300" distR="114300" simplePos="0" relativeHeight="251671552"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149" name="组合 149"/>
                <wp:cNvGraphicFramePr/>
                <a:graphic xmlns:a="http://schemas.openxmlformats.org/drawingml/2006/main">
                  <a:graphicData uri="http://schemas.microsoft.com/office/word/2010/wordprocessingGroup">
                    <wpg:wgp>
                      <wpg:cNvGrpSpPr/>
                      <wpg:grpSpPr>
                        <a:xfrm>
                          <a:off x="0" y="0"/>
                          <a:ext cx="3363595" cy="558165"/>
                          <a:chOff x="4551" y="52615"/>
                          <a:chExt cx="8546" cy="1398"/>
                        </a:xfrm>
                      </wpg:grpSpPr>
                      <wps:wsp>
                        <wps:cNvPr id="150"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51"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1.05pt;margin-top:39.65pt;height:43.95pt;width:264.85pt;mso-position-vertical-relative:page;z-index:251671552;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Xj0xGigDAADy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IWM/JvbAAAACwEAAA8AAAAAAAAAAQAg&#10;AAAAIgAAAGRycy9kb3ducmV2LnhtbFBLAQIUABQAAAAIAIdO4kBePTEaKAMAAPIIAAAOAAAAAAAA&#10;AAEAIAAAACoBAABkcnMvZTJvRG9jLnhtbFBLBQYAAAAABgAGAFkBAADE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KQGEQb8AAADc&#10;AAAADwAAAGRycy9kb3ducmV2LnhtbEWPT0/DMAzF70h8h8hI3FhSpG6oLNth2sTECcYkrl7jtV0b&#10;p0qyP3x7fEDiZus9v/fzfHnzg7pQTF1gC8XEgCKug+u4sbD/2jy9gEoZ2eEQmCz8UILl4v5ujpUL&#10;V/6kyy43SkI4VWihzXmstE51Sx7TJIzEoh1D9JhljY12Ea8S7gf9bMxUe+xYGlocadVS3e/O3kK/&#10;n310ZvV2+n7vp2VcF4dZGQ/WPj4U5hVUplv+N/9db53gl4Ivz8gEevE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kBhEG/&#10;AAAA3AAAAA8AAAAAAAAAAQAgAAAAIgAAAGRycy9kb3ducmV2LnhtbFBLAQIUABQAAAAIAIdO4kAz&#10;LwWeOwAAADkAAAAQAAAAAAAAAAEAIAAAAA4BAABkcnMvc2hhcGV4bWwueG1sUEsFBgAAAAAGAAYA&#10;WwEAALgD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azJzTrkAAADc&#10;AAAADwAAAGRycy9kb3ducmV2LnhtbEVPS4vCMBC+L/gfwgje1qSCbqlGQcFlj769Ds3YFptJSeLr&#10;35uFhb3Nx/ec2eJpW3EnHxrHGrKhAkFcOtNwpeGwX3/mIEJENtg6Jg0vCrCY9z5mWBj34C3dd7ES&#10;KYRDgRrqGLtCylDWZDEMXUecuIvzFmOCvpLG4yOF21aOlJpIiw2nhho7WtVUXnc3q2GyWa5cuc+/&#10;T/7cqI27rV/511HrQT9TUxCRnvFf/Of+MWn+OIPfZ9IFcv4G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syc065AAAA3A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v:textbox>
                </v:rect>
                <w10:anchorlock/>
              </v:group>
            </w:pict>
          </mc:Fallback>
        </mc:AlternateContent>
      </w:r>
      <w:r>
        <w:rPr>
          <w:rFonts w:hint="eastAsia" w:ascii="仿宋_GB2312" w:eastAsia="仿宋_GB2312" w:hAnsiTheme="majorEastAsia"/>
          <w:b/>
          <w:bCs/>
          <w:color w:val="000000"/>
          <w:kern w:val="0"/>
          <w:sz w:val="32"/>
          <w:szCs w:val="32"/>
        </w:rPr>
        <w:t>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rPr>
          <w:rFonts w:hint="eastAsia" w:ascii="仿宋_GB2312" w:eastAsia="仿宋_GB2312" w:hAnsiTheme="majorEastAsia"/>
          <w:b/>
          <w:bCs/>
          <w:color w:val="000000"/>
          <w:kern w:val="0"/>
          <w:sz w:val="32"/>
          <w:szCs w:val="32"/>
        </w:rPr>
        <mc:AlternateContent>
          <mc:Choice Requires="wpg">
            <w:drawing>
              <wp:anchor distT="0" distB="0" distL="114300" distR="114300" simplePos="0" relativeHeight="251689984"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94" name="组合 94"/>
                <wp:cNvGraphicFramePr/>
                <a:graphic xmlns:a="http://schemas.openxmlformats.org/drawingml/2006/main">
                  <a:graphicData uri="http://schemas.microsoft.com/office/word/2010/wordprocessingGroup">
                    <wpg:wgp>
                      <wpg:cNvGrpSpPr/>
                      <wpg:grpSpPr>
                        <a:xfrm>
                          <a:off x="0" y="0"/>
                          <a:ext cx="3363595" cy="558165"/>
                          <a:chOff x="4551" y="52615"/>
                          <a:chExt cx="8546" cy="1398"/>
                        </a:xfrm>
                      </wpg:grpSpPr>
                      <wps:wsp>
                        <wps:cNvPr id="95"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96"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1.05pt;margin-top:39.65pt;height:43.95pt;width:264.85pt;mso-position-vertical-relative:page;z-index:251689984;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hYz8m9sAAAALAQAADwAAAAAAAAAB&#10;ACAAAAAiAAAAZHJzL2Rvd25yZXYueG1sUEsBAhQAFAAAAAgAh07iQCVSPPoqAwAA7ggAAA4AAAAA&#10;AAAAAQAgAAAAKgEAAGRycy9lMm9Eb2MueG1sUEsFBgAAAAAGAAYAWQEAAMY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kOgU6b0AAADb&#10;AAAADwAAAGRycy9kb3ducmV2LnhtbEWPQWsCMRSE74X+h/AK3mqywmpdjR7EYvFUrdDrc/PcXXfz&#10;siSp2n9vCkKPw8x8w8yXN9uJC/nQONaQDRUI4tKZhisNh6/31zcQISIb7ByThl8KsFw8P82xMO7K&#10;O7rsYyUShEOBGuoY+0LKUNZkMQxdT5y8k/MWY5K+ksbjNcFtJ0dKjaXFhtNCjT2tairb/Y/V0B4m&#10;n41abc7f23ac+3V2nOT+qPXgJVMzEJFu8T/8aH8YDdMc/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6BTp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6ZPOqLsAAADb&#10;AAAADwAAAGRycy9kb3ducmV2LnhtbEWPS4sCMRCE74L/IbSwN030MI6jUVhB2aPr89pM2plhJ50h&#10;ia9/vxEW9lhU1VfUYvW0rbiTD41jDeORAkFcOtNwpeF42AxzECEiG2wdk4YXBVgt+70FFsY9+Jvu&#10;+1iJBOFQoIY6xq6QMpQ1WQwj1xEn7+q8xZikr6Tx+Ehw28qJUpm02HBaqLGjdU3lz/5mNWS7z7Ur&#10;D/n27C+N2rnb5pVPT1p/DMZqDiLSM/6H/9pfRsMsg/eX9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ZPOqL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v:textbox>
                </v:rect>
                <w10:anchorlock/>
              </v:group>
            </w:pict>
          </mc:Fallback>
        </mc:AlternateContent>
      </w:r>
      <w:r>
        <w:rPr>
          <w:rFonts w:hint="eastAsia" w:ascii="仿宋_GB2312" w:eastAsia="仿宋_GB2312" w:hAnsiTheme="majorEastAsia"/>
          <w:color w:val="000000"/>
          <w:kern w:val="0"/>
          <w:sz w:val="32"/>
          <w:szCs w:val="32"/>
        </w:rPr>
        <w:t>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w:t>
      </w:r>
      <w:r>
        <w:rPr>
          <w:rFonts w:hint="eastAsia" w:ascii="仿宋_GB2312" w:eastAsia="仿宋_GB2312" w:hAnsiTheme="majorEastAsia"/>
          <w:b/>
          <w:bCs/>
          <w:color w:val="000000"/>
          <w:kern w:val="0"/>
          <w:sz w:val="32"/>
          <w:szCs w:val="32"/>
        </w:rPr>
        <mc:AlternateContent>
          <mc:Choice Requires="wpg">
            <w:drawing>
              <wp:anchor distT="0" distB="0" distL="114300" distR="114300" simplePos="0" relativeHeight="251691008"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97" name="组合 97"/>
                <wp:cNvGraphicFramePr/>
                <a:graphic xmlns:a="http://schemas.openxmlformats.org/drawingml/2006/main">
                  <a:graphicData uri="http://schemas.microsoft.com/office/word/2010/wordprocessingGroup">
                    <wpg:wgp>
                      <wpg:cNvGrpSpPr/>
                      <wpg:grpSpPr>
                        <a:xfrm>
                          <a:off x="0" y="0"/>
                          <a:ext cx="3363595" cy="558165"/>
                          <a:chOff x="4551" y="52615"/>
                          <a:chExt cx="8546" cy="1398"/>
                        </a:xfrm>
                      </wpg:grpSpPr>
                      <wps:wsp>
                        <wps:cNvPr id="98"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99"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1.05pt;margin-top:39.65pt;height:43.95pt;width:264.85pt;mso-position-vertical-relative:page;z-index:251691008;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hYz8m9sAAAALAQAADwAAAAAAAAABACAA&#10;AAAiAAAAZHJzL2Rvd25yZXYueG1sUEsBAhQAFAAAAAgAh07iQOLTqwMnAwAA7ggAAA4AAAAAAAAA&#10;AQAgAAAAKgEAAGRycy9lMm9Eb2MueG1sUEsFBgAAAAAGAAYAWQEAAMM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fum7d7oAAADb&#10;AAAADwAAAGRycy9kb3ducmV2LnhtbEVPyW7CMBC9I/UfrKnUG9hBYmmK4YBART2VReI6xEMSEo8j&#10;22x/Xx8qcXx6+2zxsK24kQ+1Yw3ZQIEgLpypudRw2K/7UxAhIhtsHZOGJwVYzN96M8yNu/OWbrtY&#10;ihTCIUcNVYxdLmUoKrIYBq4jTtzZeYsxQV9K4/Gewm0rh0qNpcWaU0OFHS0rKprd1WpoDpPfWi2/&#10;L8efZjzyq+w0GfmT1h/vmfoCEekRX+J/98Zo+Exj05f0A+T8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6bt3ugAAANsA&#10;AAAPAAAAAAAAAAEAIAAAACIAAABkcnMvZG93bnJldi54bWxQSwECFAAUAAAACACHTuJAMy8FnjsA&#10;AAA5AAAAEAAAAAAAAAABACAAAAAJAQAAZHJzL3NoYXBleG1sLnhtbFBLBQYAAAAABgAGAFsBAACz&#10;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mAxa2rsAAADb&#10;AAAADwAAAGRycy9kb3ducmV2LnhtbEWPS4sCMRCE78L+h9AL3jRxDzozGoUVXDz63L02k3Zm2Eln&#10;SOLr3xtB8FhU1VfUbHGzrbiQD41jDaOhAkFcOtNwpeGwXw0yECEiG2wdk4Y7BVjMP3ozLIy78pYu&#10;u1iJBOFQoIY6xq6QMpQ1WQxD1xEn7+S8xZikr6TxeE1w28ovpcbSYsNpocaOljWV/7uz1TDefC9d&#10;uc9+fv1fozbuvLpnk6PW/c+RmoKIdIvv8Ku9NhryHJ5f0g+Q8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Axa2r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v:textbox>
                </v:rect>
                <w10:anchorlock/>
              </v:group>
            </w:pict>
          </mc:Fallback>
        </mc:AlternateContent>
      </w:r>
      <w:r>
        <w:rPr>
          <w:rFonts w:hint="eastAsia" w:ascii="仿宋_GB2312" w:eastAsia="仿宋_GB2312" w:hAnsiTheme="majorEastAsia"/>
          <w:b/>
          <w:bCs/>
          <w:color w:val="000000"/>
          <w:kern w:val="0"/>
          <w:sz w:val="32"/>
          <w:szCs w:val="32"/>
        </w:rPr>
        <w:t>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69504"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1"/>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922B199A-C1F2-4FCB-B81A-C6F5C61701F2}"/>
  </w:font>
  <w:font w:name="黑体">
    <w:panose1 w:val="02010600030101010101"/>
    <w:charset w:val="86"/>
    <w:family w:val="auto"/>
    <w:pitch w:val="default"/>
    <w:sig w:usb0="800002BF" w:usb1="38CF7CFA" w:usb2="00000016" w:usb3="00000000" w:csb0="00040001" w:csb1="00000000"/>
    <w:embedRegular r:id="rId2" w:fontKey="{1B31D387-8B98-4121-9452-C8D9773B145F}"/>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embedRegular r:id="rId3" w:fontKey="{04B183D9-2D6F-4F7F-8FAD-96DA50BD2246}"/>
  </w:font>
  <w:font w:name="楷体">
    <w:panose1 w:val="02010609060101010101"/>
    <w:charset w:val="86"/>
    <w:family w:val="modern"/>
    <w:pitch w:val="default"/>
    <w:sig w:usb0="800002BF" w:usb1="38CF7CFA" w:usb2="00000016" w:usb3="00000000" w:csb0="00040001" w:csb1="00000000"/>
    <w:embedRegular r:id="rId4" w:fontKey="{04E68C03-4D0A-4940-895C-BF806089B509}"/>
  </w:font>
  <w:font w:name="楷体_GB2312">
    <w:panose1 w:val="02010609030101010101"/>
    <w:charset w:val="86"/>
    <w:family w:val="modern"/>
    <w:pitch w:val="default"/>
    <w:sig w:usb0="00000001" w:usb1="080E0000" w:usb2="00000000" w:usb3="00000000" w:csb0="00040000" w:csb1="00000000"/>
    <w:embedRegular r:id="rId5" w:fontKey="{33017C74-E8FD-4000-9C47-35835D06BFB4}"/>
  </w:font>
  <w:font w:name="仿宋_GB2312">
    <w:panose1 w:val="02010609030101010101"/>
    <w:charset w:val="86"/>
    <w:family w:val="modern"/>
    <w:pitch w:val="default"/>
    <w:sig w:usb0="00000001" w:usb1="080E0000" w:usb2="00000000" w:usb3="00000000" w:csb0="00040000" w:csb1="00000000"/>
    <w:embedRegular r:id="rId6" w:fontKey="{B31A08DD-D009-4C68-AA19-E43CA2240092}"/>
  </w:font>
  <w:font w:name="ArialUnicodeMS">
    <w:altName w:val="Malgun Gothic"/>
    <w:panose1 w:val="00000000000000000000"/>
    <w:charset w:val="81"/>
    <w:family w:val="auto"/>
    <w:pitch w:val="default"/>
    <w:sig w:usb0="00000000" w:usb1="00000000" w:usb2="00000010" w:usb3="00000000" w:csb0="00080001" w:csb1="00000000"/>
    <w:embedRegular r:id="rId7" w:fontKey="{0BC59388-9BC8-45F7-BC55-F0F3B966AF98}"/>
  </w:font>
  <w:font w:name="MS-UIGothic,Bold">
    <w:altName w:val="Malgun Gothic"/>
    <w:panose1 w:val="00000000000000000000"/>
    <w:charset w:val="81"/>
    <w:family w:val="auto"/>
    <w:pitch w:val="default"/>
    <w:sig w:usb0="00000000" w:usb1="00000000" w:usb2="00000010" w:usb3="00000000" w:csb0="00080000" w:csb1="00000000"/>
    <w:embedRegular r:id="rId8" w:fontKey="{CED25E9F-8846-424D-8FFA-FCE2FA545CB4}"/>
  </w:font>
  <w:font w:name="DengXian-Regular">
    <w:altName w:val="宋体"/>
    <w:panose1 w:val="00000000000000000000"/>
    <w:charset w:val="86"/>
    <w:family w:val="auto"/>
    <w:pitch w:val="default"/>
    <w:sig w:usb0="00000000" w:usb1="00000000" w:usb2="00000010" w:usb3="00000000" w:csb0="00040001" w:csb1="00000000"/>
    <w:embedRegular r:id="rId9" w:fontKey="{217C649F-02A9-4145-ACF2-2F206D5B828D}"/>
  </w:font>
  <w:font w:name="DengXian-Bold">
    <w:altName w:val="宋体"/>
    <w:panose1 w:val="00000000000000000000"/>
    <w:charset w:val="86"/>
    <w:family w:val="auto"/>
    <w:pitch w:val="default"/>
    <w:sig w:usb0="00000000" w:usb1="00000000" w:usb2="00000010" w:usb3="00000000" w:csb0="00040001" w:csb1="00000000"/>
    <w:embedRegular r:id="rId10" w:fontKey="{8F346B1B-EDF7-43AF-87C7-4968A3E7A076}"/>
  </w:font>
  <w:font w:name="TimesNewRomanPSMT">
    <w:altName w:val="Arial"/>
    <w:panose1 w:val="00000000000000000000"/>
    <w:charset w:val="00"/>
    <w:family w:val="swiss"/>
    <w:pitch w:val="default"/>
    <w:sig w:usb0="00000000" w:usb1="00000000" w:usb2="00000000" w:usb3="00000000" w:csb0="00000001" w:csb1="00000000"/>
  </w:font>
  <w:font w:name="Malgun Gothic">
    <w:panose1 w:val="020B0503020000020004"/>
    <w:charset w:val="81"/>
    <w:family w:val="auto"/>
    <w:pitch w:val="default"/>
    <w:sig w:usb0="9000002F" w:usb1="29D77CFB" w:usb2="00000012" w:usb3="00000000" w:csb0="0008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TrueTypeFonts/>
  <w:saveSubsetFonts/>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1413"/>
    <w:rsid w:val="00024E7F"/>
    <w:rsid w:val="000475A0"/>
    <w:rsid w:val="000838C3"/>
    <w:rsid w:val="000B2446"/>
    <w:rsid w:val="000D7C65"/>
    <w:rsid w:val="000E2F81"/>
    <w:rsid w:val="00117946"/>
    <w:rsid w:val="00117E2C"/>
    <w:rsid w:val="00146C47"/>
    <w:rsid w:val="00152FB8"/>
    <w:rsid w:val="00176658"/>
    <w:rsid w:val="0018239E"/>
    <w:rsid w:val="001B3410"/>
    <w:rsid w:val="001C030D"/>
    <w:rsid w:val="001C4A84"/>
    <w:rsid w:val="001E5902"/>
    <w:rsid w:val="00233705"/>
    <w:rsid w:val="00275CA2"/>
    <w:rsid w:val="002A65A5"/>
    <w:rsid w:val="002C04C4"/>
    <w:rsid w:val="002D08B0"/>
    <w:rsid w:val="002D1AE3"/>
    <w:rsid w:val="002F2ECE"/>
    <w:rsid w:val="00341C8F"/>
    <w:rsid w:val="0035463A"/>
    <w:rsid w:val="00391D9D"/>
    <w:rsid w:val="00391E1D"/>
    <w:rsid w:val="003B6C51"/>
    <w:rsid w:val="003C1413"/>
    <w:rsid w:val="003C549F"/>
    <w:rsid w:val="003D5A16"/>
    <w:rsid w:val="003E7DB3"/>
    <w:rsid w:val="003F7EC9"/>
    <w:rsid w:val="00431175"/>
    <w:rsid w:val="004B6E37"/>
    <w:rsid w:val="004C32BA"/>
    <w:rsid w:val="00575922"/>
    <w:rsid w:val="005A6C90"/>
    <w:rsid w:val="005E3FB0"/>
    <w:rsid w:val="005F4B66"/>
    <w:rsid w:val="005F5208"/>
    <w:rsid w:val="00641318"/>
    <w:rsid w:val="0064405D"/>
    <w:rsid w:val="00685302"/>
    <w:rsid w:val="00695557"/>
    <w:rsid w:val="006D4EA7"/>
    <w:rsid w:val="0070012A"/>
    <w:rsid w:val="0070664B"/>
    <w:rsid w:val="007071B8"/>
    <w:rsid w:val="007414DE"/>
    <w:rsid w:val="007905A9"/>
    <w:rsid w:val="007E5500"/>
    <w:rsid w:val="007F055B"/>
    <w:rsid w:val="0080644C"/>
    <w:rsid w:val="00811C2F"/>
    <w:rsid w:val="00833D46"/>
    <w:rsid w:val="00840A97"/>
    <w:rsid w:val="008C0149"/>
    <w:rsid w:val="008D5DED"/>
    <w:rsid w:val="008E25CA"/>
    <w:rsid w:val="008F34FC"/>
    <w:rsid w:val="00944CD7"/>
    <w:rsid w:val="009831B2"/>
    <w:rsid w:val="009A1ABE"/>
    <w:rsid w:val="009E21A4"/>
    <w:rsid w:val="009F22C6"/>
    <w:rsid w:val="00A07E50"/>
    <w:rsid w:val="00A15397"/>
    <w:rsid w:val="00A35CE0"/>
    <w:rsid w:val="00A4462E"/>
    <w:rsid w:val="00A44AA4"/>
    <w:rsid w:val="00A61623"/>
    <w:rsid w:val="00A84687"/>
    <w:rsid w:val="00AB0A0E"/>
    <w:rsid w:val="00AD3B6E"/>
    <w:rsid w:val="00B1751F"/>
    <w:rsid w:val="00B56722"/>
    <w:rsid w:val="00B74D39"/>
    <w:rsid w:val="00B91DA4"/>
    <w:rsid w:val="00C12630"/>
    <w:rsid w:val="00C34562"/>
    <w:rsid w:val="00C3774E"/>
    <w:rsid w:val="00C57456"/>
    <w:rsid w:val="00C65387"/>
    <w:rsid w:val="00C87FAB"/>
    <w:rsid w:val="00C91FF7"/>
    <w:rsid w:val="00C94E53"/>
    <w:rsid w:val="00D0048E"/>
    <w:rsid w:val="00D23E7A"/>
    <w:rsid w:val="00D61063"/>
    <w:rsid w:val="00DB35AF"/>
    <w:rsid w:val="00DD72D7"/>
    <w:rsid w:val="00DF5B88"/>
    <w:rsid w:val="00E0589E"/>
    <w:rsid w:val="00E241FA"/>
    <w:rsid w:val="00E2595E"/>
    <w:rsid w:val="00E35374"/>
    <w:rsid w:val="00E50C19"/>
    <w:rsid w:val="00E64655"/>
    <w:rsid w:val="00E73081"/>
    <w:rsid w:val="00E856C9"/>
    <w:rsid w:val="00EB6A8B"/>
    <w:rsid w:val="00EF38C6"/>
    <w:rsid w:val="00F679C7"/>
    <w:rsid w:val="00F7711A"/>
    <w:rsid w:val="00FA0D58"/>
    <w:rsid w:val="00FA56F4"/>
    <w:rsid w:val="00FB4EDA"/>
    <w:rsid w:val="00FD3BD5"/>
    <w:rsid w:val="00FE3DC8"/>
    <w:rsid w:val="03A26139"/>
    <w:rsid w:val="03C35B33"/>
    <w:rsid w:val="04073F84"/>
    <w:rsid w:val="06C13AA2"/>
    <w:rsid w:val="0B60750A"/>
    <w:rsid w:val="0E4C3CCE"/>
    <w:rsid w:val="10686488"/>
    <w:rsid w:val="10DF728A"/>
    <w:rsid w:val="12430DEC"/>
    <w:rsid w:val="1264200E"/>
    <w:rsid w:val="12B91B59"/>
    <w:rsid w:val="141C5B77"/>
    <w:rsid w:val="1422273F"/>
    <w:rsid w:val="162811E6"/>
    <w:rsid w:val="18602177"/>
    <w:rsid w:val="18D8339D"/>
    <w:rsid w:val="1A1F222D"/>
    <w:rsid w:val="1A21388F"/>
    <w:rsid w:val="1A570D2F"/>
    <w:rsid w:val="1E866F72"/>
    <w:rsid w:val="1EFE2E2A"/>
    <w:rsid w:val="22675952"/>
    <w:rsid w:val="25A949CD"/>
    <w:rsid w:val="28FB0B8D"/>
    <w:rsid w:val="2A9870FC"/>
    <w:rsid w:val="2D2B7942"/>
    <w:rsid w:val="2D46481D"/>
    <w:rsid w:val="2D8577C7"/>
    <w:rsid w:val="2E733B28"/>
    <w:rsid w:val="31852B5A"/>
    <w:rsid w:val="32D01238"/>
    <w:rsid w:val="36CD27AC"/>
    <w:rsid w:val="38DB018B"/>
    <w:rsid w:val="3A4B0250"/>
    <w:rsid w:val="3B7632C6"/>
    <w:rsid w:val="3CE831F4"/>
    <w:rsid w:val="3DD14F48"/>
    <w:rsid w:val="3DFC59A8"/>
    <w:rsid w:val="3ECF245E"/>
    <w:rsid w:val="3F3A68B9"/>
    <w:rsid w:val="3FB96314"/>
    <w:rsid w:val="41A056E9"/>
    <w:rsid w:val="446F7824"/>
    <w:rsid w:val="4506789D"/>
    <w:rsid w:val="46CB0EED"/>
    <w:rsid w:val="53A44FAF"/>
    <w:rsid w:val="57E061A1"/>
    <w:rsid w:val="594329EC"/>
    <w:rsid w:val="5BEE1540"/>
    <w:rsid w:val="5DE61A5D"/>
    <w:rsid w:val="5DFE78F6"/>
    <w:rsid w:val="5E793C26"/>
    <w:rsid w:val="60240829"/>
    <w:rsid w:val="63C04243"/>
    <w:rsid w:val="649C01C7"/>
    <w:rsid w:val="672E5E4D"/>
    <w:rsid w:val="68737E1B"/>
    <w:rsid w:val="69235332"/>
    <w:rsid w:val="699A3F60"/>
    <w:rsid w:val="6F0B63F0"/>
    <w:rsid w:val="6F642548"/>
    <w:rsid w:val="72902E62"/>
    <w:rsid w:val="72B411B9"/>
    <w:rsid w:val="73C61104"/>
    <w:rsid w:val="776452EA"/>
    <w:rsid w:val="7A6A363E"/>
    <w:rsid w:val="7B4D1D82"/>
    <w:rsid w:val="7C8A52CA"/>
    <w:rsid w:val="7DC663B9"/>
    <w:rsid w:val="7FD210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unhideWhenUsed/>
    <w:qFormat/>
    <w:uiPriority w:val="1"/>
  </w:style>
  <w:style w:type="table" w:default="1" w:styleId="12">
    <w:name w:val="Normal Table"/>
    <w:unhideWhenUsed/>
    <w:qFormat/>
    <w:uiPriority w:val="99"/>
    <w:tblPr>
      <w:tblCellMar>
        <w:top w:w="0" w:type="dxa"/>
        <w:left w:w="108" w:type="dxa"/>
        <w:bottom w:w="0" w:type="dxa"/>
        <w:right w:w="108" w:type="dxa"/>
      </w:tblCellMar>
    </w:tblPr>
  </w:style>
  <w:style w:type="paragraph" w:styleId="6">
    <w:name w:val="Date"/>
    <w:basedOn w:val="1"/>
    <w:next w:val="1"/>
    <w:link w:val="31"/>
    <w:unhideWhenUsed/>
    <w:qFormat/>
    <w:uiPriority w:val="99"/>
    <w:pPr>
      <w:ind w:left="100" w:leftChars="2500"/>
    </w:pPr>
  </w:style>
  <w:style w:type="paragraph" w:styleId="7">
    <w:name w:val="Balloon Text"/>
    <w:basedOn w:val="1"/>
    <w:link w:val="19"/>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14:textFill>
        <w14:solidFill>
          <w14:schemeClr w14:val="accent1"/>
        </w14:solidFill>
      </w14:textFill>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B2C24"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customStyle="1" w:styleId="17">
    <w:name w:val="No Spacing"/>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B2C24"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14:textFill>
        <w14:solidFill>
          <w14:schemeClr w14:val="accent1"/>
        </w14:solidFill>
      </w14:textFill>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customStyle="1" w:styleId="32">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hart" Target="charts/chart4.xml"/><Relationship Id="rId8" Type="http://schemas.openxmlformats.org/officeDocument/2006/relationships/chart" Target="charts/chart3.xml"/><Relationship Id="rId7" Type="http://schemas.openxmlformats.org/officeDocument/2006/relationships/chart" Target="charts/chart2.xml"/><Relationship Id="rId6" Type="http://schemas.openxmlformats.org/officeDocument/2006/relationships/chart" Target="charts/chart1.xml"/><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3.xml"/><Relationship Id="rId13" Type="http://schemas.openxmlformats.org/officeDocument/2006/relationships/customXml" Target="../customXml/item2.xml"/><Relationship Id="rId12" Type="http://schemas.openxmlformats.org/officeDocument/2006/relationships/customXml" Target="../customXml/item1.xml"/><Relationship Id="rId11" Type="http://schemas.openxmlformats.org/officeDocument/2006/relationships/image" Target="media/image3.jpeg"/><Relationship Id="rId10" Type="http://schemas.openxmlformats.org/officeDocument/2006/relationships/chart" Target="charts/chart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3.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4.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5.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收入构成</c:v>
                </c:pt>
              </c:strCache>
            </c:strRef>
          </c:tx>
          <c:spPr/>
          <c:explosion val="0"/>
          <c:dPt>
            <c:idx val="0"/>
            <c:bubble3D val="0"/>
            <c:spPr>
              <a:solidFill>
                <a:schemeClr val="accent1">
                  <a:tint val="100000"/>
                  <a:shade val="100000"/>
                  <a:hueMod val="100000"/>
                  <a:satMod val="100000"/>
                </a:schemeClr>
              </a:solidFill>
              <a:ln w="19050">
                <a:solidFill>
                  <a:schemeClr val="lt1"/>
                </a:solidFill>
              </a:ln>
              <a:effectLst/>
            </c:spPr>
          </c:dPt>
          <c:dPt>
            <c:idx val="1"/>
            <c:bubble3D val="0"/>
            <c:spPr>
              <a:solidFill>
                <a:schemeClr val="accent3">
                  <a:tint val="100000"/>
                  <a:shade val="100000"/>
                  <a:hueMod val="100000"/>
                  <a:satMod val="100000"/>
                </a:schemeClr>
              </a:solidFill>
              <a:ln w="19050">
                <a:solidFill>
                  <a:schemeClr val="lt1"/>
                </a:solidFill>
              </a:ln>
              <a:effectLst/>
            </c:spPr>
          </c:dPt>
          <c:dLbls>
            <c:dLbl>
              <c:idx val="0"/>
              <c:layout>
                <c:manualLayout>
                  <c:x val="-0.244263557366559"/>
                  <c:y val="-0.146794567850573"/>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财政拨款收入</a:t>
                    </a:r>
                  </a:p>
                  <a:p>
                    <a:pPr defTabSz="914400">
                      <a:defRPr lang="zh-CN" sz="900" b="0" i="0" u="none" strike="noStrike" kern="1200" baseline="0">
                        <a:solidFill>
                          <a:schemeClr val="tx1">
                            <a:lumMod val="75000"/>
                            <a:lumOff val="25000"/>
                          </a:schemeClr>
                        </a:solidFill>
                        <a:latin typeface="+mn-lt"/>
                        <a:ea typeface="+mn-ea"/>
                        <a:cs typeface="+mn-cs"/>
                      </a:defRPr>
                    </a:pPr>
                    <a:r>
                      <a:t>76.12</a:t>
                    </a:r>
                    <a:r>
                      <a:rPr lang="en-US" altLang="zh-CN"/>
                      <a:t>%</a:t>
                    </a:r>
                    <a:endParaRPr lang="en-US" altLang="zh-CN"/>
                  </a:p>
                </c:rich>
              </c:tx>
              <c:dLblPos val="bestFit"/>
              <c:showLegendKey val="0"/>
              <c:showVal val="1"/>
              <c:showCatName val="0"/>
              <c:showSerName val="0"/>
              <c:showPercent val="0"/>
              <c:showBubbleSize val="0"/>
              <c:extLst>
                <c:ext xmlns:c15="http://schemas.microsoft.com/office/drawing/2012/chart" uri="{CE6537A1-D6FC-4f65-9D91-7224C49458BB}">
                  <c15:layout>
                    <c:manualLayout>
                      <c:w val="0.25825"/>
                      <c:h val="0.134333333333333"/>
                    </c:manualLayout>
                  </c15:layout>
                </c:ext>
              </c:extLst>
            </c:dLbl>
            <c:dLbl>
              <c:idx val="1"/>
              <c:layout>
                <c:manualLayout>
                  <c:x val="0.124263549506004"/>
                  <c:y val="0.151794573654672"/>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其他收入23.88</a:t>
                    </a:r>
                    <a:r>
                      <a:rPr lang="en-US" altLang="zh-CN"/>
                      <a:t>%</a:t>
                    </a:r>
                    <a:endParaRPr lang="en-US" altLang="zh-CN"/>
                  </a:p>
                </c:rich>
              </c:tx>
              <c:dLblPos val="bestFit"/>
              <c:showLegendKey val="0"/>
              <c:showVal val="1"/>
              <c:showCatName val="0"/>
              <c:showSerName val="0"/>
              <c:showPercent val="0"/>
              <c:showBubbleSize val="0"/>
              <c:extLst>
                <c:ext xmlns:c15="http://schemas.microsoft.com/office/drawing/2012/chart" uri="{CE6537A1-D6FC-4f65-9D91-7224C49458BB}">
                  <c15:layout>
                    <c:manualLayout>
                      <c:w val="0.1385"/>
                      <c:h val="0.109833333333333"/>
                    </c:manualLayout>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财政拨款收入</c:v>
                </c:pt>
                <c:pt idx="1">
                  <c:v>其他收入</c:v>
                </c:pt>
              </c:strCache>
            </c:strRef>
          </c:cat>
          <c:val>
            <c:numRef>
              <c:f>Sheet1!$B$2:$B$3</c:f>
              <c:numCache>
                <c:formatCode>General</c:formatCode>
                <c:ptCount val="2"/>
                <c:pt idx="0">
                  <c:v>76.12</c:v>
                </c:pt>
                <c:pt idx="1">
                  <c:v>23.88</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manualLayout>
          <c:xMode val="edge"/>
          <c:yMode val="edge"/>
          <c:x val="0.287"/>
          <c:y val="0.9245"/>
          <c:w val="0.450125"/>
          <c:h val="0.0666666666666667"/>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支出构成情况（按支出性质）</c:v>
                </c:pt>
              </c:strCache>
            </c:strRef>
          </c:tx>
          <c:spPr/>
          <c:explosion val="0"/>
          <c:dPt>
            <c:idx val="0"/>
            <c:bubble3D val="0"/>
            <c:spPr>
              <a:solidFill>
                <a:schemeClr val="accent1">
                  <a:tint val="100000"/>
                  <a:shade val="100000"/>
                  <a:hueMod val="100000"/>
                  <a:satMod val="100000"/>
                </a:schemeClr>
              </a:solidFill>
              <a:ln w="19050">
                <a:solidFill>
                  <a:schemeClr val="lt1"/>
                </a:solidFill>
              </a:ln>
              <a:effectLst/>
            </c:spPr>
          </c:dPt>
          <c:dPt>
            <c:idx val="1"/>
            <c:bubble3D val="0"/>
            <c:spPr>
              <a:solidFill>
                <a:schemeClr val="accent2">
                  <a:tint val="100000"/>
                  <a:shade val="100000"/>
                  <a:hueMod val="100000"/>
                  <a:satMod val="100000"/>
                </a:schemeClr>
              </a:solidFill>
              <a:ln w="19050">
                <a:solidFill>
                  <a:schemeClr val="lt1"/>
                </a:solidFill>
              </a:ln>
              <a:effectLst/>
            </c:spPr>
          </c:dPt>
          <c:dLbls>
            <c:dLbl>
              <c:idx val="0"/>
              <c:layout>
                <c:manualLayout>
                  <c:x val="-0.00386475359539181"/>
                  <c:y val="0.0373657799714578"/>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基本支出4.29</a:t>
                    </a:r>
                    <a:r>
                      <a:rPr lang="en-US" altLang="zh-CN"/>
                      <a:t>%</a:t>
                    </a:r>
                    <a:endParaRPr lang="en-US" altLang="zh-CN"/>
                  </a:p>
                </c:rich>
              </c:tx>
              <c:dLblPos val="bestFit"/>
              <c:showLegendKey val="0"/>
              <c:showVal val="1"/>
              <c:showCatName val="0"/>
              <c:showSerName val="0"/>
              <c:showPercent val="0"/>
              <c:showBubbleSize val="0"/>
              <c:extLst>
                <c:ext xmlns:c15="http://schemas.microsoft.com/office/drawing/2012/chart" uri="{CE6537A1-D6FC-4f65-9D91-7224C49458BB}">
                  <c15:layout>
                    <c:manualLayout>
                      <c:w val="0.125207402680281"/>
                      <c:h val="0.12728367797631"/>
                    </c:manualLayout>
                  </c15:layout>
                </c:ext>
              </c:extLst>
            </c:dLbl>
            <c:dLbl>
              <c:idx val="1"/>
              <c:layout>
                <c:manualLayout>
                  <c:x val="0.0491159005837116"/>
                  <c:y val="-0.250888652438609"/>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项目支出95.71</a:t>
                    </a:r>
                    <a:r>
                      <a:rPr lang="en-US" altLang="zh-CN"/>
                      <a:t>%</a:t>
                    </a:r>
                    <a:endParaRPr lang="en-US" altLang="zh-CN"/>
                  </a:p>
                </c:rich>
              </c:tx>
              <c:dLblPos val="bestFit"/>
              <c:showLegendKey val="0"/>
              <c:showVal val="1"/>
              <c:showCatName val="0"/>
              <c:showSerName val="0"/>
              <c:showPercent val="0"/>
              <c:showBubbleSize val="0"/>
              <c:extLst>
                <c:ext xmlns:c15="http://schemas.microsoft.com/office/drawing/2012/chart" uri="{CE6537A1-D6FC-4f65-9D91-7224C49458BB}">
                  <c15:layout>
                    <c:manualLayout>
                      <c:w val="0.155966815571155"/>
                      <c:h val="0.114033326641237"/>
                    </c:manualLayout>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基本支出</c:v>
                </c:pt>
                <c:pt idx="1">
                  <c:v>项目支出</c:v>
                </c:pt>
              </c:strCache>
            </c:strRef>
          </c:cat>
          <c:val>
            <c:numRef>
              <c:f>Sheet1!$B$2:$B$3</c:f>
              <c:numCache>
                <c:formatCode>General</c:formatCode>
                <c:ptCount val="2"/>
                <c:pt idx="0">
                  <c:v>4.29</c:v>
                </c:pt>
                <c:pt idx="1">
                  <c:v>95.71</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2018年度收入</c:v>
                </c:pt>
              </c:strCache>
            </c:strRef>
          </c:tx>
          <c:spPr>
            <a:solidFill>
              <a:schemeClr val="accent1">
                <a:tint val="100000"/>
                <a:shade val="100000"/>
                <a:hueMod val="100000"/>
                <a:satMod val="100000"/>
              </a:schemeClr>
            </a:solidFill>
            <a:ln>
              <a:noFill/>
            </a:ln>
            <a:effectLst/>
          </c:spPr>
          <c:invertIfNegative val="0"/>
          <c:dLbls>
            <c:dLbl>
              <c:idx val="0"/>
              <c:layout/>
              <c:dLblPos val="outEnd"/>
              <c:showLegendKey val="0"/>
              <c:showVal val="1"/>
              <c:showCatName val="0"/>
              <c:showSerName val="1"/>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Sheet1!$A$2</c:f>
              <c:numCache>
                <c:formatCode>General</c:formatCode>
                <c:ptCount val="1"/>
              </c:numCache>
            </c:numRef>
          </c:cat>
          <c:val>
            <c:numRef>
              <c:f>Sheet1!$B$2</c:f>
              <c:numCache>
                <c:formatCode>General</c:formatCode>
                <c:ptCount val="1"/>
                <c:pt idx="0">
                  <c:v>4826.71</c:v>
                </c:pt>
              </c:numCache>
            </c:numRef>
          </c:val>
        </c:ser>
        <c:ser>
          <c:idx val="1"/>
          <c:order val="1"/>
          <c:tx>
            <c:strRef>
              <c:f>Sheet1!$C$1</c:f>
              <c:strCache>
                <c:ptCount val="1"/>
                <c:pt idx="0">
                  <c:v>2017年度收入</c:v>
                </c:pt>
              </c:strCache>
            </c:strRef>
          </c:tx>
          <c:spPr>
            <a:solidFill>
              <a:schemeClr val="accent2">
                <a:tint val="100000"/>
                <a:shade val="100000"/>
                <a:hueMod val="100000"/>
                <a:satMod val="100000"/>
              </a:schemeClr>
            </a:solidFill>
            <a:ln>
              <a:noFill/>
            </a:ln>
            <a:effectLst/>
          </c:spPr>
          <c:invertIfNegative val="0"/>
          <c:dLbls>
            <c:dLbl>
              <c:idx val="0"/>
              <c:layout/>
              <c:dLblPos val="outEnd"/>
              <c:showLegendKey val="0"/>
              <c:showVal val="1"/>
              <c:showCatName val="0"/>
              <c:showSerName val="1"/>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Sheet1!$A$2</c:f>
              <c:numCache>
                <c:formatCode>General</c:formatCode>
                <c:ptCount val="1"/>
              </c:numCache>
            </c:numRef>
          </c:cat>
          <c:val>
            <c:numRef>
              <c:f>Sheet1!$C$2</c:f>
              <c:numCache>
                <c:formatCode>General</c:formatCode>
                <c:ptCount val="1"/>
                <c:pt idx="0">
                  <c:v>508.22</c:v>
                </c:pt>
              </c:numCache>
            </c:numRef>
          </c:val>
        </c:ser>
        <c:ser>
          <c:idx val="2"/>
          <c:order val="2"/>
          <c:tx>
            <c:strRef>
              <c:f>Sheet1!$D$1</c:f>
              <c:strCache>
                <c:ptCount val="1"/>
                <c:pt idx="0">
                  <c:v>2018年度支出</c:v>
                </c:pt>
              </c:strCache>
            </c:strRef>
          </c:tx>
          <c:spPr>
            <a:solidFill>
              <a:schemeClr val="accent3">
                <a:tint val="100000"/>
                <a:shade val="100000"/>
                <a:hueMod val="100000"/>
                <a:satMod val="100000"/>
              </a:schemeClr>
            </a:solidFill>
            <a:ln>
              <a:noFill/>
            </a:ln>
            <a:effectLst/>
          </c:spPr>
          <c:invertIfNegative val="0"/>
          <c:dLbls>
            <c:dLbl>
              <c:idx val="0"/>
              <c:layout/>
              <c:dLblPos val="outEnd"/>
              <c:showLegendKey val="0"/>
              <c:showVal val="1"/>
              <c:showCatName val="0"/>
              <c:showSerName val="1"/>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Sheet1!$A$2</c:f>
              <c:numCache>
                <c:formatCode>General</c:formatCode>
                <c:ptCount val="1"/>
              </c:numCache>
            </c:numRef>
          </c:cat>
          <c:val>
            <c:numRef>
              <c:f>Sheet1!$D$2</c:f>
              <c:numCache>
                <c:formatCode>General</c:formatCode>
                <c:ptCount val="1"/>
                <c:pt idx="0">
                  <c:v>4816.46</c:v>
                </c:pt>
              </c:numCache>
            </c:numRef>
          </c:val>
        </c:ser>
        <c:ser>
          <c:idx val="3"/>
          <c:order val="3"/>
          <c:tx>
            <c:strRef>
              <c:f>Sheet1!$E$1</c:f>
              <c:strCache>
                <c:ptCount val="1"/>
                <c:pt idx="0">
                  <c:v>2017年度支出</c:v>
                </c:pt>
              </c:strCache>
            </c:strRef>
          </c:tx>
          <c:spPr>
            <a:solidFill>
              <a:schemeClr val="accent4">
                <a:tint val="100000"/>
                <a:shade val="100000"/>
                <a:hueMod val="100000"/>
                <a:satMod val="100000"/>
              </a:schemeClr>
            </a:solidFill>
            <a:ln>
              <a:noFill/>
            </a:ln>
            <a:effectLst/>
          </c:spPr>
          <c:invertIfNegative val="0"/>
          <c:dLbls>
            <c:dLbl>
              <c:idx val="0"/>
              <c:layout/>
              <c:dLblPos val="outEnd"/>
              <c:showLegendKey val="0"/>
              <c:showVal val="1"/>
              <c:showCatName val="0"/>
              <c:showSerName val="1"/>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Sheet1!$A$2</c:f>
              <c:numCache>
                <c:formatCode>General</c:formatCode>
                <c:ptCount val="1"/>
              </c:numCache>
            </c:numRef>
          </c:cat>
          <c:val>
            <c:numRef>
              <c:f>Sheet1!$E$2</c:f>
              <c:numCache>
                <c:formatCode>General</c:formatCode>
                <c:ptCount val="1"/>
                <c:pt idx="0">
                  <c:v>508.33</c:v>
                </c:pt>
              </c:numCache>
            </c:numRef>
          </c:val>
        </c:ser>
        <c:dLbls>
          <c:showLegendKey val="0"/>
          <c:showVal val="1"/>
          <c:showCatName val="0"/>
          <c:showSerName val="0"/>
          <c:showPercent val="0"/>
          <c:showBubbleSize val="0"/>
        </c:dLbls>
        <c:gapWidth val="150"/>
        <c:overlap val="0"/>
        <c:axId val="308447511"/>
        <c:axId val="567326433"/>
      </c:barChart>
      <c:catAx>
        <c:axId val="308447511"/>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67326433"/>
        <c:crosses val="autoZero"/>
        <c:auto val="1"/>
        <c:lblAlgn val="ctr"/>
        <c:lblOffset val="100"/>
        <c:noMultiLvlLbl val="0"/>
      </c:catAx>
      <c:valAx>
        <c:axId val="567326433"/>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0" vertOverflow="ellipsis" vert="horz" wrap="square" anchor="ctr" anchorCtr="1"/>
              <a:lstStyle/>
              <a:p>
                <a:pPr defTabSz="914400">
                  <a:defRPr lang="zh-CN" sz="1000" b="0" i="0" u="none" strike="noStrike" kern="1200" baseline="0">
                    <a:solidFill>
                      <a:schemeClr val="tx1">
                        <a:lumMod val="65000"/>
                        <a:lumOff val="35000"/>
                      </a:schemeClr>
                    </a:solidFill>
                    <a:latin typeface="+mn-lt"/>
                    <a:ea typeface="+mn-ea"/>
                    <a:cs typeface="+mn-cs"/>
                  </a:defRPr>
                </a:pPr>
                <a:r>
                  <a:t>单位：万元</a:t>
                </a:r>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08447511"/>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984454832046962"/>
          <c:y val="0.170776255707763"/>
          <c:w val="0.898293292749212"/>
          <c:h val="0.717260273972603"/>
        </c:manualLayout>
      </c:layout>
      <c:barChart>
        <c:barDir val="col"/>
        <c:grouping val="clustered"/>
        <c:varyColors val="0"/>
        <c:ser>
          <c:idx val="0"/>
          <c:order val="0"/>
          <c:tx>
            <c:strRef>
              <c:f>Sheet1!$B$1</c:f>
              <c:strCache>
                <c:ptCount val="1"/>
                <c:pt idx="0">
                  <c:v>收入预算数</c:v>
                </c:pt>
              </c:strCache>
            </c:strRef>
          </c:tx>
          <c:spPr>
            <a:solidFill>
              <a:schemeClr val="accent1">
                <a:tint val="100000"/>
                <a:shade val="100000"/>
                <a:hueMod val="100000"/>
                <a:satMod val="100000"/>
              </a:schemeClr>
            </a:solidFill>
            <a:ln>
              <a:noFill/>
            </a:ln>
            <a:effectLst/>
          </c:spPr>
          <c:invertIfNegative val="0"/>
          <c:dLbls>
            <c:dLbl>
              <c:idx val="0"/>
              <c:layout/>
              <c:dLblPos val="outEnd"/>
              <c:showLegendKey val="0"/>
              <c:showVal val="1"/>
              <c:showCatName val="0"/>
              <c:showSerName val="1"/>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Sheet1!$A$2</c:f>
              <c:numCache>
                <c:formatCode>General</c:formatCode>
                <c:ptCount val="1"/>
              </c:numCache>
            </c:numRef>
          </c:cat>
          <c:val>
            <c:numRef>
              <c:f>Sheet1!$B$2</c:f>
              <c:numCache>
                <c:formatCode>General</c:formatCode>
                <c:ptCount val="1"/>
                <c:pt idx="0">
                  <c:v>1384.03</c:v>
                </c:pt>
              </c:numCache>
            </c:numRef>
          </c:val>
        </c:ser>
        <c:ser>
          <c:idx val="1"/>
          <c:order val="1"/>
          <c:tx>
            <c:strRef>
              <c:f>Sheet1!$C$1</c:f>
              <c:strCache>
                <c:ptCount val="1"/>
                <c:pt idx="0">
                  <c:v>收入决算数</c:v>
                </c:pt>
              </c:strCache>
            </c:strRef>
          </c:tx>
          <c:spPr>
            <a:solidFill>
              <a:schemeClr val="accent2">
                <a:tint val="100000"/>
                <a:shade val="100000"/>
                <a:hueMod val="100000"/>
                <a:satMod val="100000"/>
              </a:schemeClr>
            </a:solidFill>
            <a:ln>
              <a:noFill/>
            </a:ln>
            <a:effectLst/>
          </c:spPr>
          <c:invertIfNegative val="0"/>
          <c:dLbls>
            <c:dLbl>
              <c:idx val="0"/>
              <c:layout/>
              <c:dLblPos val="outEnd"/>
              <c:showLegendKey val="0"/>
              <c:showVal val="1"/>
              <c:showCatName val="0"/>
              <c:showSerName val="1"/>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Sheet1!$A$2</c:f>
              <c:numCache>
                <c:formatCode>General</c:formatCode>
                <c:ptCount val="1"/>
              </c:numCache>
            </c:numRef>
          </c:cat>
          <c:val>
            <c:numRef>
              <c:f>Sheet1!$C$2</c:f>
              <c:numCache>
                <c:formatCode>General</c:formatCode>
                <c:ptCount val="1"/>
                <c:pt idx="0">
                  <c:v>4826.71</c:v>
                </c:pt>
              </c:numCache>
            </c:numRef>
          </c:val>
        </c:ser>
        <c:ser>
          <c:idx val="2"/>
          <c:order val="2"/>
          <c:tx>
            <c:strRef>
              <c:f>Sheet1!$D$1</c:f>
              <c:strCache>
                <c:ptCount val="1"/>
                <c:pt idx="0">
                  <c:v>支出预算数</c:v>
                </c:pt>
              </c:strCache>
            </c:strRef>
          </c:tx>
          <c:spPr>
            <a:solidFill>
              <a:schemeClr val="accent3">
                <a:tint val="100000"/>
                <a:shade val="100000"/>
                <a:hueMod val="100000"/>
                <a:satMod val="100000"/>
              </a:schemeClr>
            </a:solidFill>
            <a:ln>
              <a:noFill/>
            </a:ln>
            <a:effectLst/>
          </c:spPr>
          <c:invertIfNegative val="0"/>
          <c:dLbls>
            <c:dLbl>
              <c:idx val="0"/>
              <c:layout/>
              <c:dLblPos val="outEnd"/>
              <c:showLegendKey val="0"/>
              <c:showVal val="1"/>
              <c:showCatName val="0"/>
              <c:showSerName val="1"/>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Sheet1!$A$2</c:f>
              <c:numCache>
                <c:formatCode>General</c:formatCode>
                <c:ptCount val="1"/>
              </c:numCache>
            </c:numRef>
          </c:cat>
          <c:val>
            <c:numRef>
              <c:f>Sheet1!$D$2</c:f>
              <c:numCache>
                <c:formatCode>General</c:formatCode>
                <c:ptCount val="1"/>
                <c:pt idx="0">
                  <c:v>1384.03</c:v>
                </c:pt>
              </c:numCache>
            </c:numRef>
          </c:val>
        </c:ser>
        <c:ser>
          <c:idx val="3"/>
          <c:order val="3"/>
          <c:tx>
            <c:strRef>
              <c:f>Sheet1!$E$1</c:f>
              <c:strCache>
                <c:ptCount val="1"/>
                <c:pt idx="0">
                  <c:v>支出决算数</c:v>
                </c:pt>
              </c:strCache>
            </c:strRef>
          </c:tx>
          <c:spPr>
            <a:solidFill>
              <a:schemeClr val="accent4">
                <a:tint val="100000"/>
                <a:shade val="100000"/>
                <a:hueMod val="100000"/>
                <a:satMod val="100000"/>
              </a:schemeClr>
            </a:solidFill>
            <a:ln>
              <a:noFill/>
            </a:ln>
            <a:effectLst/>
          </c:spPr>
          <c:invertIfNegative val="0"/>
          <c:dLbls>
            <c:dLbl>
              <c:idx val="0"/>
              <c:layout/>
              <c:dLblPos val="outEnd"/>
              <c:showLegendKey val="0"/>
              <c:showVal val="1"/>
              <c:showCatName val="0"/>
              <c:showSerName val="1"/>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Sheet1!$A$2</c:f>
              <c:numCache>
                <c:formatCode>General</c:formatCode>
                <c:ptCount val="1"/>
              </c:numCache>
            </c:numRef>
          </c:cat>
          <c:val>
            <c:numRef>
              <c:f>Sheet1!$E$2</c:f>
              <c:numCache>
                <c:formatCode>General</c:formatCode>
                <c:ptCount val="1"/>
                <c:pt idx="0">
                  <c:v>4816.46</c:v>
                </c:pt>
              </c:numCache>
            </c:numRef>
          </c:val>
        </c:ser>
        <c:dLbls>
          <c:showLegendKey val="0"/>
          <c:showVal val="1"/>
          <c:showCatName val="0"/>
          <c:showSerName val="0"/>
          <c:showPercent val="0"/>
          <c:showBubbleSize val="0"/>
        </c:dLbls>
        <c:gapWidth val="150"/>
        <c:overlap val="0"/>
        <c:axId val="192607645"/>
        <c:axId val="789389648"/>
      </c:barChart>
      <c:catAx>
        <c:axId val="192607645"/>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89389648"/>
        <c:crosses val="autoZero"/>
        <c:auto val="1"/>
        <c:lblAlgn val="ctr"/>
        <c:lblOffset val="100"/>
        <c:noMultiLvlLbl val="0"/>
      </c:catAx>
      <c:valAx>
        <c:axId val="7893896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0" vertOverflow="ellipsis" vert="horz" wrap="square" anchor="ctr" anchorCtr="1"/>
              <a:lstStyle/>
              <a:p>
                <a:pPr defTabSz="914400">
                  <a:defRPr lang="zh-CN" sz="1000" b="0" i="0" u="none" strike="noStrike" kern="1200" baseline="0">
                    <a:solidFill>
                      <a:schemeClr val="tx1">
                        <a:lumMod val="65000"/>
                        <a:lumOff val="35000"/>
                      </a:schemeClr>
                    </a:solidFill>
                    <a:latin typeface="+mn-lt"/>
                    <a:ea typeface="+mn-ea"/>
                    <a:cs typeface="+mn-cs"/>
                  </a:defRPr>
                </a:pPr>
                <a:r>
                  <a:t>单位：万元</a:t>
                </a:r>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92607645"/>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财政拨款支出决算结构（按功能分类）</c:v>
                </c:pt>
              </c:strCache>
            </c:strRef>
          </c:tx>
          <c:spPr/>
          <c:explosion val="0"/>
          <c:dPt>
            <c:idx val="0"/>
            <c:bubble3D val="0"/>
            <c:explosion val="0"/>
            <c:spPr>
              <a:solidFill>
                <a:schemeClr val="accent1">
                  <a:tint val="100000"/>
                  <a:shade val="100000"/>
                  <a:hueMod val="100000"/>
                  <a:satMod val="100000"/>
                </a:schemeClr>
              </a:solidFill>
              <a:ln w="19050">
                <a:solidFill>
                  <a:schemeClr val="lt1"/>
                </a:solidFill>
              </a:ln>
              <a:effectLst/>
            </c:spPr>
          </c:dPt>
          <c:dPt>
            <c:idx val="1"/>
            <c:bubble3D val="0"/>
            <c:spPr>
              <a:solidFill>
                <a:schemeClr val="accent2">
                  <a:tint val="100000"/>
                  <a:shade val="100000"/>
                  <a:hueMod val="100000"/>
                  <a:satMod val="100000"/>
                </a:schemeClr>
              </a:solidFill>
              <a:ln w="19050">
                <a:solidFill>
                  <a:schemeClr val="lt1"/>
                </a:solidFill>
              </a:ln>
              <a:effectLst/>
            </c:spPr>
          </c:dPt>
          <c:dPt>
            <c:idx val="2"/>
            <c:bubble3D val="0"/>
            <c:spPr>
              <a:solidFill>
                <a:schemeClr val="accent3">
                  <a:tint val="100000"/>
                  <a:shade val="100000"/>
                  <a:hueMod val="100000"/>
                  <a:satMod val="100000"/>
                </a:schemeClr>
              </a:solidFill>
              <a:ln w="19050">
                <a:solidFill>
                  <a:schemeClr val="lt1"/>
                </a:solidFill>
              </a:ln>
              <a:effectLst/>
            </c:spPr>
          </c:dPt>
          <c:dPt>
            <c:idx val="3"/>
            <c:bubble3D val="0"/>
            <c:spPr>
              <a:solidFill>
                <a:schemeClr val="accent4">
                  <a:tint val="100000"/>
                  <a:shade val="100000"/>
                  <a:hueMod val="100000"/>
                  <a:satMod val="100000"/>
                </a:schemeClr>
              </a:solidFill>
              <a:ln w="19050">
                <a:solidFill>
                  <a:schemeClr val="lt1"/>
                </a:solidFill>
              </a:ln>
              <a:effectLst/>
            </c:spPr>
          </c:dPt>
          <c:dPt>
            <c:idx val="4"/>
            <c:bubble3D val="0"/>
            <c:spPr>
              <a:solidFill>
                <a:schemeClr val="accent5">
                  <a:tint val="100000"/>
                  <a:shade val="100000"/>
                  <a:hueMod val="100000"/>
                  <a:satMod val="100000"/>
                </a:schemeClr>
              </a:solidFill>
              <a:ln w="19050">
                <a:solidFill>
                  <a:schemeClr val="lt1"/>
                </a:solidFill>
              </a:ln>
              <a:effectLst/>
            </c:spPr>
          </c:dPt>
          <c:dPt>
            <c:idx val="5"/>
            <c:bubble3D val="0"/>
            <c:spPr>
              <a:solidFill>
                <a:schemeClr val="accent6">
                  <a:tint val="100000"/>
                  <a:shade val="100000"/>
                  <a:hueMod val="100000"/>
                  <a:satMod val="100000"/>
                </a:schemeClr>
              </a:solidFill>
              <a:ln w="19050">
                <a:solidFill>
                  <a:schemeClr val="lt1"/>
                </a:solidFill>
              </a:ln>
              <a:effectLst/>
            </c:spPr>
          </c:dPt>
          <c:dLbls>
            <c:dLbl>
              <c:idx val="0"/>
              <c:layout>
                <c:manualLayout>
                  <c:x val="-0.0268665251487938"/>
                  <c:y val="0.133201898515725"/>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一般公共服务支出</a:t>
                    </a:r>
                  </a:p>
                  <a:p>
                    <a:pPr defTabSz="914400">
                      <a:defRPr lang="zh-CN" sz="900" b="0" i="0" u="none" strike="noStrike" kern="1200" baseline="0">
                        <a:solidFill>
                          <a:schemeClr val="tx1">
                            <a:lumMod val="75000"/>
                            <a:lumOff val="25000"/>
                          </a:schemeClr>
                        </a:solidFill>
                        <a:latin typeface="+mn-lt"/>
                        <a:ea typeface="+mn-ea"/>
                        <a:cs typeface="+mn-cs"/>
                      </a:defRPr>
                    </a:pPr>
                    <a:r>
                      <a:t>8.05</a:t>
                    </a:r>
                    <a:r>
                      <a:rPr lang="en-US" altLang="zh-CN"/>
                      <a:t>%</a:t>
                    </a:r>
                    <a:endParaRPr lang="en-US" altLang="zh-CN"/>
                  </a:p>
                </c:rich>
              </c:tx>
              <c:dLblPos val="bestFit"/>
              <c:showLegendKey val="0"/>
              <c:showVal val="1"/>
              <c:showCatName val="0"/>
              <c:showSerName val="0"/>
              <c:showPercent val="0"/>
              <c:showBubbleSize val="0"/>
              <c:extLst>
                <c:ext xmlns:c15="http://schemas.microsoft.com/office/drawing/2012/chart" uri="{CE6537A1-D6FC-4f65-9D91-7224C49458BB}">
                  <c15:layout>
                    <c:manualLayout>
                      <c:w val="0.09825"/>
                      <c:h val="0.168833333333333"/>
                    </c:manualLayout>
                  </c15:layout>
                </c:ext>
              </c:extLst>
            </c:dLbl>
            <c:dLbl>
              <c:idx val="1"/>
              <c:layout>
                <c:manualLayout>
                  <c:x val="0.11031344518937"/>
                  <c:y val="-0.0416521294966269"/>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社会保障和就业支出0.34</a:t>
                    </a:r>
                    <a:r>
                      <a:rPr lang="en-US" altLang="zh-CN"/>
                      <a:t>%</a:t>
                    </a:r>
                    <a:endParaRPr lang="en-US" altLang="zh-CN"/>
                  </a:p>
                </c:rich>
              </c:tx>
              <c:dLblPos val="bestFit"/>
              <c:showLegendKey val="0"/>
              <c:showVal val="1"/>
              <c:showCatName val="0"/>
              <c:showSerName val="0"/>
              <c:showPercent val="0"/>
              <c:showBubbleSize val="0"/>
              <c:extLst>
                <c:ext xmlns:c15="http://schemas.microsoft.com/office/drawing/2012/chart" uri="{CE6537A1-D6FC-4f65-9D91-7224C49458BB}">
                  <c15:layout>
                    <c:manualLayout>
                      <c:w val="0.29425"/>
                      <c:h val="0.0466666666666667"/>
                    </c:manualLayout>
                  </c15:layout>
                </c:ext>
              </c:extLst>
            </c:dLbl>
            <c:dLbl>
              <c:idx val="2"/>
              <c:layout>
                <c:manualLayout>
                  <c:x val="-0.0929791153136017"/>
                  <c:y val="0.0932939571663317"/>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文化体育与传媒支出15.6</a:t>
                    </a:r>
                    <a:r>
                      <a:rPr lang="en-US" altLang="zh-CN"/>
                      <a:t>%</a:t>
                    </a:r>
                    <a:endParaRPr lang="en-US" altLang="zh-CN"/>
                  </a:p>
                </c:rich>
              </c:tx>
              <c:dLblPos val="bestFit"/>
              <c:showLegendKey val="0"/>
              <c:showVal val="1"/>
              <c:showCatName val="0"/>
              <c:showSerName val="0"/>
              <c:showPercent val="0"/>
              <c:showBubbleSize val="0"/>
              <c:extLst>
                <c:ext xmlns:c15="http://schemas.microsoft.com/office/drawing/2012/chart" uri="{CE6537A1-D6FC-4f65-9D91-7224C49458BB}">
                  <c15:layout>
                    <c:manualLayout>
                      <c:w val="0.2175"/>
                      <c:h val="0.0868333333333333"/>
                    </c:manualLayout>
                  </c15:layout>
                </c:ext>
              </c:extLst>
            </c:dLbl>
            <c:dLbl>
              <c:idx val="3"/>
              <c:layout>
                <c:manualLayout>
                  <c:x val="0.02963012397965"/>
                  <c:y val="0.0485603648558149"/>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医疗卫生与计划生育支出0.24</a:t>
                    </a:r>
                    <a:r>
                      <a:rPr lang="en-US" altLang="zh-CN"/>
                      <a:t>%</a:t>
                    </a:r>
                    <a:endParaRPr lang="en-US" altLang="zh-CN"/>
                  </a:p>
                </c:rich>
              </c:tx>
              <c:dLblPos val="bestFit"/>
              <c:showLegendKey val="0"/>
              <c:showVal val="1"/>
              <c:showCatName val="0"/>
              <c:showSerName val="0"/>
              <c:showPercent val="0"/>
              <c:showBubbleSize val="0"/>
              <c:extLst>
                <c:ext xmlns:c15="http://schemas.microsoft.com/office/drawing/2012/chart" uri="{CE6537A1-D6FC-4f65-9D91-7224C49458BB}">
                  <c15:layout>
                    <c:manualLayout>
                      <c:w val="0.204"/>
                      <c:h val="0.0896666666666667"/>
                    </c:manualLayout>
                  </c15:layout>
                </c:ext>
              </c:extLst>
            </c:dLbl>
            <c:dLbl>
              <c:idx val="4"/>
              <c:layout>
                <c:manualLayout>
                  <c:x val="0.18803885899866"/>
                  <c:y val="-0.133295567891743"/>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商业服务业等支出</a:t>
                    </a:r>
                  </a:p>
                  <a:p>
                    <a:pPr defTabSz="914400">
                      <a:defRPr lang="zh-CN" sz="900" b="0" i="0" u="none" strike="noStrike" kern="1200" baseline="0">
                        <a:solidFill>
                          <a:schemeClr val="tx1">
                            <a:lumMod val="75000"/>
                            <a:lumOff val="25000"/>
                          </a:schemeClr>
                        </a:solidFill>
                        <a:latin typeface="+mn-lt"/>
                        <a:ea typeface="+mn-ea"/>
                        <a:cs typeface="+mn-cs"/>
                      </a:defRPr>
                    </a:pPr>
                    <a:r>
                      <a:t>75.58</a:t>
                    </a:r>
                    <a:r>
                      <a:rPr lang="en-US" altLang="zh-CN"/>
                      <a:t>%</a:t>
                    </a:r>
                    <a:endParaRPr lang="en-US" altLang="zh-CN"/>
                  </a:p>
                </c:rich>
              </c:tx>
              <c:dLblPos val="bestFit"/>
              <c:showLegendKey val="0"/>
              <c:showVal val="1"/>
              <c:showCatName val="0"/>
              <c:showSerName val="0"/>
              <c:showPercent val="0"/>
              <c:showBubbleSize val="0"/>
              <c:extLst>
                <c:ext xmlns:c15="http://schemas.microsoft.com/office/drawing/2012/chart" uri="{CE6537A1-D6FC-4f65-9D91-7224C49458BB}">
                  <c15:layout>
                    <c:manualLayout>
                      <c:w val="0.282375"/>
                      <c:h val="0.132666666666667"/>
                    </c:manualLayout>
                  </c15:layout>
                </c:ext>
              </c:extLst>
            </c:dLbl>
            <c:dLbl>
              <c:idx val="5"/>
              <c:layout>
                <c:manualLayout>
                  <c:x val="-0.233447901296309"/>
                  <c:y val="0.00483026367840689"/>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住房保障支出0.2</a:t>
                    </a:r>
                    <a:r>
                      <a:rPr lang="en-US" altLang="zh-CN"/>
                      <a:t>%</a:t>
                    </a:r>
                    <a:endParaRPr lang="en-US" altLang="zh-CN"/>
                  </a:p>
                </c:rich>
              </c:tx>
              <c:dLblPos val="bestFit"/>
              <c:showLegendKey val="0"/>
              <c:showVal val="1"/>
              <c:showCatName val="0"/>
              <c:showSerName val="0"/>
              <c:showPercent val="0"/>
              <c:showBubbleSize val="0"/>
              <c:extLst>
                <c:ext xmlns:c15="http://schemas.microsoft.com/office/drawing/2012/chart" uri="{CE6537A1-D6FC-4f65-9D91-7224C49458BB}">
                  <c15:layout>
                    <c:manualLayout>
                      <c:w val="0.22325"/>
                      <c:h val="0.0628333333333333"/>
                    </c:manualLayout>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一般公共服务支出</c:v>
                </c:pt>
                <c:pt idx="1">
                  <c:v>社会保障和就业支出</c:v>
                </c:pt>
                <c:pt idx="2">
                  <c:v>文化体育与传媒支出</c:v>
                </c:pt>
                <c:pt idx="3">
                  <c:v>医疗卫生与计划生育支出</c:v>
                </c:pt>
                <c:pt idx="4">
                  <c:v>商业服务业等支出</c:v>
                </c:pt>
                <c:pt idx="5">
                  <c:v>住房保障支出</c:v>
                </c:pt>
              </c:strCache>
            </c:strRef>
          </c:cat>
          <c:val>
            <c:numRef>
              <c:f>Sheet1!$B$2:$B$7</c:f>
              <c:numCache>
                <c:formatCode>General</c:formatCode>
                <c:ptCount val="6"/>
                <c:pt idx="0">
                  <c:v>8.05</c:v>
                </c:pt>
                <c:pt idx="1">
                  <c:v>0.34</c:v>
                </c:pt>
                <c:pt idx="2">
                  <c:v>15.6</c:v>
                </c:pt>
                <c:pt idx="3">
                  <c:v>0.24</c:v>
                </c:pt>
                <c:pt idx="4">
                  <c:v>75.58</c:v>
                </c:pt>
                <c:pt idx="5">
                  <c:v>0.2</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CoverPageProperties xmlns="http://schemas.microsoft.com/office/2006/coverPageProps">
  <PublishDate>2017</PublishDate>
  <Abstract/>
  <CompanyAddress/>
  <CompanyPhone/>
  <CompanyFax/>
  <CompanyEmail/>
</CoverPageProperties>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5AF091B-3C7A-41E3-B477-F2FDAA23CFDA}">
  <ds:schemaRefs/>
</ds:datastoreItem>
</file>

<file path=customXml/itemProps3.xml><?xml version="1.0" encoding="utf-8"?>
<ds:datastoreItem xmlns:ds="http://schemas.openxmlformats.org/officeDocument/2006/customXml" ds:itemID="{A65E7BDE-DE8D-4B1F-9303-30D3BA4219C7}">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33</Pages>
  <Words>7675</Words>
  <Characters>9980</Characters>
  <Lines>80</Lines>
  <Paragraphs>22</Paragraphs>
  <TotalTime>20</TotalTime>
  <ScaleCrop>false</ScaleCrop>
  <LinksUpToDate>false</LinksUpToDate>
  <CharactersWithSpaces>10221</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226</cp:lastModifiedBy>
  <cp:lastPrinted>2019-09-24T03:14:00Z</cp:lastPrinted>
  <dcterms:modified xsi:type="dcterms:W3CDTF">2023-05-29T06:59:32Z</dcterms:modified>
  <dc:subject>石家庄市xxx部门</dc:subject>
  <dc:title>2017年度部门决算</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