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pPr>
      <w:r>
        <w:rPr>
          <w:rFonts w:hint="eastAsia"/>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4"/>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int="eastAsia" w:hAnsi="宋体" w:asciiTheme="minorEastAsia" w:eastAsiaTheme="minorEastAsia"/>
                                <w:color w:val="FDEFBE"/>
                                <w:sz w:val="96"/>
                                <w:szCs w:val="96"/>
                                <w:lang w:val="en-US"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val="en-US" w:eastAsia="zh-CN"/>
                                <w14:shadow w14:blurRad="38100" w14:dist="22860" w14:dir="5400000" w14:sx="100000" w14:sy="100000" w14:kx="0" w14:ky="0" w14:algn="tl">
                                  <w14:srgbClr w14:val="000000">
                                    <w14:alpha w14:val="70000"/>
                                  </w14:srgbClr>
                                </w14:shadow>
                                <w14:props3d w14:extrusionH="0" w14:contourW="0" w14:prstMaterial="clear"/>
                              </w:rPr>
                              <w:t>宣传部</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fill on="f" focussize="0,0"/>
                <v:stroke on="f" weight="0.5pt"/>
                <v:imagedata o:title=""/>
                <o:lock v:ext="edit" aspectratio="f"/>
                <v:textbox>
                  <w:txbxContent>
                    <w:p>
                      <w:pPr>
                        <w:widowControl/>
                        <w:spacing w:line="1200" w:lineRule="exact"/>
                        <w:jc w:val="center"/>
                        <w:rPr>
                          <w:rFonts w:hint="eastAsia" w:hAnsi="宋体" w:asciiTheme="minorEastAsia" w:eastAsiaTheme="minorEastAsia"/>
                          <w:color w:val="FDEFBE"/>
                          <w:sz w:val="96"/>
                          <w:szCs w:val="96"/>
                          <w:lang w:val="en-US"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val="en-US" w:eastAsia="zh-CN"/>
                          <w14:shadow w14:blurRad="38100" w14:dist="22860" w14:dir="5400000" w14:sx="100000" w14:sy="100000" w14:kx="0" w14:ky="0" w14:algn="tl">
                            <w14:srgbClr w14:val="000000">
                              <w14:alpha w14:val="70000"/>
                            </w14:srgbClr>
                          </w14:shadow>
                          <w14:props3d w14:extrusionH="0" w14:contourW="0" w14:prstMaterial="clear"/>
                        </w:rPr>
                        <w:t>宣传部</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hint="eastAsia"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w:t>
      </w:r>
      <w:r>
        <w:rPr>
          <w:rFonts w:hint="eastAsia" w:ascii="楷体_GB2312" w:hAnsi="楷体" w:eastAsia="楷体_GB2312" w:cs="楷体"/>
          <w:b/>
          <w:sz w:val="40"/>
          <w:szCs w:val="40"/>
          <w:lang w:val="en-US" w:eastAsia="zh-CN"/>
        </w:rPr>
        <w:t>二十五</w:t>
      </w:r>
      <w:r>
        <w:rPr>
          <w:rFonts w:hint="eastAsia" w:ascii="楷体_GB2312" w:hAnsi="楷体" w:eastAsia="楷体_GB2312" w:cs="楷体"/>
          <w:b/>
          <w:sz w:val="40"/>
          <w:szCs w:val="40"/>
        </w:rPr>
        <w:t>日</w:t>
      </w:r>
    </w:p>
    <w:p>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val="en-US" w:eastAsia="zh-CN"/>
        </w:rPr>
        <w:t>宣传部</w:t>
      </w:r>
      <w:r>
        <w:rPr>
          <w:rFonts w:eastAsia="黑体"/>
          <w:sz w:val="32"/>
          <w:szCs w:val="32"/>
        </w:rPr>
        <w:t>部门201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fill on="f" focussize="0,0"/>
                <v:stroke on="f" weight="0.5pt"/>
                <v:imagedata o:title=""/>
                <o:lock v:ext="edit" aspectratio="f"/>
                <v:textbo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指导全区理论教育、理论研究、理论宣传工作； 引导社会舆论；负责全区网络安全和信息化建设；负责组织、部署全区思想政治工作，组织开展思想教育活动；领导鹿泉区职工思想政治工作研究会；负责全区对外宣传工作；加强精神文明建设。</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中共石家庄市鹿泉区委宣传部（本级）</w:t>
            </w:r>
          </w:p>
        </w:tc>
        <w:tc>
          <w:tcPr>
            <w:tcW w:w="2445" w:type="dxa"/>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行政单位</w:t>
            </w:r>
          </w:p>
        </w:tc>
        <w:tc>
          <w:tcPr>
            <w:tcW w:w="2665" w:type="dxa"/>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3236"/>
        <w:gridCol w:w="354"/>
        <w:gridCol w:w="1187"/>
        <w:gridCol w:w="2413"/>
        <w:gridCol w:w="680"/>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mc:AlternateContent>
                <mc:Choice Requires="wpg">
                  <w:drawing>
                    <wp:anchor distT="0" distB="0" distL="114300" distR="114300" simplePos="0" relativeHeight="251674624"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10"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0.25pt;margin-top:-81.85pt;height:41.2pt;width:243.2pt;mso-position-vertical-relative:page;z-index:25167462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收入支出决算总表</w:t>
            </w:r>
          </w:p>
        </w:tc>
      </w:tr>
      <w:tr>
        <w:tblPrEx>
          <w:tblCellMar>
            <w:top w:w="0" w:type="dxa"/>
            <w:left w:w="0" w:type="dxa"/>
            <w:bottom w:w="0" w:type="dxa"/>
            <w:right w:w="0" w:type="dxa"/>
          </w:tblCellMar>
        </w:tblPrEx>
        <w:trPr>
          <w:trHeight w:val="321" w:hRule="atLeast"/>
          <w:jc w:val="center"/>
        </w:trPr>
        <w:tc>
          <w:tcPr>
            <w:tcW w:w="32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35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18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41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68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公开01表</w:t>
            </w:r>
          </w:p>
        </w:tc>
      </w:tr>
      <w:tr>
        <w:tblPrEx>
          <w:tblCellMar>
            <w:top w:w="0" w:type="dxa"/>
            <w:left w:w="0" w:type="dxa"/>
            <w:bottom w:w="0" w:type="dxa"/>
            <w:right w:w="0" w:type="dxa"/>
          </w:tblCellMar>
        </w:tblPrEx>
        <w:trPr>
          <w:trHeight w:val="418" w:hRule="atLeast"/>
          <w:jc w:val="center"/>
        </w:trPr>
        <w:tc>
          <w:tcPr>
            <w:tcW w:w="32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部门：中共石家庄市鹿泉区委宣传部</w:t>
            </w:r>
          </w:p>
        </w:tc>
        <w:tc>
          <w:tcPr>
            <w:tcW w:w="35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18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41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68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295" w:hRule="atLeast"/>
          <w:jc w:val="center"/>
        </w:trPr>
        <w:tc>
          <w:tcPr>
            <w:tcW w:w="477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收入</w:t>
            </w:r>
          </w:p>
        </w:tc>
        <w:tc>
          <w:tcPr>
            <w:tcW w:w="4523"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支出</w:t>
            </w:r>
          </w:p>
        </w:tc>
      </w:tr>
      <w:tr>
        <w:tblPrEx>
          <w:tblCellMar>
            <w:top w:w="0" w:type="dxa"/>
            <w:left w:w="0" w:type="dxa"/>
            <w:bottom w:w="0" w:type="dxa"/>
            <w:right w:w="0" w:type="dxa"/>
          </w:tblCellMar>
        </w:tblPrEx>
        <w:trPr>
          <w:trHeight w:val="295"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r>
      <w:tr>
        <w:tblPrEx>
          <w:tblCellMar>
            <w:top w:w="0" w:type="dxa"/>
            <w:left w:w="0" w:type="dxa"/>
            <w:bottom w:w="0" w:type="dxa"/>
            <w:right w:w="0" w:type="dxa"/>
          </w:tblCellMar>
        </w:tblPrEx>
        <w:trPr>
          <w:trHeight w:val="295"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0" w:type="dxa"/>
            <w:bottom w:w="0" w:type="dxa"/>
            <w:right w:w="0" w:type="dxa"/>
          </w:tblCellMar>
        </w:tblPrEx>
        <w:trPr>
          <w:trHeight w:val="365"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一、财政拨款收入</w:t>
            </w: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4826.71</w:t>
            </w: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一、一般公共服务支出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388.64</w:t>
            </w: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二、上级补助收入</w:t>
            </w: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二、外交支出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三、事业收入</w:t>
            </w: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三、国防支出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四、经营收入</w:t>
            </w: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四、公共安全支出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五、附属单位上缴收入</w:t>
            </w: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五、教育支出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六、其他收入</w:t>
            </w: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rPr>
              <w:t>1514.1</w:t>
            </w:r>
            <w:r>
              <w:rPr>
                <w:rFonts w:hint="eastAsia" w:ascii="宋体" w:hAnsi="宋体" w:cs="宋体"/>
                <w:color w:val="000000"/>
                <w:sz w:val="20"/>
                <w:szCs w:val="20"/>
                <w:lang w:val="en-US" w:eastAsia="zh-CN"/>
              </w:rPr>
              <w:t>0</w:t>
            </w: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六、科学技术支出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七、文化体育与传媒支出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768.94</w:t>
            </w: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八、社会保障和就业支出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16.26</w:t>
            </w: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九、医疗卫生与计划生育支出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11.41</w:t>
            </w: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十、节能环保支出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十一、城乡社区支出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十二、农林水支出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十三、交通运输支出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十四、资源勘探信息等支出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十五、商业服务业等支出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5135.55</w:t>
            </w: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十六、金融支出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十七、援助其他地区支出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十八、国土海洋气象等支出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十九、住房保障支出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9.76</w:t>
            </w: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二十、粮油物资储备支出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二十一、其他支出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二十二、债务还本支出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二十三、债务付息支出</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18"/>
                <w:szCs w:val="18"/>
              </w:rPr>
            </w:pPr>
            <w:r>
              <w:rPr>
                <w:rFonts w:hint="eastAsia" w:ascii="宋体" w:hAnsi="宋体" w:cs="宋体"/>
                <w:color w:val="000000"/>
                <w:sz w:val="18"/>
                <w:szCs w:val="18"/>
              </w:rPr>
              <w:t>6340.81</w:t>
            </w: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本年支出合计</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6330.56</w:t>
            </w:r>
          </w:p>
        </w:tc>
      </w:tr>
      <w:tr>
        <w:tblPrEx>
          <w:tblCellMar>
            <w:top w:w="0" w:type="dxa"/>
            <w:left w:w="0" w:type="dxa"/>
            <w:bottom w:w="0" w:type="dxa"/>
            <w:right w:w="0" w:type="dxa"/>
          </w:tblCellMar>
        </w:tblPrEx>
        <w:trPr>
          <w:trHeight w:val="385"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用事业基金弥补收支差额</w:t>
            </w: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18"/>
                <w:szCs w:val="18"/>
              </w:rPr>
            </w:pP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结余分配</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年初结转和结余</w:t>
            </w: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18"/>
                <w:szCs w:val="18"/>
              </w:rPr>
            </w:pPr>
            <w:r>
              <w:rPr>
                <w:rFonts w:hint="eastAsia" w:ascii="宋体" w:hAnsi="宋体" w:cs="宋体"/>
                <w:color w:val="000000"/>
                <w:sz w:val="18"/>
                <w:szCs w:val="18"/>
              </w:rPr>
              <w:t>17.95</w:t>
            </w: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年末结转和结余</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rPr>
              <w:t>28.2</w:t>
            </w:r>
            <w:r>
              <w:rPr>
                <w:rFonts w:hint="eastAsia" w:ascii="宋体" w:hAnsi="宋体" w:cs="宋体"/>
                <w:color w:val="000000"/>
                <w:sz w:val="20"/>
                <w:szCs w:val="20"/>
                <w:lang w:val="en-US" w:eastAsia="zh-CN"/>
              </w:rPr>
              <w:t>0</w:t>
            </w:r>
          </w:p>
        </w:tc>
      </w:tr>
      <w:tr>
        <w:tblPrEx>
          <w:tblCellMar>
            <w:top w:w="0" w:type="dxa"/>
            <w:left w:w="0" w:type="dxa"/>
            <w:bottom w:w="0" w:type="dxa"/>
            <w:right w:w="0" w:type="dxa"/>
          </w:tblCellMar>
        </w:tblPrEx>
        <w:trPr>
          <w:trHeight w:val="337" w:hRule="atLeast"/>
          <w:jc w:val="center"/>
        </w:trPr>
        <w:tc>
          <w:tcPr>
            <w:tcW w:w="32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3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11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18"/>
                <w:szCs w:val="18"/>
              </w:rPr>
            </w:pPr>
            <w:r>
              <w:rPr>
                <w:rFonts w:hint="eastAsia" w:ascii="宋体" w:hAnsi="宋体" w:cs="宋体"/>
                <w:color w:val="000000"/>
                <w:sz w:val="18"/>
                <w:szCs w:val="18"/>
              </w:rPr>
              <w:t>6358.76</w:t>
            </w:r>
          </w:p>
        </w:tc>
        <w:tc>
          <w:tcPr>
            <w:tcW w:w="24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6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6358.76</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920"/>
        <w:gridCol w:w="150"/>
        <w:gridCol w:w="298"/>
        <w:gridCol w:w="240"/>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收入决</w:t>
            </w:r>
            <w:r>
              <w:rPr>
                <w:sz w:val="44"/>
              </w:rPr>
              <mc:AlternateContent>
                <mc:Choice Requires="wpg">
                  <w:drawing>
                    <wp:anchor distT="0" distB="0" distL="114300" distR="114300" simplePos="0" relativeHeight="25167564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4"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7564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07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9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公开02表</w:t>
            </w:r>
          </w:p>
        </w:tc>
      </w:tr>
      <w:tr>
        <w:tblPrEx>
          <w:tblCellMar>
            <w:top w:w="0" w:type="dxa"/>
            <w:left w:w="0" w:type="dxa"/>
            <w:bottom w:w="0" w:type="dxa"/>
            <w:right w:w="0" w:type="dxa"/>
          </w:tblCellMar>
        </w:tblPrEx>
        <w:trPr>
          <w:trHeight w:val="362" w:hRule="atLeast"/>
          <w:jc w:val="center"/>
        </w:trPr>
        <w:tc>
          <w:tcPr>
            <w:tcW w:w="3422"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部门：中共石家庄市鹿泉区委宣传部</w:t>
            </w:r>
          </w:p>
        </w:tc>
        <w:tc>
          <w:tcPr>
            <w:tcW w:w="29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w:t>
            </w:r>
          </w:p>
        </w:tc>
        <w:tc>
          <w:tcPr>
            <w:tcW w:w="920" w:type="dxa"/>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920" w:type="dxa"/>
            <w:gridSpan w:val="4"/>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功能分类科目编码</w:t>
            </w:r>
          </w:p>
        </w:tc>
        <w:tc>
          <w:tcPr>
            <w:tcW w:w="1318"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科目名称</w:t>
            </w:r>
          </w:p>
        </w:tc>
        <w:tc>
          <w:tcPr>
            <w:tcW w:w="920" w:type="dxa"/>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4"/>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b/>
                <w:color w:val="000000"/>
                <w:sz w:val="18"/>
                <w:szCs w:val="18"/>
              </w:rPr>
            </w:pPr>
            <w:r>
              <w:rPr>
                <w:rFonts w:hint="eastAsia" w:ascii="宋体" w:hAnsi="宋体" w:cs="宋体"/>
                <w:b/>
                <w:color w:val="000000"/>
                <w:sz w:val="18"/>
                <w:szCs w:val="18"/>
              </w:rPr>
              <w:t>6340.81</w:t>
            </w:r>
          </w:p>
        </w:tc>
        <w:tc>
          <w:tcPr>
            <w:tcW w:w="920"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b/>
                <w:color w:val="000000"/>
                <w:sz w:val="18"/>
                <w:szCs w:val="18"/>
              </w:rPr>
            </w:pPr>
            <w:r>
              <w:rPr>
                <w:rFonts w:hint="eastAsia" w:ascii="宋体" w:hAnsi="宋体" w:cs="宋体"/>
                <w:b/>
                <w:color w:val="000000"/>
                <w:sz w:val="18"/>
                <w:szCs w:val="18"/>
              </w:rPr>
              <w:t>4826.71</w:t>
            </w: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332"/>
              </w:tabs>
              <w:spacing w:after="0" w:line="240" w:lineRule="atLeast"/>
              <w:jc w:val="center"/>
              <w:rPr>
                <w:rFonts w:hint="default" w:ascii="宋体" w:hAnsi="宋体" w:eastAsia="宋体" w:cs="宋体"/>
                <w:b/>
                <w:color w:val="000000"/>
                <w:sz w:val="18"/>
                <w:szCs w:val="18"/>
                <w:lang w:val="en-US" w:eastAsia="zh-CN"/>
              </w:rPr>
            </w:pPr>
            <w:r>
              <w:rPr>
                <w:rFonts w:hint="eastAsia" w:ascii="宋体" w:hAnsi="宋体" w:cs="宋体"/>
                <w:b/>
                <w:color w:val="000000"/>
                <w:sz w:val="18"/>
                <w:szCs w:val="18"/>
                <w:lang w:eastAsia="zh-CN"/>
              </w:rPr>
              <w:t>1514.1</w:t>
            </w:r>
            <w:r>
              <w:rPr>
                <w:rFonts w:hint="eastAsia" w:ascii="宋体" w:hAnsi="宋体" w:cs="宋体"/>
                <w:b/>
                <w:color w:val="000000"/>
                <w:sz w:val="18"/>
                <w:szCs w:val="18"/>
                <w:lang w:val="en-US" w:eastAsia="zh-CN"/>
              </w:rPr>
              <w:t>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kern w:val="0"/>
                <w:sz w:val="20"/>
                <w:szCs w:val="20"/>
                <w:lang w:bidi="ar"/>
              </w:rPr>
              <w:t>201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kern w:val="0"/>
                <w:sz w:val="20"/>
                <w:szCs w:val="20"/>
                <w:lang w:bidi="ar"/>
              </w:rPr>
              <w:t>一般公共服务支出</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398.18</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397.27</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0.91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20133</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宣传事务</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398.18</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397.27</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0.91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2013301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行政运行</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231.18</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230.27</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0.91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2013302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一般行政管理事务</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rPr>
              <w:t>97</w:t>
            </w:r>
            <w:r>
              <w:rPr>
                <w:rFonts w:hint="eastAsia" w:ascii="宋体" w:hAnsi="宋体" w:cs="宋体"/>
                <w:color w:val="000000"/>
                <w:szCs w:val="21"/>
                <w:lang w:val="en-US" w:eastAsia="zh-CN"/>
              </w:rPr>
              <w:t>.00</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rPr>
              <w:t>97</w:t>
            </w:r>
            <w:r>
              <w:rPr>
                <w:rFonts w:hint="eastAsia" w:ascii="宋体" w:hAnsi="宋体" w:cs="宋体"/>
                <w:color w:val="000000"/>
                <w:szCs w:val="21"/>
                <w:lang w:val="en-US" w:eastAsia="zh-CN"/>
              </w:rPr>
              <w:t>.00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2013350</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事业运行</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5.00</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2013399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其他宣传事务支出</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65.00</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65.00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文化体育与传媒支出</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768.94</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751.24</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Cs w:val="21"/>
                <w:lang w:val="en-US" w:eastAsia="zh-CN"/>
              </w:rPr>
            </w:pPr>
            <w:r>
              <w:rPr>
                <w:rFonts w:hint="eastAsia" w:ascii="宋体" w:hAnsi="宋体" w:cs="宋体"/>
                <w:color w:val="000000"/>
                <w:szCs w:val="21"/>
              </w:rPr>
              <w:t>17.7</w:t>
            </w:r>
            <w:r>
              <w:rPr>
                <w:rFonts w:hint="eastAsia" w:ascii="宋体" w:hAnsi="宋体" w:cs="宋体"/>
                <w:color w:val="000000"/>
                <w:szCs w:val="21"/>
                <w:lang w:val="en-US" w:eastAsia="zh-CN"/>
              </w:rPr>
              <w:t>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20701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文化</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135.00</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135.00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2070199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其他文化支出</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135.00</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135.00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20799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其他文化体育与传媒支出</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633.94</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616.24</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17.70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2079902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宣传文化发展专项支出</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100.00</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2079903</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文化产业发展专项支出</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510.14</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510.14</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2079999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其他文化体育与传媒支出</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Cs w:val="21"/>
                <w:lang w:val="en-US" w:eastAsia="zh-CN"/>
              </w:rPr>
            </w:pPr>
            <w:r>
              <w:rPr>
                <w:rFonts w:hint="eastAsia" w:ascii="宋体" w:hAnsi="宋体" w:cs="宋体"/>
                <w:color w:val="000000"/>
                <w:szCs w:val="21"/>
              </w:rPr>
              <w:t>23.8</w:t>
            </w:r>
            <w:r>
              <w:rPr>
                <w:rFonts w:hint="eastAsia" w:ascii="宋体" w:hAnsi="宋体" w:cs="宋体"/>
                <w:color w:val="000000"/>
                <w:szCs w:val="21"/>
                <w:lang w:val="en-US" w:eastAsia="zh-CN"/>
              </w:rPr>
              <w:t>0</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Cs w:val="21"/>
                <w:lang w:val="en-US" w:eastAsia="zh-CN"/>
              </w:rPr>
            </w:pPr>
            <w:r>
              <w:rPr>
                <w:rFonts w:hint="eastAsia" w:ascii="宋体" w:hAnsi="宋体" w:cs="宋体"/>
                <w:color w:val="000000"/>
                <w:szCs w:val="21"/>
              </w:rPr>
              <w:t>6.1</w:t>
            </w:r>
            <w:r>
              <w:rPr>
                <w:rFonts w:hint="eastAsia" w:ascii="宋体" w:hAnsi="宋体" w:cs="宋体"/>
                <w:color w:val="000000"/>
                <w:szCs w:val="21"/>
                <w:lang w:val="en-US" w:eastAsia="zh-CN"/>
              </w:rPr>
              <w:t>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17.70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kern w:val="0"/>
                <w:sz w:val="20"/>
                <w:szCs w:val="20"/>
                <w:lang w:bidi="ar"/>
              </w:rPr>
              <w:t>社会保障和就业支出</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16.26</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16.26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20805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kern w:val="0"/>
                <w:sz w:val="20"/>
                <w:szCs w:val="20"/>
                <w:lang w:bidi="ar"/>
              </w:rPr>
              <w:t>行政事业单位离退休</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16.26</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16.26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2080505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kern w:val="0"/>
                <w:sz w:val="20"/>
                <w:szCs w:val="20"/>
                <w:lang w:bidi="ar"/>
              </w:rPr>
              <w:t>机关事业单位基本养老保险缴费支出</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16.26</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16.26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医疗卫生与计划生育支出</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12.12</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12.12</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21011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行政事业单位医疗</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12.12</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12.12</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2101101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行政单位医疗</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12.12</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12.12</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216</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商业服务业等支出</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5135.55</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3640.06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1495.49</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21605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旅游业管理与服务支出</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5135.55</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3640.06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1495.49</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2160504</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旅游宣传</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5135.55</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3640.06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1495.49</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住房保障支出</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9.76</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9.76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22102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住房改革支出</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9.76</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9.76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2210201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住房公积金</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9.76</w:t>
            </w:r>
          </w:p>
        </w:tc>
        <w:tc>
          <w:tcPr>
            <w:tcW w:w="92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9.76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509"/>
        <w:gridCol w:w="1411"/>
        <w:gridCol w:w="892"/>
        <w:gridCol w:w="191"/>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支出决算</w:t>
            </w:r>
            <w:r>
              <w:rPr>
                <w:sz w:val="44"/>
              </w:rP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mlLK3AAAAA0BAAAPAAAAAAAAAAEA&#10;IAAAACIAAABkcnMvZG93bnJldi54bWxQSwECFAAUAAAACACHTuJATKGUYCgDAADuCAAADgAAAAAA&#10;AAABACAAAAArAQAAZHJzL2Uyb0RvYy54bWxQSwUGAAAAAAYABgBZAQAAx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411"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9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7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公开03表</w:t>
            </w:r>
          </w:p>
        </w:tc>
      </w:tr>
      <w:tr>
        <w:tblPrEx>
          <w:tblCellMar>
            <w:top w:w="0" w:type="dxa"/>
            <w:left w:w="0" w:type="dxa"/>
            <w:bottom w:w="0" w:type="dxa"/>
            <w:right w:w="0" w:type="dxa"/>
          </w:tblCellMar>
        </w:tblPrEx>
        <w:trPr>
          <w:trHeight w:val="380" w:hRule="atLeast"/>
        </w:trPr>
        <w:tc>
          <w:tcPr>
            <w:tcW w:w="3391"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部门：中共石家庄市鹿泉区委宣传部</w:t>
            </w:r>
          </w:p>
        </w:tc>
        <w:tc>
          <w:tcPr>
            <w:tcW w:w="87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对附属单位补助支出</w:t>
            </w:r>
          </w:p>
        </w:tc>
      </w:tr>
      <w:tr>
        <w:tblPrEx>
          <w:tblCellMar>
            <w:top w:w="0" w:type="dxa"/>
            <w:left w:w="0" w:type="dxa"/>
            <w:bottom w:w="0" w:type="dxa"/>
            <w:right w:w="0" w:type="dxa"/>
          </w:tblCellMar>
        </w:tblPrEx>
        <w:trPr>
          <w:trHeight w:val="782"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083"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6330.56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271.32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6059.24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201</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一般公共服务支出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388.64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233.89</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154.75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20133</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宣传事务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388.64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233.89</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154.75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2013301</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行政运行</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Cs w:val="21"/>
                <w:lang w:val="en-US" w:eastAsia="zh-CN"/>
              </w:rPr>
            </w:pPr>
            <w:r>
              <w:rPr>
                <w:rFonts w:hint="eastAsia" w:ascii="宋体" w:hAnsi="宋体" w:cs="宋体"/>
                <w:color w:val="000000"/>
                <w:szCs w:val="21"/>
              </w:rPr>
              <w:t>220.8</w:t>
            </w:r>
            <w:r>
              <w:rPr>
                <w:rFonts w:hint="eastAsia" w:ascii="宋体" w:hAnsi="宋体" w:cs="宋体"/>
                <w:color w:val="000000"/>
                <w:szCs w:val="21"/>
                <w:lang w:val="en-US" w:eastAsia="zh-CN"/>
              </w:rPr>
              <w:t>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Cs w:val="21"/>
                <w:lang w:val="en-US" w:eastAsia="zh-CN"/>
              </w:rPr>
            </w:pPr>
            <w:r>
              <w:rPr>
                <w:rFonts w:hint="eastAsia" w:ascii="宋体" w:hAnsi="宋体" w:cs="宋体"/>
                <w:color w:val="000000"/>
                <w:szCs w:val="21"/>
              </w:rPr>
              <w:t>220.8</w:t>
            </w:r>
            <w:r>
              <w:rPr>
                <w:rFonts w:hint="eastAsia" w:ascii="宋体" w:hAnsi="宋体" w:cs="宋体"/>
                <w:color w:val="000000"/>
                <w:szCs w:val="21"/>
                <w:lang w:val="en-US" w:eastAsia="zh-CN"/>
              </w:rPr>
              <w:t>0</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2013302</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一般行政管理事务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97.83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8.08</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89.75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2013350</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事业运行</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5.00</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2013399</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其他宣传事务支出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65.00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65.00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207</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文化体育与传媒支出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768.94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768.94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20701</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文化</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135.00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135.00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2070199</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其他文化支出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135.00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135.00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20799</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其他文化体育与传媒支出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633.94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633.94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2079902</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宣传文化发展专项支出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2079903</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文化产业发展专项支出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510.14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510.14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2079999</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其他文化体育与传媒支出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Cs w:val="21"/>
                <w:lang w:val="en-US" w:eastAsia="zh-CN"/>
              </w:rPr>
            </w:pPr>
            <w:r>
              <w:rPr>
                <w:rFonts w:hint="eastAsia" w:ascii="宋体" w:hAnsi="宋体" w:cs="宋体"/>
                <w:color w:val="000000"/>
                <w:szCs w:val="21"/>
              </w:rPr>
              <w:t>23.8</w:t>
            </w:r>
            <w:r>
              <w:rPr>
                <w:rFonts w:hint="eastAsia" w:ascii="宋体" w:hAnsi="宋体" w:cs="宋体"/>
                <w:color w:val="000000"/>
                <w:szCs w:val="21"/>
                <w:lang w:val="en-US" w:eastAsia="zh-CN"/>
              </w:rPr>
              <w:t>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23.80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208</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社会保障和就业支出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16.26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16.26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20805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行政事业单位离退休</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16.26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16.26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2080505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机关事业单位基本养老保险缴费支出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16.26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16.26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210</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医疗卫生与计划生育支出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11.41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11.41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21011</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行政事业单位医疗</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11.41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11.41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2101101</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行政单位医疗</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11.41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11.41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216</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商业服务业等支出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5135.55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5135.55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21605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旅游业管理与服务支出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5135.55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5135.55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2160504</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旅游宣传</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5135.55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5135.55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221</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住房保障支出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9.76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9.76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22102</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住房改革支出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9.76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9.76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8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2210201</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住房公积金</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9.76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9.76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财政拨款收入支出决</w:t>
            </w:r>
            <w:r>
              <w:rPr>
                <w:sz w:val="44"/>
              </w:rP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3"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F5b3vwpAwAA7ggAAA4AAAAA&#10;AAAAAQAgAAAAKwEAAGRycy9lMm9Eb2MueG1sUEsFBgAAAAAGAAYAWQEAAMY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部门：中共石家庄市鹿泉区委宣传部</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4826.71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387.73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387.73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751.24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751.24</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16.26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16.26</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lang w:bidi="ar"/>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11.41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11.41</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3640.06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3640.06</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12"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4826.71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4816.46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4816.46</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17.95</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8"/>
                <w:szCs w:val="18"/>
                <w:lang w:val="en-US" w:eastAsia="zh-CN"/>
              </w:rPr>
            </w:pPr>
            <w:r>
              <w:rPr>
                <w:rFonts w:hint="eastAsia" w:ascii="宋体" w:hAnsi="宋体" w:cs="宋体"/>
                <w:color w:val="000000"/>
                <w:sz w:val="18"/>
                <w:szCs w:val="18"/>
              </w:rPr>
              <w:t>28.2</w:t>
            </w:r>
            <w:r>
              <w:rPr>
                <w:rFonts w:hint="eastAsia" w:ascii="宋体" w:hAnsi="宋体" w:cs="宋体"/>
                <w:color w:val="000000"/>
                <w:sz w:val="18"/>
                <w:szCs w:val="18"/>
                <w:lang w:val="en-US" w:eastAsia="zh-CN"/>
              </w:rPr>
              <w:t>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8"/>
                <w:szCs w:val="18"/>
                <w:lang w:val="en-US" w:eastAsia="zh-CN"/>
              </w:rPr>
            </w:pPr>
            <w:r>
              <w:rPr>
                <w:rFonts w:hint="eastAsia" w:ascii="宋体" w:hAnsi="宋体" w:cs="宋体"/>
                <w:color w:val="000000"/>
                <w:sz w:val="18"/>
                <w:szCs w:val="18"/>
              </w:rPr>
              <w:t>28.2</w:t>
            </w:r>
            <w:r>
              <w:rPr>
                <w:rFonts w:hint="eastAsia" w:ascii="宋体" w:hAnsi="宋体" w:cs="宋体"/>
                <w:color w:val="000000"/>
                <w:sz w:val="18"/>
                <w:szCs w:val="18"/>
                <w:lang w:val="en-US" w:eastAsia="zh-CN"/>
              </w:rPr>
              <w:t>0</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17.95</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4844.66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4844.66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4844.66</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w:t>
            </w:r>
            <w:r>
              <w:rPr>
                <w:sz w:val="44"/>
              </w:rP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6"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JpSytwAAAANAQAADwAAAAAAAAABACAA&#10;AAAiAAAAZHJzL2Rvd25yZXYueG1sUEsBAhQAFAAAAAgAh07iQLS7gBcmAwAA7ggAAA4AAAAAAAAA&#10;AQAgAAAAKwEAAGRycy9lMm9Eb2MueG1sUEsFBgAAAAAGAAYAWQEAAMM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部门：中共石家庄市鹿泉区委宣传部</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4816.46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270.41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4546.05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387.73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232.98</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154.75</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20133</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宣传事务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387.73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232.98</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154.75</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2013301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219.90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219.90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2013302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97.83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8.08</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89.75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2013350</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事业运行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5.00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5.00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2013399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其他宣传事务支出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65.00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65.00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文化体育与传媒支出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751.24</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751.24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20701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文化</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135.00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135.00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2070199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其他文化支出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135.00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135.00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20799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其他文化体育与传媒支出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616.24</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616.24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2079902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宣传文化发展专项支出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100.00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2079903</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文化产业发展专项支出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510.14</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510.14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2079999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其他文化体育与传媒支出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6.10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6.10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16.26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16.26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20805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16.26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16.26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2080505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16.26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16.26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11.41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11.41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21011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11.41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11.41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2101101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11.41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11.41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216</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商业服务业等支出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3640.06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3640.06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21605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旅游业管理与服务支出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3640.06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3640.06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2160504</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旅游宣传</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3640.06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3640.06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9.76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9.76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22102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9.76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9.76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2210201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9.76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9.76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部门：中共石家庄市鹿泉区委宣传部</w:t>
            </w:r>
            <w:r>
              <w:rPr>
                <w:sz w:val="44"/>
              </w:rPr>
              <mc:AlternateContent>
                <mc:Choice Requires="wpg">
                  <w:drawing>
                    <wp:anchor distT="0" distB="0" distL="114300" distR="114300" simplePos="0" relativeHeight="251679744"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9"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25pt;margin-top:-129.4pt;height:41.2pt;width:243.2pt;mso-position-vertical-relative:page;z-index:251679744;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DI+9N0AAAAOAQAADwAAAAAAAAABACAA&#10;AAAiAAAAZHJzL2Rvd25yZXYueG1sUEsBAhQAFAAAAAgAh07iQORqdSQlAwAA7ggAAA4AAAAAAAAA&#10;AQAgAAAALAEAAGRycy9lMm9Eb2MueG1sUEsFBgAAAAAGAAYAWQEAAMM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249.25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17.21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cs="宋体"/>
                <w:color w:val="000000"/>
                <w:sz w:val="16"/>
                <w:szCs w:val="16"/>
              </w:rPr>
              <w:t>44.3</w:t>
            </w:r>
            <w:r>
              <w:rPr>
                <w:rFonts w:hint="eastAsia" w:ascii="宋体" w:hAnsi="宋体" w:cs="宋体"/>
                <w:color w:val="000000"/>
                <w:sz w:val="16"/>
                <w:szCs w:val="16"/>
                <w:lang w:val="en-US" w:eastAsia="zh-CN"/>
              </w:rPr>
              <w:t>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3.14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38.81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61.51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6.57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27.67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1.93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11.46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3.87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9.76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49.17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3.96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3.96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2.31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5.77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253.21</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17.21</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w:t>
            </w:r>
            <w:r>
              <w:rPr>
                <w:sz w:val="44"/>
              </w:rPr>
              <mc:AlternateContent>
                <mc:Choice Requires="wpg">
                  <w:drawing>
                    <wp:anchor distT="0" distB="0" distL="114300" distR="114300" simplePos="0" relativeHeight="25168076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2"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8076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wnm4jcAAAADQEAAA8AAAAAAAAAAQAgAAAA&#10;IgAAAGRycy9kb3ducmV2LnhtbFBLAQIUABQAAAAIAIdO4kBoNz3RJAMAAO4IAAAOAAAAAAAAAAEA&#10;IAAAACsBAABkcnMvZTJvRG9jLnhtbFBLBQYAAAAABgAGAFkBAADB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部门：中共石家庄市鹿泉区委宣传部</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2.70</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2.70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2.70</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2.31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2.31</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2.31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421"/>
        <w:gridCol w:w="585"/>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lang w:bidi="ar"/>
              </w:rPr>
              <w:t>政府性基金预算财政拨款</w:t>
            </w:r>
            <w:r>
              <w:rPr>
                <w:sz w:val="44"/>
              </w:rP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5"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179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36"/>
                <w:szCs w:val="36"/>
                <w:lang w:bidi="ar"/>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797"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585"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公开08表</w:t>
            </w:r>
          </w:p>
        </w:tc>
      </w:tr>
      <w:tr>
        <w:tblPrEx>
          <w:tblCellMar>
            <w:top w:w="0" w:type="dxa"/>
            <w:left w:w="0" w:type="dxa"/>
            <w:bottom w:w="0" w:type="dxa"/>
            <w:right w:w="0" w:type="dxa"/>
          </w:tblCellMar>
        </w:tblPrEx>
        <w:trPr>
          <w:trHeight w:val="411" w:hRule="atLeast"/>
        </w:trPr>
        <w:tc>
          <w:tcPr>
            <w:tcW w:w="3432"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部门：中共石家庄市鹿泉区委宣传部</w:t>
            </w:r>
          </w:p>
        </w:tc>
        <w:tc>
          <w:tcPr>
            <w:tcW w:w="585"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42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年初结转和结余</w:t>
            </w:r>
          </w:p>
        </w:tc>
        <w:tc>
          <w:tcPr>
            <w:tcW w:w="58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42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58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42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58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42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58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注：本部门本年度无相关收入（或支出、收支及结转结余等）情况，按要求空表列示。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968"/>
        <w:gridCol w:w="930"/>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国有资本经营预算财政拨</w:t>
            </w:r>
            <w:r>
              <w:rPr>
                <w:sz w:val="44"/>
              </w:rP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8"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289"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公开09表</w:t>
            </w:r>
          </w:p>
        </w:tc>
      </w:tr>
      <w:tr>
        <w:tblPrEx>
          <w:tblCellMar>
            <w:top w:w="0" w:type="dxa"/>
            <w:left w:w="0" w:type="dxa"/>
            <w:bottom w:w="0" w:type="dxa"/>
            <w:right w:w="0" w:type="dxa"/>
          </w:tblCellMar>
        </w:tblPrEx>
        <w:trPr>
          <w:trHeight w:val="335" w:hRule="atLeast"/>
        </w:trPr>
        <w:tc>
          <w:tcPr>
            <w:tcW w:w="4073"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编制单位：中共石家庄市鹿泉区委宣传部</w:t>
            </w:r>
          </w:p>
        </w:tc>
        <w:tc>
          <w:tcPr>
            <w:tcW w:w="1289"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注：本部门本年度无相关收入（或支出、收支及结转结余等）情况，按要求空表列示。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政府采购</w:t>
            </w:r>
            <w:r>
              <w:rPr>
                <w:sz w:val="44"/>
              </w:rP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61"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6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编制单位：中共石家庄市鹿泉区委宣传部</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rPr>
              <w:t>850</w:t>
            </w:r>
            <w:r>
              <w:rPr>
                <w:rFonts w:hint="eastAsia" w:ascii="宋体" w:hAnsi="宋体" w:cs="宋体"/>
                <w:color w:val="000000"/>
                <w:szCs w:val="21"/>
                <w:lang w:val="en-US" w:eastAsia="zh-CN"/>
              </w:rPr>
              <w:t>.00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rPr>
              <w:t>850</w:t>
            </w:r>
            <w:r>
              <w:rPr>
                <w:rFonts w:hint="eastAsia" w:ascii="宋体" w:hAnsi="宋体" w:cs="宋体"/>
                <w:color w:val="000000"/>
                <w:szCs w:val="21"/>
                <w:lang w:val="en-US" w:eastAsia="zh-CN"/>
              </w:rPr>
              <w:t>.00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rPr>
              <w:t>850</w:t>
            </w:r>
            <w:r>
              <w:rPr>
                <w:rFonts w:hint="eastAsia" w:ascii="宋体" w:hAnsi="宋体" w:cs="宋体"/>
                <w:color w:val="000000"/>
                <w:szCs w:val="21"/>
                <w:lang w:val="en-US" w:eastAsia="zh-CN"/>
              </w:rPr>
              <w:t>.00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150.00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150.00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150.00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700.00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700.00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700.00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rPr>
              <w:t>776</w:t>
            </w:r>
            <w:r>
              <w:rPr>
                <w:rFonts w:hint="eastAsia" w:ascii="宋体" w:hAnsi="宋体" w:cs="宋体"/>
                <w:color w:val="000000"/>
                <w:szCs w:val="21"/>
                <w:lang w:val="en-US" w:eastAsia="zh-CN"/>
              </w:rPr>
              <w:t>.00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rPr>
              <w:t>776</w:t>
            </w:r>
            <w:r>
              <w:rPr>
                <w:rFonts w:hint="eastAsia" w:ascii="宋体" w:hAnsi="宋体" w:cs="宋体"/>
                <w:color w:val="000000"/>
                <w:szCs w:val="21"/>
                <w:lang w:val="en-US" w:eastAsia="zh-CN"/>
              </w:rPr>
              <w:t>.00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rPr>
              <w:t>776</w:t>
            </w:r>
            <w:r>
              <w:rPr>
                <w:rFonts w:hint="eastAsia" w:ascii="宋体" w:hAnsi="宋体" w:cs="宋体"/>
                <w:color w:val="000000"/>
                <w:szCs w:val="21"/>
                <w:lang w:val="en-US" w:eastAsia="zh-CN"/>
              </w:rPr>
              <w:t>.00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142.00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142.00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142.00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634.00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634.00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634.00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注：本表反映部门本年度纳入部门预算范围的政府采购预算及支出情况。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9203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203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pStyle w:val="3"/>
        <w:spacing w:before="0" w:after="0" w:line="580" w:lineRule="exact"/>
        <w:ind w:firstLine="640" w:firstLineChars="200"/>
        <w:rPr>
          <w:rFonts w:hint="eastAsia" w:ascii="仿宋_GB2312" w:eastAsia="仿宋_GB2312" w:cs="DengXian-Regular"/>
          <w:b w:val="0"/>
          <w:bCs w:val="0"/>
          <w:sz w:val="32"/>
          <w:szCs w:val="32"/>
          <w:lang w:eastAsia="zh-CN"/>
        </w:rPr>
      </w:pPr>
      <w:r>
        <w:rPr>
          <w:rFonts w:hint="eastAsia" w:ascii="仿宋_GB2312" w:eastAsia="仿宋_GB2312" w:cs="DengXian-Regular"/>
          <w:b w:val="0"/>
          <w:bCs w:val="0"/>
          <w:sz w:val="32"/>
          <w:szCs w:val="32"/>
        </w:rPr>
        <w:t>本部门2018年度年初结转和结余17.95万元，本年收入6,340.81万元，本年支出6,330.56万元，年末结转和结余28.2万元。与2017年度决算相比，</w:t>
      </w:r>
      <w:r>
        <w:rPr>
          <w:rFonts w:hint="eastAsia" w:ascii="仿宋_GB2312" w:eastAsia="仿宋_GB2312" w:cs="DengXian-Regular"/>
          <w:b w:val="0"/>
          <w:bCs w:val="0"/>
          <w:sz w:val="32"/>
          <w:szCs w:val="32"/>
          <w:lang w:val="en-US" w:eastAsia="zh-CN"/>
        </w:rPr>
        <w:t>收入增加5690.59万元，增长875.18%，主要原因是筹备旅发大会、啤酒节等重大活动项目增加。支出增加5680.23万元，增长873.44%</w:t>
      </w:r>
      <w:r>
        <w:rPr>
          <w:rFonts w:hint="eastAsia" w:ascii="仿宋_GB2312" w:eastAsia="仿宋_GB2312" w:cs="DengXian-Regular"/>
          <w:b w:val="0"/>
          <w:bCs w:val="0"/>
          <w:sz w:val="32"/>
          <w:szCs w:val="32"/>
        </w:rPr>
        <w:t>，主要原因是人员工资增加及项目费用的增加</w:t>
      </w:r>
      <w:r>
        <w:rPr>
          <w:rFonts w:hint="eastAsia" w:ascii="仿宋_GB2312" w:eastAsia="仿宋_GB2312" w:cs="DengXian-Regular"/>
          <w:b w:val="0"/>
          <w:bCs w:val="0"/>
          <w:sz w:val="32"/>
          <w:szCs w:val="32"/>
          <w:lang w:eastAsia="zh-CN"/>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6340.81</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4826.71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76.12</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1514.10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23.88</w:t>
      </w:r>
      <w:r>
        <w:rPr>
          <w:rFonts w:hint="eastAsia" w:ascii="仿宋_GB2312" w:eastAsia="仿宋_GB2312" w:cs="DengXian-Regular"/>
          <w:sz w:val="32"/>
          <w:szCs w:val="32"/>
        </w:rPr>
        <w:t>%。如图所示：</w:t>
      </w:r>
    </w:p>
    <w:p>
      <w:pPr>
        <w:adjustRightInd w:val="0"/>
        <w:snapToGrid w:val="0"/>
        <w:spacing w:after="0" w:line="580" w:lineRule="exact"/>
        <w:ind w:firstLine="1920" w:firstLineChars="6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anchor distT="0" distB="0" distL="114300" distR="114300" simplePos="0" relativeHeight="251696128" behindDoc="0" locked="0" layoutInCell="1" allowOverlap="1">
            <wp:simplePos x="0" y="0"/>
            <wp:positionH relativeFrom="column">
              <wp:posOffset>283845</wp:posOffset>
            </wp:positionH>
            <wp:positionV relativeFrom="paragraph">
              <wp:posOffset>97155</wp:posOffset>
            </wp:positionV>
            <wp:extent cx="5155565" cy="2924810"/>
            <wp:effectExtent l="4445" t="4445" r="21590" b="23495"/>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pStyle w:val="3"/>
        <w:spacing w:before="0" w:after="0" w:line="580" w:lineRule="exact"/>
        <w:ind w:firstLine="640" w:firstLineChars="200"/>
        <w:rPr>
          <w:rFonts w:hint="eastAsia"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6330.56</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271.32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4.29</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6059.24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95.71</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anchor distT="0" distB="0" distL="114300" distR="114300" simplePos="0" relativeHeight="251694080" behindDoc="0" locked="0" layoutInCell="1" allowOverlap="1">
            <wp:simplePos x="0" y="0"/>
            <wp:positionH relativeFrom="column">
              <wp:posOffset>344170</wp:posOffset>
            </wp:positionH>
            <wp:positionV relativeFrom="paragraph">
              <wp:posOffset>137160</wp:posOffset>
            </wp:positionV>
            <wp:extent cx="4975225" cy="3162935"/>
            <wp:effectExtent l="4445" t="4445" r="11430" b="13970"/>
            <wp:wrapNone/>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2640" w:firstLineChars="600"/>
        <w:rPr>
          <w:rFonts w:ascii="仿宋_GB2312" w:eastAsia="仿宋_GB2312" w:cs="DengXian-Regular"/>
          <w:sz w:val="32"/>
          <w:szCs w:val="32"/>
        </w:rPr>
      </w:pPr>
      <w:r>
        <w:rPr>
          <w:sz w:val="44"/>
        </w:rPr>
        <mc:AlternateContent>
          <mc:Choice Requires="wpg">
            <w:drawing>
              <wp:anchor distT="0" distB="0" distL="114300" distR="114300" simplePos="0" relativeHeight="25168486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486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hint="eastAsia" w:ascii="仿宋_GB2312" w:eastAsia="仿宋_GB2312" w:cs="DengXian-Regular"/>
          <w:b w:val="0"/>
          <w:bCs w:val="0"/>
          <w:sz w:val="32"/>
          <w:szCs w:val="32"/>
          <w:lang w:eastAsia="zh-CN"/>
        </w:rPr>
      </w:pPr>
      <w:r>
        <w:rPr>
          <w:rFonts w:hint="eastAsia" w:ascii="仿宋_GB2312" w:eastAsia="仿宋_GB2312" w:cs="DengXian-Regular"/>
          <w:sz w:val="32"/>
          <w:szCs w:val="32"/>
        </w:rPr>
        <w:t>本部门2018年度形成的财政拨款收支均为一般公共预算财政拨款，其中一般公共预算财政拨款年初结转和结余17.95万元，本年收入</w:t>
      </w:r>
      <w:r>
        <w:rPr>
          <w:rFonts w:hint="eastAsia" w:ascii="仿宋_GB2312" w:eastAsia="仿宋_GB2312" w:cs="DengXian-Regular"/>
          <w:sz w:val="32"/>
          <w:szCs w:val="32"/>
          <w:lang w:val="en-US" w:eastAsia="zh-CN"/>
        </w:rPr>
        <w:t>4826.71</w:t>
      </w:r>
      <w:r>
        <w:rPr>
          <w:rFonts w:hint="eastAsia" w:ascii="仿宋_GB2312" w:eastAsia="仿宋_GB2312" w:cs="DengXian-Regular"/>
          <w:sz w:val="32"/>
          <w:szCs w:val="32"/>
        </w:rPr>
        <w:t>万元,比2017年度增加</w:t>
      </w:r>
      <w:r>
        <w:rPr>
          <w:rFonts w:hint="eastAsia" w:ascii="仿宋_GB2312" w:eastAsia="仿宋_GB2312" w:cs="DengXian-Regular"/>
          <w:sz w:val="32"/>
          <w:szCs w:val="32"/>
          <w:lang w:val="en-US" w:eastAsia="zh-CN"/>
        </w:rPr>
        <w:t>4318.49</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849.73</w:t>
      </w:r>
      <w:r>
        <w:rPr>
          <w:rFonts w:hint="eastAsia" w:ascii="仿宋_GB2312" w:eastAsia="仿宋_GB2312" w:cs="DengXian-Regular"/>
          <w:sz w:val="32"/>
          <w:szCs w:val="32"/>
        </w:rPr>
        <w:t>%，主要是</w:t>
      </w:r>
      <w:r>
        <w:rPr>
          <w:rFonts w:hint="eastAsia" w:ascii="仿宋_GB2312" w:eastAsia="仿宋_GB2312" w:cs="DengXian-Regular"/>
          <w:b w:val="0"/>
          <w:bCs w:val="0"/>
          <w:sz w:val="32"/>
          <w:szCs w:val="32"/>
          <w:lang w:val="en-US" w:eastAsia="zh-CN"/>
        </w:rPr>
        <w:t>筹备旅发大会、啤酒节等重大活动项目增加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4816.46</w:t>
      </w:r>
      <w:r>
        <w:rPr>
          <w:rFonts w:hint="eastAsia" w:ascii="仿宋_GB2312" w:eastAsia="仿宋_GB2312" w:cs="DengXian-Regular"/>
          <w:sz w:val="32"/>
          <w:szCs w:val="32"/>
        </w:rPr>
        <w:t>万元，年末结转和结余28.2万元。增加</w:t>
      </w:r>
      <w:r>
        <w:rPr>
          <w:rFonts w:hint="eastAsia" w:ascii="仿宋_GB2312" w:eastAsia="仿宋_GB2312" w:cs="DengXian-Regular"/>
          <w:sz w:val="32"/>
          <w:szCs w:val="32"/>
          <w:lang w:val="en-US" w:eastAsia="zh-CN"/>
        </w:rPr>
        <w:t>4308.13</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847.51</w:t>
      </w:r>
      <w:r>
        <w:rPr>
          <w:rFonts w:hint="eastAsia" w:ascii="仿宋_GB2312" w:eastAsia="仿宋_GB2312" w:cs="DengXian-Regular"/>
          <w:sz w:val="32"/>
          <w:szCs w:val="32"/>
        </w:rPr>
        <w:t>%，主要是</w:t>
      </w:r>
      <w:r>
        <w:rPr>
          <w:rFonts w:hint="eastAsia" w:ascii="仿宋_GB2312" w:eastAsia="仿宋_GB2312" w:cs="DengXian-Regular"/>
          <w:b w:val="0"/>
          <w:bCs w:val="0"/>
          <w:sz w:val="32"/>
          <w:szCs w:val="32"/>
        </w:rPr>
        <w:t>人员工资增加及项目费用的增加</w:t>
      </w:r>
      <w:r>
        <w:rPr>
          <w:rFonts w:hint="eastAsia" w:ascii="仿宋_GB2312" w:eastAsia="仿宋_GB2312" w:cs="DengXian-Regular"/>
          <w:b w:val="0"/>
          <w:bCs w:val="0"/>
          <w:sz w:val="32"/>
          <w:szCs w:val="32"/>
          <w:lang w:eastAsia="zh-CN"/>
        </w:rPr>
        <w:t>。</w:t>
      </w:r>
    </w:p>
    <w:p>
      <w:pPr>
        <w:adjustRightInd w:val="0"/>
        <w:snapToGrid w:val="0"/>
        <w:spacing w:after="0" w:line="580" w:lineRule="exact"/>
        <w:rPr>
          <w:rFonts w:hint="eastAsia" w:ascii="仿宋_GB2312" w:eastAsia="仿宋_GB2312" w:cs="DengXian-Regular"/>
          <w:b w:val="0"/>
          <w:bCs w:val="0"/>
          <w:sz w:val="32"/>
          <w:szCs w:val="32"/>
          <w:lang w:eastAsia="zh-CN"/>
        </w:rPr>
      </w:pPr>
      <w:r>
        <w:rPr>
          <w:rFonts w:hint="eastAsia" w:ascii="仿宋_GB2312" w:eastAsia="仿宋_GB2312" w:cs="DengXian-Regular"/>
          <w:b w:val="0"/>
          <w:bCs w:val="0"/>
          <w:sz w:val="32"/>
          <w:szCs w:val="32"/>
          <w:lang w:eastAsia="zh-CN"/>
        </w:rPr>
        <w:t>如图所示：</w:t>
      </w:r>
    </w:p>
    <w:p>
      <w:pPr>
        <w:adjustRightInd w:val="0"/>
        <w:snapToGrid w:val="0"/>
        <w:spacing w:after="0" w:line="580" w:lineRule="exact"/>
        <w:ind w:firstLine="640" w:firstLineChars="200"/>
        <w:rPr>
          <w:rFonts w:hint="eastAsia" w:ascii="仿宋_GB2312" w:eastAsia="仿宋_GB2312" w:cs="DengXian-Regular"/>
          <w:b w:val="0"/>
          <w:bCs w:val="0"/>
          <w:sz w:val="32"/>
          <w:szCs w:val="32"/>
          <w:lang w:eastAsia="zh-CN"/>
        </w:rPr>
      </w:pPr>
      <w:r>
        <w:rPr>
          <w:rFonts w:hint="eastAsia" w:ascii="仿宋_GB2312" w:eastAsia="仿宋_GB2312" w:cs="DengXian-Regular"/>
          <w:sz w:val="32"/>
          <w:szCs w:val="32"/>
          <w:lang w:eastAsia="zh-CN"/>
        </w:rPr>
        <w:drawing>
          <wp:anchor distT="0" distB="0" distL="114300" distR="114300" simplePos="0" relativeHeight="251695104" behindDoc="0" locked="0" layoutInCell="1" allowOverlap="1">
            <wp:simplePos x="0" y="0"/>
            <wp:positionH relativeFrom="column">
              <wp:posOffset>419100</wp:posOffset>
            </wp:positionH>
            <wp:positionV relativeFrom="paragraph">
              <wp:posOffset>184150</wp:posOffset>
            </wp:positionV>
            <wp:extent cx="5240020" cy="3321050"/>
            <wp:effectExtent l="4445" t="4445" r="13335" b="8255"/>
            <wp:wrapNone/>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1920" w:firstLineChars="600"/>
        <w:rPr>
          <w:rFonts w:hint="eastAsia" w:ascii="仿宋_GB2312" w:eastAsia="仿宋_GB2312" w:cs="DengXian-Regular"/>
          <w:sz w:val="32"/>
          <w:szCs w:val="32"/>
        </w:rPr>
      </w:pPr>
    </w:p>
    <w:p>
      <w:pPr>
        <w:adjustRightInd w:val="0"/>
        <w:snapToGrid w:val="0"/>
        <w:spacing w:after="0" w:line="580" w:lineRule="exact"/>
        <w:ind w:firstLine="1920" w:firstLineChars="600"/>
        <w:rPr>
          <w:rFonts w:hint="eastAsia" w:ascii="仿宋_GB2312" w:eastAsia="仿宋_GB2312" w:cs="DengXian-Regular"/>
          <w:sz w:val="32"/>
          <w:szCs w:val="32"/>
        </w:rPr>
      </w:pPr>
    </w:p>
    <w:p>
      <w:pPr>
        <w:adjustRightInd w:val="0"/>
        <w:snapToGrid w:val="0"/>
        <w:spacing w:after="0" w:line="580" w:lineRule="exact"/>
        <w:ind w:firstLine="2240" w:firstLineChars="700"/>
        <w:rPr>
          <w:rFonts w:hint="eastAsia" w:ascii="仿宋_GB2312" w:eastAsia="仿宋_GB2312" w:cs="DengXian-Regular"/>
          <w:sz w:val="32"/>
          <w:szCs w:val="32"/>
        </w:rPr>
      </w:pPr>
      <w:r>
        <w:rPr>
          <w:rFonts w:hint="eastAsia" w:ascii="仿宋_GB2312" w:eastAsia="仿宋_GB2312" w:cs="DengXian-Regular"/>
          <w:sz w:val="32"/>
          <w:szCs w:val="32"/>
        </w:rPr>
        <w:t>图3:2017—2018年财政拨款收支情况</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本部门2018年度一般公共预算财政拨款收入4826.71万元，完成年初预算的</w:t>
      </w:r>
      <w:r>
        <w:rPr>
          <w:rFonts w:hint="eastAsia" w:ascii="仿宋_GB2312" w:eastAsia="仿宋_GB2312" w:cs="DengXian-Regular"/>
          <w:sz w:val="32"/>
          <w:szCs w:val="32"/>
          <w:lang w:val="en-US" w:eastAsia="zh-CN"/>
        </w:rPr>
        <w:t>348.74</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3442.68</w:t>
      </w:r>
      <w:r>
        <w:rPr>
          <w:rFonts w:hint="eastAsia" w:ascii="仿宋_GB2312" w:eastAsia="仿宋_GB2312" w:cs="DengXian-Regular"/>
          <w:sz w:val="32"/>
          <w:szCs w:val="32"/>
        </w:rPr>
        <w:t>万元，决算数大于预算数主要原因是</w:t>
      </w:r>
      <w:r>
        <w:rPr>
          <w:rFonts w:hint="eastAsia" w:ascii="仿宋_GB2312" w:eastAsia="仿宋_GB2312" w:cs="DengXian-Regular"/>
          <w:b w:val="0"/>
          <w:bCs w:val="0"/>
          <w:sz w:val="32"/>
          <w:szCs w:val="32"/>
          <w:lang w:val="en-US" w:eastAsia="zh-CN"/>
        </w:rPr>
        <w:t>筹备旅发大会、啤酒节等重大活动项目增加</w:t>
      </w:r>
      <w:r>
        <w:rPr>
          <w:rFonts w:hint="eastAsia" w:ascii="仿宋_GB2312" w:eastAsia="仿宋_GB2312" w:cs="DengXian-Regular"/>
          <w:sz w:val="32"/>
          <w:szCs w:val="32"/>
        </w:rPr>
        <w:t>；本年支出4816.46万元，完成年初预算的</w:t>
      </w:r>
      <w:r>
        <w:rPr>
          <w:rFonts w:hint="eastAsia" w:ascii="仿宋_GB2312" w:eastAsia="仿宋_GB2312" w:cs="DengXian-Regular"/>
          <w:sz w:val="32"/>
          <w:szCs w:val="32"/>
          <w:lang w:val="en-US" w:eastAsia="zh-CN"/>
        </w:rPr>
        <w:t>348.00</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3432.43</w:t>
      </w:r>
      <w:r>
        <w:rPr>
          <w:rFonts w:hint="eastAsia" w:ascii="仿宋_GB2312" w:eastAsia="仿宋_GB2312" w:cs="DengXian-Regular"/>
          <w:sz w:val="32"/>
          <w:szCs w:val="32"/>
        </w:rPr>
        <w:t>万元，决算数大于预算数主要原因是</w:t>
      </w:r>
      <w:r>
        <w:rPr>
          <w:rFonts w:hint="eastAsia" w:ascii="仿宋_GB2312" w:eastAsia="仿宋_GB2312" w:cs="DengXian-Regular"/>
          <w:b w:val="0"/>
          <w:bCs w:val="0"/>
          <w:sz w:val="32"/>
          <w:szCs w:val="32"/>
          <w:lang w:val="en-US" w:eastAsia="zh-CN"/>
        </w:rPr>
        <w:t>筹备旅发大会、啤酒节等重大活动项目增加。如图所示：</w:t>
      </w:r>
    </w:p>
    <w:p>
      <w:pPr>
        <w:adjustRightInd w:val="0"/>
        <w:snapToGrid w:val="0"/>
        <w:spacing w:after="0" w:line="580" w:lineRule="exact"/>
        <w:ind w:firstLine="640" w:firstLineChars="200"/>
        <w:rPr>
          <w:rFonts w:hint="eastAsia" w:ascii="仿宋_GB2312" w:eastAsia="仿宋_GB2312" w:cs="DengXian-Regular"/>
          <w:sz w:val="32"/>
          <w:szCs w:val="32"/>
          <w:highlight w:val="yellow"/>
          <w:lang w:eastAsia="zh-CN"/>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highlight w:val="yellow"/>
          <w:lang w:eastAsia="zh-CN"/>
        </w:rPr>
        <w:drawing>
          <wp:anchor distT="0" distB="0" distL="114300" distR="114300" simplePos="0" relativeHeight="251697152" behindDoc="0" locked="0" layoutInCell="1" allowOverlap="1">
            <wp:simplePos x="0" y="0"/>
            <wp:positionH relativeFrom="column">
              <wp:posOffset>30480</wp:posOffset>
            </wp:positionH>
            <wp:positionV relativeFrom="paragraph">
              <wp:posOffset>53340</wp:posOffset>
            </wp:positionV>
            <wp:extent cx="5850890" cy="4077335"/>
            <wp:effectExtent l="4445" t="4445" r="12065" b="13970"/>
            <wp:wrapNone/>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rPr>
          <w:rFonts w:hint="eastAsia" w:ascii="仿宋_GB2312" w:eastAsia="仿宋_GB2312" w:cs="DengXian-Regular"/>
          <w:sz w:val="32"/>
          <w:szCs w:val="32"/>
        </w:rPr>
      </w:pPr>
    </w:p>
    <w:p>
      <w:pPr>
        <w:adjustRightInd w:val="0"/>
        <w:snapToGrid w:val="0"/>
        <w:spacing w:after="0" w:line="580" w:lineRule="exact"/>
        <w:ind w:firstLine="2240" w:firstLineChars="700"/>
        <w:rPr>
          <w:rFonts w:hint="eastAsia" w:ascii="仿宋_GB2312" w:eastAsia="仿宋_GB2312" w:cs="DengXian-Regular"/>
          <w:sz w:val="32"/>
          <w:szCs w:val="32"/>
        </w:rPr>
      </w:pPr>
      <w:r>
        <w:rPr>
          <w:rFonts w:hint="eastAsia" w:ascii="仿宋_GB2312" w:eastAsia="仿宋_GB2312" w:cs="DengXian-Regular"/>
          <w:sz w:val="32"/>
          <w:szCs w:val="32"/>
        </w:rPr>
        <w:t>图4：财政拨款收支预决算对比情况</w:t>
      </w:r>
    </w:p>
    <w:p>
      <w:pPr>
        <w:numPr>
          <w:ilvl w:val="0"/>
          <w:numId w:val="0"/>
        </w:numPr>
        <w:adjustRightInd w:val="0"/>
        <w:snapToGrid w:val="0"/>
        <w:spacing w:after="0" w:line="580" w:lineRule="exact"/>
        <w:rPr>
          <w:rFonts w:ascii="楷体_GB2312" w:eastAsia="楷体_GB2312" w:cs="DengXian-Bold"/>
          <w:b/>
          <w:bCs/>
          <w:sz w:val="32"/>
          <w:szCs w:val="32"/>
        </w:rPr>
      </w:pPr>
      <w:r>
        <w:rPr>
          <w:rFonts w:hint="eastAsia" w:ascii="楷体_GB2312" w:eastAsia="楷体_GB2312" w:cs="DengXian-Bold"/>
          <w:b/>
          <w:bCs/>
          <w:sz w:val="32"/>
          <w:szCs w:val="32"/>
          <w:lang w:eastAsia="zh-CN"/>
        </w:rPr>
        <w:t>（三）</w:t>
      </w: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4816.46</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一般公共服务支出387.73万元，占</w:t>
      </w:r>
      <w:r>
        <w:rPr>
          <w:rFonts w:hint="eastAsia" w:ascii="仿宋_GB2312" w:eastAsia="仿宋_GB2312" w:cs="DengXian-Regular"/>
          <w:sz w:val="32"/>
          <w:szCs w:val="32"/>
          <w:lang w:val="en-US" w:eastAsia="zh-CN"/>
        </w:rPr>
        <w:t>8.05</w:t>
      </w:r>
      <w:r>
        <w:rPr>
          <w:rFonts w:hint="eastAsia" w:ascii="仿宋_GB2312" w:eastAsia="仿宋_GB2312" w:cs="DengXian-Regular"/>
          <w:sz w:val="32"/>
          <w:szCs w:val="32"/>
        </w:rPr>
        <w:t>%；文化体育与传媒支出</w:t>
      </w:r>
      <w:r>
        <w:rPr>
          <w:rFonts w:hint="eastAsia" w:ascii="仿宋_GB2312" w:eastAsia="仿宋_GB2312" w:cs="DengXian-Regular"/>
          <w:sz w:val="32"/>
          <w:szCs w:val="32"/>
          <w:lang w:val="en-US" w:eastAsia="zh-CN"/>
        </w:rPr>
        <w:t>751.24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15.60</w:t>
      </w:r>
      <w:r>
        <w:rPr>
          <w:rFonts w:hint="eastAsia" w:ascii="仿宋_GB2312" w:eastAsia="仿宋_GB2312" w:cs="DengXian-Regular"/>
          <w:sz w:val="32"/>
          <w:szCs w:val="32"/>
        </w:rPr>
        <w:t>%；社会保障和就业支出</w:t>
      </w:r>
      <w:r>
        <w:rPr>
          <w:rFonts w:hint="eastAsia" w:ascii="仿宋_GB2312" w:eastAsia="仿宋_GB2312" w:cs="DengXian-Regular"/>
          <w:sz w:val="32"/>
          <w:szCs w:val="32"/>
          <w:lang w:val="en-US" w:eastAsia="zh-CN"/>
        </w:rPr>
        <w:t>16.26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0.34</w:t>
      </w:r>
      <w:r>
        <w:rPr>
          <w:rFonts w:hint="eastAsia" w:ascii="仿宋_GB2312" w:eastAsia="仿宋_GB2312" w:cs="DengXian-Regular"/>
          <w:sz w:val="32"/>
          <w:szCs w:val="32"/>
        </w:rPr>
        <w:t>%；医疗卫生与计划生育支出</w:t>
      </w:r>
      <w:r>
        <w:rPr>
          <w:rFonts w:hint="eastAsia" w:ascii="仿宋_GB2312" w:eastAsia="仿宋_GB2312" w:cs="DengXian-Regular"/>
          <w:sz w:val="32"/>
          <w:szCs w:val="32"/>
          <w:lang w:val="en-US" w:eastAsia="zh-CN"/>
        </w:rPr>
        <w:t>11.41</w:t>
      </w:r>
      <w:r>
        <w:rPr>
          <w:rFonts w:hint="eastAsia" w:ascii="仿宋_GB2312" w:eastAsia="仿宋_GB2312" w:cs="DengXian-Regular"/>
          <w:sz w:val="32"/>
          <w:szCs w:val="32"/>
        </w:rPr>
        <w:t xml:space="preserve">万元，占 </w:t>
      </w:r>
      <w:r>
        <w:rPr>
          <w:rFonts w:hint="eastAsia" w:ascii="仿宋_GB2312" w:eastAsia="仿宋_GB2312" w:cs="DengXian-Regular"/>
          <w:sz w:val="32"/>
          <w:szCs w:val="32"/>
          <w:lang w:val="en-US" w:eastAsia="zh-CN"/>
        </w:rPr>
        <w:t>0.24</w:t>
      </w:r>
      <w:r>
        <w:rPr>
          <w:rFonts w:hint="eastAsia" w:ascii="仿宋_GB2312" w:eastAsia="仿宋_GB2312" w:cs="DengXian-Regular"/>
          <w:sz w:val="32"/>
          <w:szCs w:val="32"/>
        </w:rPr>
        <w:t>%；商业服务业等支出3640.06万元，占</w:t>
      </w:r>
      <w:r>
        <w:rPr>
          <w:rFonts w:hint="eastAsia" w:ascii="仿宋_GB2312" w:eastAsia="仿宋_GB2312" w:cs="DengXian-Regular"/>
          <w:sz w:val="32"/>
          <w:szCs w:val="32"/>
          <w:lang w:val="en-US" w:eastAsia="zh-CN"/>
        </w:rPr>
        <w:t>75.58</w:t>
      </w:r>
      <w:r>
        <w:rPr>
          <w:rFonts w:hint="eastAsia" w:ascii="仿宋_GB2312" w:eastAsia="仿宋_GB2312" w:cs="DengXian-Regular"/>
          <w:sz w:val="32"/>
          <w:szCs w:val="32"/>
        </w:rPr>
        <w:t>%；住房保障支出</w:t>
      </w:r>
      <w:r>
        <w:rPr>
          <w:rFonts w:hint="eastAsia" w:ascii="仿宋_GB2312" w:eastAsia="仿宋_GB2312" w:cs="DengXian-Regular"/>
          <w:sz w:val="32"/>
          <w:szCs w:val="32"/>
          <w:lang w:val="en-US" w:eastAsia="zh-CN"/>
        </w:rPr>
        <w:t>9.76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0.20</w:t>
      </w:r>
      <w:r>
        <w:rPr>
          <w:rFonts w:hint="eastAsia" w:ascii="仿宋_GB2312" w:eastAsia="仿宋_GB2312" w:cs="DengXian-Regular"/>
          <w:sz w:val="32"/>
          <w:szCs w:val="32"/>
        </w:rPr>
        <w:t>%。</w:t>
      </w:r>
      <w:r>
        <w:rPr>
          <w:rFonts w:hint="eastAsia" w:ascii="仿宋_GB2312" w:eastAsia="仿宋_GB2312" w:cs="DengXian-Regular"/>
          <w:sz w:val="32"/>
          <w:szCs w:val="32"/>
          <w:lang w:eastAsia="zh-CN"/>
        </w:rPr>
        <w:t>如图所示：</w: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hint="eastAsia" w:ascii="楷体_GB2312" w:eastAsia="楷体_GB2312" w:cs="DengXian-Bold"/>
          <w:b/>
          <w:bCs/>
          <w:sz w:val="32"/>
          <w:szCs w:val="32"/>
          <w:lang w:eastAsia="zh-CN"/>
        </w:rPr>
      </w:pPr>
      <w:r>
        <w:rPr>
          <w:rFonts w:hint="eastAsia" w:ascii="楷体_GB2312" w:eastAsia="楷体_GB2312" w:cs="DengXian-Bold"/>
          <w:b/>
          <w:bCs/>
          <w:sz w:val="32"/>
          <w:szCs w:val="32"/>
          <w:lang w:eastAsia="zh-CN"/>
        </w:rPr>
        <w:drawing>
          <wp:anchor distT="0" distB="0" distL="114300" distR="114300" simplePos="0" relativeHeight="251698176" behindDoc="0" locked="0" layoutInCell="1" allowOverlap="1">
            <wp:simplePos x="0" y="0"/>
            <wp:positionH relativeFrom="column">
              <wp:posOffset>269240</wp:posOffset>
            </wp:positionH>
            <wp:positionV relativeFrom="paragraph">
              <wp:posOffset>118745</wp:posOffset>
            </wp:positionV>
            <wp:extent cx="5080000" cy="3810000"/>
            <wp:effectExtent l="4445" t="4445" r="20955" b="14605"/>
            <wp:wrapNone/>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firstLine="1280" w:firstLineChars="400"/>
        <w:rPr>
          <w:rFonts w:hint="eastAsia" w:ascii="仿宋_GB2312" w:eastAsia="仿宋_GB2312" w:cs="DengXian-Regular"/>
          <w:sz w:val="32"/>
          <w:szCs w:val="32"/>
        </w:rPr>
      </w:pPr>
      <w:r>
        <w:rPr>
          <w:rFonts w:hint="eastAsia" w:ascii="仿宋_GB2312" w:eastAsia="仿宋_GB2312" w:cs="DengXian-Regular"/>
          <w:sz w:val="32"/>
          <w:szCs w:val="32"/>
        </w:rPr>
        <w:t>图5：财政拨款支出决算结构（按功能分类）</w:t>
      </w:r>
    </w:p>
    <w:p>
      <w:pPr>
        <w:adjustRightInd w:val="0"/>
        <w:snapToGrid w:val="0"/>
        <w:spacing w:after="0" w:line="580" w:lineRule="exact"/>
        <w:ind w:firstLine="880" w:firstLineChars="200"/>
        <w:rPr>
          <w:rFonts w:ascii="楷体_GB2312" w:eastAsia="楷体_GB2312" w:cs="DengXian-Bold"/>
          <w:b/>
          <w:bCs/>
          <w:sz w:val="32"/>
          <w:szCs w:val="32"/>
        </w:rPr>
      </w:pPr>
      <w:r>
        <w:rPr>
          <w:sz w:val="44"/>
        </w:rPr>
        <mc:AlternateContent>
          <mc:Choice Requires="wpg">
            <w:drawing>
              <wp:anchor distT="0" distB="0" distL="114300" distR="114300" simplePos="0" relativeHeight="25168588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588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880" w:firstLineChars="200"/>
        <w:rPr>
          <w:rFonts w:ascii="仿宋_GB2312" w:eastAsia="仿宋_GB2312" w:cs="DengXian-Regular"/>
          <w:sz w:val="32"/>
          <w:szCs w:val="32"/>
        </w:rPr>
      </w:pPr>
      <w:r>
        <w:rPr>
          <w:sz w:val="44"/>
        </w:rPr>
        <mc:AlternateContent>
          <mc:Choice Requires="wpg">
            <w:drawing>
              <wp:anchor distT="0" distB="0" distL="114300" distR="114300" simplePos="0" relativeHeight="25169305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23"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2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305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BJ+ys7bAAAACwEAAA8AAAAA&#10;AAAAAQAgAAAAIgAAAGRycy9kb3ducmV2LnhtbFBLAQIUABQAAAAIAIdO4kApN0n8LgMAAO4IAAAO&#10;AAAAAAAAAAEAIAAAACoBAABkcnMvZTJvRG9jLnhtbFBLBQYAAAAABgAGAFkBAADK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270.42</w:t>
      </w:r>
      <w:r>
        <w:rPr>
          <w:rFonts w:hint="eastAsia" w:ascii="仿宋_GB2312" w:eastAsia="仿宋_GB2312" w:cs="DengXian-Regular"/>
          <w:sz w:val="32"/>
          <w:szCs w:val="32"/>
        </w:rPr>
        <w:t>万元，其中：人员经费 253.21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17.21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2.31</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0.39</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16.88</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8691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691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本部门2018年度无本单位组织的出国（境）团组。</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2.31</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w:t>
      </w:r>
      <w:r>
        <w:rPr>
          <w:rFonts w:hint="eastAsia" w:ascii="仿宋_GB2312" w:eastAsia="仿宋_GB2312" w:cs="DengXian-Regular"/>
          <w:sz w:val="32"/>
          <w:szCs w:val="32"/>
          <w:lang w:val="en-US" w:eastAsia="zh-CN"/>
        </w:rPr>
        <w:t>0.39</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16.88</w:t>
      </w:r>
      <w:r>
        <w:rPr>
          <w:rFonts w:hint="eastAsia" w:ascii="仿宋_GB2312" w:eastAsia="仿宋_GB2312" w:cs="DengXian-Regular"/>
          <w:sz w:val="32"/>
          <w:szCs w:val="32"/>
        </w:rPr>
        <w:t>%,主要是按照</w:t>
      </w:r>
      <w:r>
        <w:rPr>
          <w:rFonts w:hint="eastAsia" w:ascii="仿宋_GB2312" w:eastAsia="仿宋_GB2312" w:cs="DengXian-Regular"/>
          <w:sz w:val="32"/>
          <w:szCs w:val="32"/>
          <w:lang w:val="en-US" w:eastAsia="zh-CN"/>
        </w:rPr>
        <w:t>中央</w:t>
      </w:r>
      <w:r>
        <w:rPr>
          <w:rFonts w:hint="eastAsia" w:ascii="仿宋_GB2312" w:eastAsia="仿宋_GB2312" w:cs="DengXian-Regular"/>
          <w:sz w:val="32"/>
          <w:szCs w:val="32"/>
        </w:rPr>
        <w:t>八项规定的工作要求，严格控制公车使用范围，规范管理，减少运行成本，降低财政支出，提高工作效率，杜绝超预算支出现象。</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color w:val="000000" w:themeColor="text1"/>
          <w:sz w:val="32"/>
          <w:szCs w:val="32"/>
          <w14:textFill>
            <w14:solidFill>
              <w14:schemeClr w14:val="tx1"/>
            </w14:solidFill>
          </w14:textFill>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本部门2018年度“未发生‘公务用车购置’经费支出”</w:t>
      </w:r>
      <w:r>
        <w:rPr>
          <w:rFonts w:hint="eastAsia" w:ascii="仿宋_GB2312" w:eastAsia="仿宋_GB2312" w:cs="DengXian-Regular"/>
          <w:sz w:val="32"/>
          <w:szCs w:val="32"/>
          <w:lang w:eastAsia="zh-CN"/>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0.39</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16.88</w:t>
      </w:r>
      <w:r>
        <w:rPr>
          <w:rFonts w:hint="eastAsia" w:ascii="仿宋_GB2312" w:eastAsia="仿宋_GB2312" w:cs="DengXian-Regular"/>
          <w:sz w:val="32"/>
          <w:szCs w:val="32"/>
        </w:rPr>
        <w:t>%,主要是按</w:t>
      </w:r>
      <w:r>
        <w:rPr>
          <w:rFonts w:hint="eastAsia" w:ascii="仿宋_GB2312" w:eastAsia="仿宋_GB2312" w:cs="DengXian-Regular"/>
          <w:sz w:val="32"/>
          <w:szCs w:val="32"/>
          <w:lang w:val="en-US" w:eastAsia="zh-CN"/>
        </w:rPr>
        <w:t>照中央</w:t>
      </w:r>
      <w:r>
        <w:rPr>
          <w:rFonts w:hint="eastAsia" w:ascii="仿宋_GB2312" w:eastAsia="仿宋_GB2312" w:cs="DengXian-Regular"/>
          <w:sz w:val="32"/>
          <w:szCs w:val="32"/>
        </w:rPr>
        <w:t>八项规定的工作要求，严格控制公车使用范围，规</w:t>
      </w:r>
      <w:bookmarkStart w:id="0" w:name="_GoBack"/>
      <w:bookmarkEnd w:id="0"/>
      <w:r>
        <w:rPr>
          <w:rFonts w:hint="eastAsia" w:ascii="仿宋_GB2312" w:eastAsia="仿宋_GB2312" w:cs="DengXian-Regular"/>
          <w:sz w:val="32"/>
          <w:szCs w:val="32"/>
        </w:rPr>
        <w:t>范管理，减少运行成本，降低财政支出，提高工作效率，杜绝超预算支出现象。</w:t>
      </w:r>
    </w:p>
    <w:p>
      <w:pPr>
        <w:adjustRightInd w:val="0"/>
        <w:snapToGrid w:val="0"/>
        <w:spacing w:after="0" w:line="580" w:lineRule="exact"/>
        <w:ind w:firstLine="643" w:firstLineChars="200"/>
        <w:rPr>
          <w:rFonts w:hint="eastAsia" w:ascii="仿宋_GB2312" w:eastAsia="仿宋_GB2312" w:cs="DengXian-Regular"/>
          <w:sz w:val="32"/>
          <w:szCs w:val="32"/>
          <w:highlight w:val="yellow"/>
          <w:lang w:eastAsia="zh-CN"/>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sz w:val="44"/>
        </w:rPr>
        <mc:AlternateContent>
          <mc:Choice Requires="wpg">
            <w:drawing>
              <wp:anchor distT="0" distB="0" distL="114300" distR="114300" simplePos="0" relativeHeight="25168793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793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本部门2018年度</w:t>
      </w:r>
      <w:r>
        <w:rPr>
          <w:rFonts w:hint="eastAsia" w:ascii="仿宋_GB2312" w:eastAsia="仿宋_GB2312" w:cs="DengXian-Regular"/>
          <w:sz w:val="32"/>
          <w:szCs w:val="32"/>
          <w:lang w:val="en-US" w:eastAsia="zh-CN"/>
        </w:rPr>
        <w:t>未发生</w:t>
      </w:r>
      <w:r>
        <w:rPr>
          <w:rFonts w:hint="eastAsia" w:ascii="仿宋_GB2312" w:eastAsia="仿宋_GB2312" w:cs="DengXian-Regular"/>
          <w:sz w:val="32"/>
          <w:szCs w:val="32"/>
        </w:rPr>
        <w:t>公务接待</w:t>
      </w:r>
      <w:r>
        <w:rPr>
          <w:rFonts w:hint="eastAsia" w:ascii="仿宋_GB2312" w:eastAsia="仿宋_GB2312" w:cs="DengXian-Regular"/>
          <w:sz w:val="32"/>
          <w:szCs w:val="32"/>
          <w:lang w:eastAsia="zh-CN"/>
        </w:rPr>
        <w:t>。</w:t>
      </w:r>
    </w:p>
    <w:p>
      <w:pPr>
        <w:pStyle w:val="3"/>
        <w:spacing w:before="0" w:after="0" w:line="500" w:lineRule="exact"/>
        <w:ind w:firstLine="643" w:firstLineChars="200"/>
        <w:rPr>
          <w:rFonts w:ascii="黑体" w:eastAsia="黑体" w:cs="Times New Roman"/>
          <w:shd w:val="pct10" w:color="auto" w:fill="FFFFFF"/>
        </w:rPr>
      </w:pPr>
      <w:r>
        <w:rPr>
          <w:rFonts w:hint="eastAsia" w:ascii="黑体" w:eastAsia="黑体"/>
          <w:szCs w:val="40"/>
        </w:rPr>
        <w:t>六、绩效预算情况说明</w:t>
      </w:r>
    </w:p>
    <w:p>
      <w:pPr>
        <w:keepNext w:val="0"/>
        <w:keepLines w:val="0"/>
        <w:pageBreakBefore w:val="0"/>
        <w:widowControl w:val="0"/>
        <w:kinsoku/>
        <w:wordWrap/>
        <w:overflowPunct/>
        <w:topLinePunct w:val="0"/>
        <w:autoSpaceDE/>
        <w:autoSpaceDN/>
        <w:bidi w:val="0"/>
        <w:adjustRightInd w:val="0"/>
        <w:snapToGrid w:val="0"/>
        <w:spacing w:after="0" w:line="50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绩效管理工作开展情况。根据《关于开展2018年度财政专项资金部门绩效自评价工作的通知》（石财绩[2019]1号），本单位认真开展了预算绩效管理改革开展情况自查，对部门全面规范绩效预算编制、严格预算执行管理、推进绩效评价工作、推进预决算信息公开等方面进行了自评，考核结果为优秀。</w:t>
      </w:r>
    </w:p>
    <w:p>
      <w:pPr>
        <w:keepNext w:val="0"/>
        <w:keepLines w:val="0"/>
        <w:pageBreakBefore w:val="0"/>
        <w:widowControl w:val="0"/>
        <w:kinsoku/>
        <w:wordWrap/>
        <w:overflowPunct/>
        <w:topLinePunct w:val="0"/>
        <w:autoSpaceDE/>
        <w:autoSpaceDN/>
        <w:bidi w:val="0"/>
        <w:adjustRightInd w:val="0"/>
        <w:snapToGrid w:val="0"/>
        <w:spacing w:after="0" w:line="50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预算项目绩效评价开展情况。根据预算绩效管理要求，本单位组织对2018年度一般公共预算项目支出全面开展绩效自评，涉及党教经费、宣传费、石家庄日报专版费、网络舆情中心监管运行费、网群建设费、中心组学习经费、践行社会主义核心价值观公益宣传、文化产业发展及文化事业扶持资金、爱国主义基地管护费、旅发大会期间宣传费用等10个项目，涉及资金4546.05万元。从评价情况看，评价结果为优秀的项目有9个，良好的项目有1个。</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0" w:firstLineChars="200"/>
        <w:textAlignment w:val="auto"/>
        <w:rPr>
          <w:rFonts w:ascii="仿宋_GB2312" w:eastAsia="仿宋_GB2312" w:cs="DengXian-Regular"/>
          <w:sz w:val="32"/>
          <w:szCs w:val="32"/>
          <w:shd w:val="pct10" w:color="auto" w:fill="FFFFFF"/>
        </w:rPr>
      </w:pPr>
      <w:r>
        <w:rPr>
          <w:rFonts w:hint="eastAsia" w:ascii="仿宋_GB2312" w:hAnsi="仿宋_GB2312" w:eastAsia="仿宋_GB2312" w:cs="仿宋_GB2312"/>
          <w:sz w:val="32"/>
          <w:szCs w:val="32"/>
        </w:rPr>
        <w:t>（三）预算项目绩效自评选例根据年初设定的绩效目标，</w:t>
      </w:r>
      <w:r>
        <w:rPr>
          <w:rFonts w:hint="eastAsia" w:ascii="仿宋_GB2312" w:hAnsi="仿宋_GB2312" w:eastAsia="仿宋_GB2312" w:cs="仿宋_GB2312"/>
          <w:sz w:val="32"/>
          <w:szCs w:val="32"/>
          <w:lang w:val="en-US" w:eastAsia="zh-CN"/>
        </w:rPr>
        <w:t>9个</w:t>
      </w:r>
      <w:r>
        <w:rPr>
          <w:rFonts w:hint="eastAsia" w:ascii="仿宋_GB2312" w:hAnsi="仿宋_GB2312" w:eastAsia="仿宋_GB2312" w:cs="仿宋_GB2312"/>
          <w:sz w:val="32"/>
          <w:szCs w:val="32"/>
        </w:rPr>
        <w:t>专项项目绩效自评结果为优秀，良好的项目1个。项目全年预算数为</w:t>
      </w:r>
      <w:r>
        <w:rPr>
          <w:rFonts w:hint="eastAsia" w:ascii="仿宋_GB2312" w:hAnsi="仿宋_GB2312" w:eastAsia="仿宋_GB2312" w:cs="仿宋_GB2312"/>
          <w:sz w:val="32"/>
          <w:szCs w:val="32"/>
          <w:lang w:val="en-US" w:eastAsia="zh-CN"/>
        </w:rPr>
        <w:t>1185.1</w:t>
      </w:r>
      <w:r>
        <w:rPr>
          <w:rFonts w:hint="eastAsia" w:ascii="仿宋_GB2312" w:hAnsi="仿宋_GB2312" w:eastAsia="仿宋_GB2312" w:cs="仿宋_GB2312"/>
          <w:sz w:val="32"/>
          <w:szCs w:val="32"/>
        </w:rPr>
        <w:t>万元，执行数为4546.05万元，完成预算</w:t>
      </w:r>
      <w:r>
        <w:rPr>
          <w:rFonts w:hint="eastAsia" w:ascii="仿宋_GB2312" w:hAnsi="仿宋_GB2312" w:eastAsia="仿宋_GB2312" w:cs="仿宋_GB2312"/>
          <w:sz w:val="32"/>
          <w:szCs w:val="32"/>
          <w:lang w:val="en-US" w:eastAsia="zh-CN"/>
        </w:rPr>
        <w:t>383.60</w:t>
      </w:r>
      <w:r>
        <w:rPr>
          <w:rFonts w:hint="eastAsia" w:ascii="仿宋_GB2312" w:hAnsi="仿宋_GB2312" w:eastAsia="仿宋_GB2312" w:cs="仿宋_GB2312"/>
          <w:sz w:val="32"/>
          <w:szCs w:val="32"/>
        </w:rPr>
        <w:t>%。主要是完成全区宣传思想文化及精神文明建设工作，文化产业发展及文化事业扶持资金、爱国主义基地管护费、旅发大会期间宣传费用。牢牢把握</w:t>
      </w:r>
      <w:r>
        <w:rPr>
          <w:rFonts w:hint="eastAsia" w:ascii="仿宋_GB2312" w:hAnsi="仿宋_GB2312" w:eastAsia="仿宋_GB2312" w:cs="仿宋_GB2312"/>
          <w:sz w:val="32"/>
          <w:szCs w:val="32"/>
          <w:lang w:val="en-US" w:eastAsia="zh-CN"/>
        </w:rPr>
        <w:t>了</w:t>
      </w:r>
      <w:r>
        <w:rPr>
          <w:rFonts w:hint="eastAsia" w:ascii="仿宋_GB2312" w:hAnsi="仿宋_GB2312" w:eastAsia="仿宋_GB2312" w:cs="仿宋_GB2312"/>
          <w:sz w:val="32"/>
          <w:szCs w:val="32"/>
        </w:rPr>
        <w:t>意识形态工作的主导权、领导权和话语权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确保各项业务工作谋划到位、顺利开展，保障机关工作正常高效运转。</w:t>
      </w:r>
    </w:p>
    <w:p>
      <w:pPr>
        <w:pStyle w:val="3"/>
        <w:pageBreakBefore w:val="0"/>
        <w:kinsoku/>
        <w:wordWrap/>
        <w:overflowPunct/>
        <w:topLinePunct w:val="0"/>
        <w:autoSpaceDE/>
        <w:autoSpaceDN/>
        <w:bidi w:val="0"/>
        <w:spacing w:before="0" w:after="0" w:line="560" w:lineRule="exact"/>
        <w:ind w:firstLine="640" w:firstLineChars="200"/>
        <w:textAlignment w:val="auto"/>
        <w:rPr>
          <w:rFonts w:ascii="黑体" w:eastAsia="黑体" w:cs="Times New Roman"/>
          <w:b w:val="0"/>
          <w:bCs w:val="0"/>
        </w:rPr>
      </w:pPr>
      <w:r>
        <w:rPr>
          <w:rFonts w:hint="eastAsia" w:ascii="黑体" w:eastAsia="黑体" w:cs="Times New Roman"/>
          <w:b w:val="0"/>
          <w:bCs w:val="0"/>
        </w:rPr>
        <w:t>七、其他重要事项的说明</w:t>
      </w:r>
    </w:p>
    <w:p>
      <w:pPr>
        <w:pStyle w:val="4"/>
        <w:pageBreakBefore w:val="0"/>
        <w:kinsoku/>
        <w:wordWrap/>
        <w:overflowPunct/>
        <w:topLinePunct w:val="0"/>
        <w:autoSpaceDE/>
        <w:autoSpaceDN/>
        <w:bidi w:val="0"/>
        <w:spacing w:before="0" w:after="0" w:line="560" w:lineRule="exact"/>
        <w:ind w:firstLine="643" w:firstLineChars="200"/>
        <w:textAlignment w:val="auto"/>
        <w:rPr>
          <w:rFonts w:ascii="楷体_GB2312" w:eastAsia="楷体_GB2312" w:cs="DengXian-Bold"/>
        </w:rPr>
      </w:pPr>
      <w:r>
        <w:rPr>
          <w:rFonts w:hint="eastAsia" w:ascii="楷体_GB2312" w:eastAsia="楷体_GB2312" w:cs="DengXian-Bold"/>
        </w:rPr>
        <w:t>（一）机关运行经费情况</w:t>
      </w:r>
    </w:p>
    <w:p>
      <w:pPr>
        <w:pageBreakBefore w:val="0"/>
        <w:kinsoku/>
        <w:wordWrap/>
        <w:overflowPunct/>
        <w:topLinePunct w:val="0"/>
        <w:autoSpaceDE/>
        <w:autoSpaceDN/>
        <w:bidi w:val="0"/>
        <w:adjustRightInd w:val="0"/>
        <w:snapToGrid w:val="0"/>
        <w:spacing w:after="0" w:line="560" w:lineRule="exact"/>
        <w:ind w:firstLine="640" w:firstLineChars="200"/>
        <w:textAlignment w:val="auto"/>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18.12</w:t>
      </w:r>
      <w:r>
        <w:rPr>
          <w:rFonts w:hint="eastAsia" w:ascii="仿宋_GB2312" w:eastAsia="仿宋_GB2312" w:cs="DengXian-Regular"/>
          <w:sz w:val="32"/>
          <w:szCs w:val="32"/>
        </w:rPr>
        <w:t>万元，比年初预算数增加</w:t>
      </w:r>
      <w:r>
        <w:rPr>
          <w:rFonts w:hint="eastAsia" w:ascii="仿宋_GB2312" w:eastAsia="仿宋_GB2312" w:cs="DengXian-Regular"/>
          <w:sz w:val="32"/>
          <w:szCs w:val="32"/>
          <w:lang w:val="en-US" w:eastAsia="zh-CN"/>
        </w:rPr>
        <w:t>0.82</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4.74</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人员增加</w:t>
      </w:r>
      <w:r>
        <w:rPr>
          <w:rFonts w:hint="eastAsia" w:ascii="仿宋_GB2312" w:eastAsia="仿宋_GB2312" w:cs="DengXian-Regular"/>
          <w:sz w:val="32"/>
          <w:szCs w:val="32"/>
        </w:rPr>
        <w:t>。</w:t>
      </w:r>
    </w:p>
    <w:p>
      <w:pPr>
        <w:pStyle w:val="4"/>
        <w:pageBreakBefore w:val="0"/>
        <w:kinsoku/>
        <w:wordWrap/>
        <w:overflowPunct/>
        <w:topLinePunct w:val="0"/>
        <w:autoSpaceDE/>
        <w:autoSpaceDN/>
        <w:bidi w:val="0"/>
        <w:spacing w:before="0" w:after="0" w:line="560" w:lineRule="exact"/>
        <w:ind w:firstLine="643" w:firstLineChars="200"/>
        <w:textAlignment w:val="auto"/>
        <w:rPr>
          <w:rFonts w:ascii="楷体_GB2312" w:eastAsia="楷体_GB2312" w:cs="DengXian-Bold"/>
        </w:rPr>
      </w:pPr>
      <w:r>
        <w:rPr>
          <w:rFonts w:hint="eastAsia" w:ascii="楷体_GB2312" w:eastAsia="楷体_GB2312" w:cs="DengXian-Bold"/>
        </w:rPr>
        <w:t>（二）政府采购情况</w:t>
      </w:r>
    </w:p>
    <w:p>
      <w:pPr>
        <w:pageBreakBefore w:val="0"/>
        <w:widowControl/>
        <w:kinsoku/>
        <w:wordWrap/>
        <w:overflowPunct/>
        <w:topLinePunct w:val="0"/>
        <w:autoSpaceDE/>
        <w:autoSpaceDN/>
        <w:bidi w:val="0"/>
        <w:spacing w:after="0" w:line="560" w:lineRule="exact"/>
        <w:ind w:firstLine="640" w:firstLineChars="200"/>
        <w:jc w:val="left"/>
        <w:textAlignment w:val="auto"/>
        <w:rPr>
          <w:rFonts w:ascii="仿宋_GB2312" w:eastAsia="仿宋_GB2312" w:cs="DengXian-Regular"/>
          <w:sz w:val="32"/>
          <w:szCs w:val="32"/>
        </w:rPr>
      </w:pPr>
      <w:r>
        <w:rPr>
          <w:rFonts w:hint="eastAsia" w:ascii="仿宋_GB2312" w:eastAsia="仿宋_GB2312" w:cs="DengXian-Regular"/>
          <w:sz w:val="32"/>
          <w:szCs w:val="32"/>
        </w:rPr>
        <w:t>本部门2018年度政府采购支出总额776</w:t>
      </w:r>
      <w:r>
        <w:rPr>
          <w:rFonts w:hint="eastAsia" w:ascii="仿宋_GB2312" w:eastAsia="仿宋_GB2312" w:cs="DengXian-Regular"/>
          <w:sz w:val="32"/>
          <w:szCs w:val="32"/>
          <w:lang w:val="en-US" w:eastAsia="zh-CN"/>
        </w:rPr>
        <w:t>.00</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142.00</w:t>
      </w:r>
      <w:r>
        <w:rPr>
          <w:rFonts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 xml:space="preserve">万元、政府采购服务支出 </w:t>
      </w:r>
      <w:r>
        <w:rPr>
          <w:rFonts w:hint="eastAsia" w:ascii="仿宋_GB2312" w:hAnsi="仿宋_GB2312" w:eastAsia="仿宋_GB2312" w:cs="仿宋_GB2312"/>
          <w:color w:val="000000"/>
          <w:kern w:val="0"/>
          <w:sz w:val="32"/>
          <w:szCs w:val="32"/>
          <w:lang w:val="en-US" w:eastAsia="zh-CN" w:bidi="ar"/>
        </w:rPr>
        <w:t>634.00</w:t>
      </w:r>
      <w:r>
        <w:rPr>
          <w:rFonts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r>
        <w:rPr>
          <w:rFonts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w:t>
      </w:r>
    </w:p>
    <w:p>
      <w:pPr>
        <w:pStyle w:val="4"/>
        <w:pageBreakBefore w:val="0"/>
        <w:kinsoku/>
        <w:wordWrap/>
        <w:overflowPunct/>
        <w:topLinePunct w:val="0"/>
        <w:autoSpaceDE/>
        <w:autoSpaceDN/>
        <w:bidi w:val="0"/>
        <w:spacing w:before="0" w:after="0" w:line="560" w:lineRule="exact"/>
        <w:ind w:firstLine="643" w:firstLineChars="200"/>
        <w:textAlignment w:val="auto"/>
        <w:rPr>
          <w:rFonts w:ascii="楷体_GB2312" w:eastAsia="楷体_GB2312" w:cs="DengXian-Bold"/>
        </w:rPr>
      </w:pPr>
      <w:r>
        <w:rPr>
          <w:rFonts w:hint="eastAsia" w:ascii="楷体_GB2312" w:eastAsia="楷体_GB2312" w:cs="DengXian-Bold"/>
        </w:rPr>
        <w:t>（三）国有资产占用情况</w:t>
      </w:r>
    </w:p>
    <w:p>
      <w:pPr>
        <w:pageBreakBefore w:val="0"/>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eastAsia="仿宋_GB2312" w:cs="DengXian-Regular"/>
          <w:sz w:val="32"/>
          <w:szCs w:val="32"/>
          <w:lang w:val="en-US" w:eastAsia="zh-CN"/>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w:t>
      </w:r>
      <w:r>
        <w:rPr>
          <w:rFonts w:hint="eastAsia" w:ascii="仿宋_GB2312" w:eastAsia="仿宋_GB2312" w:cs="DengXian-Regular"/>
          <w:sz w:val="32"/>
          <w:szCs w:val="32"/>
          <w:lang w:val="en-US" w:eastAsia="zh-CN"/>
        </w:rPr>
        <w:t>与上年相比，无变化；</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与上年相比，无变化；</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与上年相比，无变化。</w:t>
      </w:r>
    </w:p>
    <w:p>
      <w:pPr>
        <w:pStyle w:val="4"/>
        <w:pageBreakBefore w:val="0"/>
        <w:kinsoku/>
        <w:wordWrap/>
        <w:overflowPunct/>
        <w:topLinePunct w:val="0"/>
        <w:autoSpaceDE/>
        <w:autoSpaceDN/>
        <w:bidi w:val="0"/>
        <w:spacing w:before="0" w:after="0" w:line="560" w:lineRule="exact"/>
        <w:ind w:firstLine="643" w:firstLineChars="200"/>
        <w:textAlignment w:val="auto"/>
        <w:rPr>
          <w:rFonts w:ascii="楷体_GB2312" w:eastAsia="楷体_GB2312" w:cs="DengXian-Bold"/>
        </w:rPr>
      </w:pPr>
      <w:r>
        <w:rPr>
          <w:rFonts w:hint="eastAsia" w:ascii="楷体_GB2312" w:eastAsia="楷体_GB2312" w:cs="DengXian-Bold"/>
        </w:rPr>
        <w:t>（四）其他需要说明的情况</w:t>
      </w:r>
    </w:p>
    <w:p>
      <w:pPr>
        <w:pageBreakBefore w:val="0"/>
        <w:kinsoku/>
        <w:wordWrap/>
        <w:overflowPunct/>
        <w:topLinePunct w:val="0"/>
        <w:autoSpaceDE/>
        <w:autoSpaceDN/>
        <w:bidi w:val="0"/>
        <w:adjustRightInd w:val="0"/>
        <w:snapToGrid w:val="0"/>
        <w:spacing w:after="0" w:line="560" w:lineRule="exact"/>
        <w:ind w:firstLine="640" w:firstLineChars="200"/>
        <w:textAlignment w:val="auto"/>
        <w:rPr>
          <w:rFonts w:ascii="仿宋_GB2312" w:eastAsia="仿宋_GB2312" w:cs="DengXian-Regular"/>
          <w:sz w:val="32"/>
          <w:szCs w:val="32"/>
        </w:rPr>
      </w:pPr>
      <w:r>
        <w:rPr>
          <w:rFonts w:hint="eastAsia" w:ascii="仿宋_GB2312" w:eastAsia="仿宋_GB2312" w:cs="DengXian-Regular"/>
          <w:sz w:val="32"/>
          <w:szCs w:val="32"/>
        </w:rPr>
        <w:t>1、本部门2018年度政府性基金预算财政拨款收入支出决算表</w:t>
      </w:r>
      <w:r>
        <w:rPr>
          <w:rFonts w:hint="eastAsia" w:ascii="仿宋_GB2312" w:eastAsia="仿宋_GB2312" w:cs="DengXian-Regular"/>
          <w:sz w:val="32"/>
          <w:szCs w:val="32"/>
          <w:lang w:val="en-US" w:eastAsia="zh-CN"/>
        </w:rPr>
        <w:t>和</w:t>
      </w:r>
      <w:r>
        <w:rPr>
          <w:rFonts w:hint="eastAsia" w:ascii="仿宋_GB2312" w:eastAsia="仿宋_GB2312" w:cs="DengXian-Regular"/>
          <w:sz w:val="32"/>
          <w:szCs w:val="32"/>
        </w:rPr>
        <w:t>国有资本经营预算财政拨款支出决算表无收支及结转结余情况，故</w:t>
      </w:r>
      <w:r>
        <w:rPr>
          <w:rFonts w:hint="eastAsia" w:ascii="仿宋_GB2312" w:eastAsia="仿宋_GB2312" w:cs="DengXian-Regular"/>
          <w:sz w:val="32"/>
          <w:szCs w:val="32"/>
          <w:lang w:val="en-US" w:eastAsia="zh-CN"/>
        </w:rPr>
        <w:t>公开08、09</w:t>
      </w:r>
      <w:r>
        <w:rPr>
          <w:rFonts w:hint="eastAsia" w:ascii="仿宋_GB2312" w:eastAsia="仿宋_GB2312" w:cs="DengXian-Regular"/>
          <w:sz w:val="32"/>
          <w:szCs w:val="32"/>
        </w:rPr>
        <w:t>表以空表列示。</w:t>
      </w:r>
    </w:p>
    <w:p>
      <w:pPr>
        <w:pageBreakBefore w:val="0"/>
        <w:kinsoku/>
        <w:wordWrap/>
        <w:overflowPunct/>
        <w:topLinePunct w:val="0"/>
        <w:autoSpaceDE/>
        <w:autoSpaceDN/>
        <w:bidi w:val="0"/>
        <w:adjustRightInd w:val="0"/>
        <w:snapToGrid w:val="0"/>
        <w:spacing w:after="0" w:line="560" w:lineRule="exact"/>
        <w:ind w:firstLine="640" w:firstLineChars="200"/>
        <w:textAlignment w:val="auto"/>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8896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896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5"/>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8998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8998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9100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9100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1"/>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22B199A-C1F2-4FCB-B81A-C6F5C61701F2}"/>
  </w:font>
  <w:font w:name="黑体">
    <w:panose1 w:val="02010600030101010101"/>
    <w:charset w:val="86"/>
    <w:family w:val="auto"/>
    <w:pitch w:val="default"/>
    <w:sig w:usb0="800002BF" w:usb1="38CF7CFA" w:usb2="00000016" w:usb3="00000000" w:csb0="00040001" w:csb1="00000000"/>
    <w:embedRegular r:id="rId2" w:fontKey="{1B31D387-8B98-4121-9452-C8D9773B145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04B183D9-2D6F-4F7F-8FAD-96DA50BD2246}"/>
  </w:font>
  <w:font w:name="楷体">
    <w:panose1 w:val="02010609060101010101"/>
    <w:charset w:val="86"/>
    <w:family w:val="modern"/>
    <w:pitch w:val="default"/>
    <w:sig w:usb0="800002BF" w:usb1="38CF7CFA" w:usb2="00000016" w:usb3="00000000" w:csb0="00040001" w:csb1="00000000"/>
    <w:embedRegular r:id="rId4" w:fontKey="{04E68C03-4D0A-4940-895C-BF806089B509}"/>
  </w:font>
  <w:font w:name="楷体_GB2312">
    <w:panose1 w:val="02010609030101010101"/>
    <w:charset w:val="86"/>
    <w:family w:val="modern"/>
    <w:pitch w:val="default"/>
    <w:sig w:usb0="00000001" w:usb1="080E0000" w:usb2="00000000" w:usb3="00000000" w:csb0="00040000" w:csb1="00000000"/>
    <w:embedRegular r:id="rId5" w:fontKey="{33017C74-E8FD-4000-9C47-35835D06BFB4}"/>
  </w:font>
  <w:font w:name="仿宋_GB2312">
    <w:panose1 w:val="02010609030101010101"/>
    <w:charset w:val="86"/>
    <w:family w:val="modern"/>
    <w:pitch w:val="default"/>
    <w:sig w:usb0="00000001" w:usb1="080E0000" w:usb2="00000000" w:usb3="00000000" w:csb0="00040000" w:csb1="00000000"/>
    <w:embedRegular r:id="rId6" w:fontKey="{B31A08DD-D009-4C68-AA19-E43CA2240092}"/>
  </w:font>
  <w:font w:name="ArialUnicodeMS">
    <w:altName w:val="Malgun Gothic"/>
    <w:panose1 w:val="00000000000000000000"/>
    <w:charset w:val="81"/>
    <w:family w:val="auto"/>
    <w:pitch w:val="default"/>
    <w:sig w:usb0="00000000" w:usb1="00000000" w:usb2="00000010" w:usb3="00000000" w:csb0="00080001" w:csb1="00000000"/>
    <w:embedRegular r:id="rId7" w:fontKey="{0BC59388-9BC8-45F7-BC55-F0F3B966AF98}"/>
  </w:font>
  <w:font w:name="MS-UIGothic,Bold">
    <w:altName w:val="Malgun Gothic"/>
    <w:panose1 w:val="00000000000000000000"/>
    <w:charset w:val="81"/>
    <w:family w:val="auto"/>
    <w:pitch w:val="default"/>
    <w:sig w:usb0="00000000" w:usb1="00000000" w:usb2="00000010" w:usb3="00000000" w:csb0="00080000" w:csb1="00000000"/>
    <w:embedRegular r:id="rId8" w:fontKey="{CED25E9F-8846-424D-8FFA-FCE2FA545CB4}"/>
  </w:font>
  <w:font w:name="DengXian-Regular">
    <w:altName w:val="宋体"/>
    <w:panose1 w:val="00000000000000000000"/>
    <w:charset w:val="86"/>
    <w:family w:val="auto"/>
    <w:pitch w:val="default"/>
    <w:sig w:usb0="00000000" w:usb1="00000000" w:usb2="00000010" w:usb3="00000000" w:csb0="00040001" w:csb1="00000000"/>
    <w:embedRegular r:id="rId9" w:fontKey="{217C649F-02A9-4145-ACF2-2F206D5B828D}"/>
  </w:font>
  <w:font w:name="DengXian-Bold">
    <w:altName w:val="宋体"/>
    <w:panose1 w:val="00000000000000000000"/>
    <w:charset w:val="86"/>
    <w:family w:val="auto"/>
    <w:pitch w:val="default"/>
    <w:sig w:usb0="00000000" w:usb1="00000000" w:usb2="00000010" w:usb3="00000000" w:csb0="00040001" w:csb1="00000000"/>
    <w:embedRegular r:id="rId10" w:fontKey="{8F346B1B-EDF7-43AF-87C7-4968A3E7A076}"/>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C32BA"/>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905A9"/>
    <w:rsid w:val="007E5500"/>
    <w:rsid w:val="007F055B"/>
    <w:rsid w:val="0080644C"/>
    <w:rsid w:val="00811C2F"/>
    <w:rsid w:val="00833D46"/>
    <w:rsid w:val="00840A97"/>
    <w:rsid w:val="008C0149"/>
    <w:rsid w:val="008D5DED"/>
    <w:rsid w:val="008E25CA"/>
    <w:rsid w:val="008F34FC"/>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56722"/>
    <w:rsid w:val="00B74D39"/>
    <w:rsid w:val="00B91DA4"/>
    <w:rsid w:val="00C12630"/>
    <w:rsid w:val="00C34562"/>
    <w:rsid w:val="00C3774E"/>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D3BD5"/>
    <w:rsid w:val="00FE3DC8"/>
    <w:rsid w:val="03A26139"/>
    <w:rsid w:val="03C35B33"/>
    <w:rsid w:val="04073F84"/>
    <w:rsid w:val="06C13AA2"/>
    <w:rsid w:val="0B60750A"/>
    <w:rsid w:val="0E4C3CCE"/>
    <w:rsid w:val="10686488"/>
    <w:rsid w:val="10DF728A"/>
    <w:rsid w:val="12430DEC"/>
    <w:rsid w:val="1264200E"/>
    <w:rsid w:val="12B91B59"/>
    <w:rsid w:val="141C5B77"/>
    <w:rsid w:val="1422273F"/>
    <w:rsid w:val="162811E6"/>
    <w:rsid w:val="18602177"/>
    <w:rsid w:val="18D8339D"/>
    <w:rsid w:val="1A1F222D"/>
    <w:rsid w:val="1A21388F"/>
    <w:rsid w:val="1A570D2F"/>
    <w:rsid w:val="1E866F72"/>
    <w:rsid w:val="1EFE2E2A"/>
    <w:rsid w:val="22675952"/>
    <w:rsid w:val="25A949CD"/>
    <w:rsid w:val="28FB0B8D"/>
    <w:rsid w:val="2A9870FC"/>
    <w:rsid w:val="2D2B7942"/>
    <w:rsid w:val="2D46481D"/>
    <w:rsid w:val="2D8577C7"/>
    <w:rsid w:val="2E733B28"/>
    <w:rsid w:val="31852B5A"/>
    <w:rsid w:val="32D01238"/>
    <w:rsid w:val="36CD27AC"/>
    <w:rsid w:val="38DB018B"/>
    <w:rsid w:val="3A4B0250"/>
    <w:rsid w:val="3B7632C6"/>
    <w:rsid w:val="3CE831F4"/>
    <w:rsid w:val="3DD14F48"/>
    <w:rsid w:val="3DFC59A8"/>
    <w:rsid w:val="3ECF245E"/>
    <w:rsid w:val="3F3A68B9"/>
    <w:rsid w:val="3FB96314"/>
    <w:rsid w:val="41A056E9"/>
    <w:rsid w:val="446F7824"/>
    <w:rsid w:val="4506789D"/>
    <w:rsid w:val="46CB0EED"/>
    <w:rsid w:val="53A44FAF"/>
    <w:rsid w:val="57E061A1"/>
    <w:rsid w:val="594329EC"/>
    <w:rsid w:val="5BEE1540"/>
    <w:rsid w:val="5DE61A5D"/>
    <w:rsid w:val="5DFE78F6"/>
    <w:rsid w:val="5E793C26"/>
    <w:rsid w:val="60240829"/>
    <w:rsid w:val="63C04243"/>
    <w:rsid w:val="649C01C7"/>
    <w:rsid w:val="672E5E4D"/>
    <w:rsid w:val="68737E1B"/>
    <w:rsid w:val="69235332"/>
    <w:rsid w:val="699A3F60"/>
    <w:rsid w:val="6F0B63F0"/>
    <w:rsid w:val="6F642548"/>
    <w:rsid w:val="72902E62"/>
    <w:rsid w:val="72B411B9"/>
    <w:rsid w:val="73C61104"/>
    <w:rsid w:val="776452EA"/>
    <w:rsid w:val="7A6A363E"/>
    <w:rsid w:val="7B4D1D82"/>
    <w:rsid w:val="7C8A52CA"/>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收入构成</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3">
                  <a:tint val="100000"/>
                  <a:shade val="100000"/>
                  <a:hueMod val="100000"/>
                  <a:satMod val="100000"/>
                </a:schemeClr>
              </a:solidFill>
              <a:ln w="19050">
                <a:solidFill>
                  <a:schemeClr val="lt1"/>
                </a:solidFill>
              </a:ln>
              <a:effectLst/>
            </c:spPr>
          </c:dPt>
          <c:dLbls>
            <c:dLbl>
              <c:idx val="0"/>
              <c:layout>
                <c:manualLayout>
                  <c:x val="-0.244263557366559"/>
                  <c:y val="-0.146794567850573"/>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财政拨款收入</a:t>
                    </a:r>
                  </a:p>
                  <a:p>
                    <a:pPr defTabSz="914400">
                      <a:defRPr lang="zh-CN" sz="900" b="0" i="0" u="none" strike="noStrike" kern="1200" baseline="0">
                        <a:solidFill>
                          <a:schemeClr val="tx1">
                            <a:lumMod val="75000"/>
                            <a:lumOff val="25000"/>
                          </a:schemeClr>
                        </a:solidFill>
                        <a:latin typeface="+mn-lt"/>
                        <a:ea typeface="+mn-ea"/>
                        <a:cs typeface="+mn-cs"/>
                      </a:defRPr>
                    </a:pPr>
                    <a:r>
                      <a:t>76.12</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25825"/>
                      <c:h val="0.134333333333333"/>
                    </c:manualLayout>
                  </c15:layout>
                </c:ext>
              </c:extLst>
            </c:dLbl>
            <c:dLbl>
              <c:idx val="1"/>
              <c:layout>
                <c:manualLayout>
                  <c:x val="0.124263549506004"/>
                  <c:y val="0.151794573654672"/>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其他收入23.88</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1385"/>
                      <c:h val="0.109833333333333"/>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财政拨款收入</c:v>
                </c:pt>
                <c:pt idx="1">
                  <c:v>其他收入</c:v>
                </c:pt>
              </c:strCache>
            </c:strRef>
          </c:cat>
          <c:val>
            <c:numRef>
              <c:f>Sheet1!$B$2:$B$3</c:f>
              <c:numCache>
                <c:formatCode>General</c:formatCode>
                <c:ptCount val="2"/>
                <c:pt idx="0">
                  <c:v>76.12</c:v>
                </c:pt>
                <c:pt idx="1">
                  <c:v>23.88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87"/>
          <c:y val="0.9245"/>
          <c:w val="0.450125"/>
          <c:h val="0.0666666666666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支出构成情况（按支出性质）</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Lbls>
            <c:dLbl>
              <c:idx val="0"/>
              <c:layout>
                <c:manualLayout>
                  <c:x val="-0.00386475359539181"/>
                  <c:y val="0.0373657799714578"/>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基本支出4.29</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125207402680281"/>
                      <c:h val="0.12728367797631"/>
                    </c:manualLayout>
                  </c15:layout>
                </c:ext>
              </c:extLst>
            </c:dLbl>
            <c:dLbl>
              <c:idx val="1"/>
              <c:layout>
                <c:manualLayout>
                  <c:x val="0.0491159005837116"/>
                  <c:y val="-0.250888652438609"/>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项目支出95.71</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155966815571155"/>
                      <c:h val="0.114033326641237"/>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4.29</c:v>
                </c:pt>
                <c:pt idx="1">
                  <c:v>95.71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2018年度收入</c:v>
                </c:pt>
              </c:strCache>
            </c:strRef>
          </c:tx>
          <c:spPr>
            <a:solidFill>
              <a:schemeClr val="accent1">
                <a:tint val="100000"/>
                <a:shade val="100000"/>
                <a:hueMod val="100000"/>
                <a:satMod val="100000"/>
              </a:schemeClr>
            </a:solidFill>
            <a:ln>
              <a:noFill/>
            </a:ln>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General</c:formatCode>
                <c:ptCount val="1"/>
                <c:pt idx="0">
                  <c:v>4826.71</c:v>
                </c:pt>
              </c:numCache>
            </c:numRef>
          </c:val>
        </c:ser>
        <c:ser>
          <c:idx val="1"/>
          <c:order val="1"/>
          <c:tx>
            <c:strRef>
              <c:f>Sheet1!$C$1</c:f>
              <c:strCache>
                <c:ptCount val="1"/>
                <c:pt idx="0">
                  <c:v>2017年度收入</c:v>
                </c:pt>
              </c:strCache>
            </c:strRef>
          </c:tx>
          <c:spPr>
            <a:solidFill>
              <a:schemeClr val="accent2">
                <a:tint val="100000"/>
                <a:shade val="100000"/>
                <a:hueMod val="100000"/>
                <a:satMod val="100000"/>
              </a:schemeClr>
            </a:solidFill>
            <a:ln>
              <a:noFill/>
            </a:ln>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General</c:formatCode>
                <c:ptCount val="1"/>
                <c:pt idx="0">
                  <c:v>508.22</c:v>
                </c:pt>
              </c:numCache>
            </c:numRef>
          </c:val>
        </c:ser>
        <c:ser>
          <c:idx val="2"/>
          <c:order val="2"/>
          <c:tx>
            <c:strRef>
              <c:f>Sheet1!$D$1</c:f>
              <c:strCache>
                <c:ptCount val="1"/>
                <c:pt idx="0">
                  <c:v>2018年度支出</c:v>
                </c:pt>
              </c:strCache>
            </c:strRef>
          </c:tx>
          <c:spPr>
            <a:solidFill>
              <a:schemeClr val="accent3">
                <a:tint val="100000"/>
                <a:shade val="100000"/>
                <a:hueMod val="100000"/>
                <a:satMod val="100000"/>
              </a:schemeClr>
            </a:solidFill>
            <a:ln>
              <a:noFill/>
            </a:ln>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General</c:formatCode>
                <c:ptCount val="1"/>
                <c:pt idx="0">
                  <c:v>4816.46</c:v>
                </c:pt>
              </c:numCache>
            </c:numRef>
          </c:val>
        </c:ser>
        <c:ser>
          <c:idx val="3"/>
          <c:order val="3"/>
          <c:tx>
            <c:strRef>
              <c:f>Sheet1!$E$1</c:f>
              <c:strCache>
                <c:ptCount val="1"/>
                <c:pt idx="0">
                  <c:v>2017年度支出</c:v>
                </c:pt>
              </c:strCache>
            </c:strRef>
          </c:tx>
          <c:spPr>
            <a:solidFill>
              <a:schemeClr val="accent4">
                <a:tint val="100000"/>
                <a:shade val="100000"/>
                <a:hueMod val="100000"/>
                <a:satMod val="100000"/>
              </a:schemeClr>
            </a:solidFill>
            <a:ln>
              <a:noFill/>
            </a:ln>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General</c:formatCode>
                <c:ptCount val="1"/>
                <c:pt idx="0">
                  <c:v>508.33</c:v>
                </c:pt>
              </c:numCache>
            </c:numRef>
          </c:val>
        </c:ser>
        <c:dLbls>
          <c:showLegendKey val="0"/>
          <c:showVal val="1"/>
          <c:showCatName val="0"/>
          <c:showSerName val="0"/>
          <c:showPercent val="0"/>
          <c:showBubbleSize val="0"/>
        </c:dLbls>
        <c:gapWidth val="150"/>
        <c:overlap val="0"/>
        <c:axId val="308447511"/>
        <c:axId val="567326433"/>
      </c:barChart>
      <c:catAx>
        <c:axId val="30844751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7326433"/>
        <c:crosses val="autoZero"/>
        <c:auto val="1"/>
        <c:lblAlgn val="ctr"/>
        <c:lblOffset val="100"/>
        <c:noMultiLvlLbl val="0"/>
      </c:catAx>
      <c:valAx>
        <c:axId val="56732643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单位：万元</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8447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4454832046962"/>
          <c:y val="0.170776255707763"/>
          <c:w val="0.898293292749212"/>
          <c:h val="0.717260273972603"/>
        </c:manualLayout>
      </c:layout>
      <c:barChart>
        <c:barDir val="col"/>
        <c:grouping val="clustered"/>
        <c:varyColors val="0"/>
        <c:ser>
          <c:idx val="0"/>
          <c:order val="0"/>
          <c:tx>
            <c:strRef>
              <c:f>Sheet1!$B$1</c:f>
              <c:strCache>
                <c:ptCount val="1"/>
                <c:pt idx="0">
                  <c:v>收入预算数</c:v>
                </c:pt>
              </c:strCache>
            </c:strRef>
          </c:tx>
          <c:spPr>
            <a:solidFill>
              <a:schemeClr val="accent1">
                <a:tint val="100000"/>
                <a:shade val="100000"/>
                <a:hueMod val="100000"/>
                <a:satMod val="100000"/>
              </a:schemeClr>
            </a:solidFill>
            <a:ln>
              <a:noFill/>
            </a:ln>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General</c:formatCode>
                <c:ptCount val="1"/>
                <c:pt idx="0">
                  <c:v>1384.03</c:v>
                </c:pt>
              </c:numCache>
            </c:numRef>
          </c:val>
        </c:ser>
        <c:ser>
          <c:idx val="1"/>
          <c:order val="1"/>
          <c:tx>
            <c:strRef>
              <c:f>Sheet1!$C$1</c:f>
              <c:strCache>
                <c:ptCount val="1"/>
                <c:pt idx="0">
                  <c:v>收入决算数</c:v>
                </c:pt>
              </c:strCache>
            </c:strRef>
          </c:tx>
          <c:spPr>
            <a:solidFill>
              <a:schemeClr val="accent2">
                <a:tint val="100000"/>
                <a:shade val="100000"/>
                <a:hueMod val="100000"/>
                <a:satMod val="100000"/>
              </a:schemeClr>
            </a:solidFill>
            <a:ln>
              <a:noFill/>
            </a:ln>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General</c:formatCode>
                <c:ptCount val="1"/>
                <c:pt idx="0">
                  <c:v>4826.71</c:v>
                </c:pt>
              </c:numCache>
            </c:numRef>
          </c:val>
        </c:ser>
        <c:ser>
          <c:idx val="2"/>
          <c:order val="2"/>
          <c:tx>
            <c:strRef>
              <c:f>Sheet1!$D$1</c:f>
              <c:strCache>
                <c:ptCount val="1"/>
                <c:pt idx="0">
                  <c:v>支出预算数</c:v>
                </c:pt>
              </c:strCache>
            </c:strRef>
          </c:tx>
          <c:spPr>
            <a:solidFill>
              <a:schemeClr val="accent3">
                <a:tint val="100000"/>
                <a:shade val="100000"/>
                <a:hueMod val="100000"/>
                <a:satMod val="100000"/>
              </a:schemeClr>
            </a:solidFill>
            <a:ln>
              <a:noFill/>
            </a:ln>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General</c:formatCode>
                <c:ptCount val="1"/>
                <c:pt idx="0">
                  <c:v>1384.03</c:v>
                </c:pt>
              </c:numCache>
            </c:numRef>
          </c:val>
        </c:ser>
        <c:ser>
          <c:idx val="3"/>
          <c:order val="3"/>
          <c:tx>
            <c:strRef>
              <c:f>Sheet1!$E$1</c:f>
              <c:strCache>
                <c:ptCount val="1"/>
                <c:pt idx="0">
                  <c:v>支出决算数</c:v>
                </c:pt>
              </c:strCache>
            </c:strRef>
          </c:tx>
          <c:spPr>
            <a:solidFill>
              <a:schemeClr val="accent4">
                <a:tint val="100000"/>
                <a:shade val="100000"/>
                <a:hueMod val="100000"/>
                <a:satMod val="100000"/>
              </a:schemeClr>
            </a:solidFill>
            <a:ln>
              <a:noFill/>
            </a:ln>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General</c:formatCode>
                <c:ptCount val="1"/>
                <c:pt idx="0">
                  <c:v>4816.46</c:v>
                </c:pt>
              </c:numCache>
            </c:numRef>
          </c:val>
        </c:ser>
        <c:dLbls>
          <c:showLegendKey val="0"/>
          <c:showVal val="1"/>
          <c:showCatName val="0"/>
          <c:showSerName val="0"/>
          <c:showPercent val="0"/>
          <c:showBubbleSize val="0"/>
        </c:dLbls>
        <c:gapWidth val="150"/>
        <c:overlap val="0"/>
        <c:axId val="192607645"/>
        <c:axId val="789389648"/>
      </c:barChart>
      <c:catAx>
        <c:axId val="19260764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9389648"/>
        <c:crosses val="autoZero"/>
        <c:auto val="1"/>
        <c:lblAlgn val="ctr"/>
        <c:lblOffset val="100"/>
        <c:noMultiLvlLbl val="0"/>
      </c:catAx>
      <c:valAx>
        <c:axId val="789389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单位：万元</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260764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财政拨款支出决算结构（按功能分类）</c:v>
                </c:pt>
              </c:strCache>
            </c:strRef>
          </c:tx>
          <c:spPr/>
          <c:explosion val="0"/>
          <c:dPt>
            <c:idx val="0"/>
            <c:bubble3D val="0"/>
            <c:explosion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Pt>
            <c:idx val="4"/>
            <c:bubble3D val="0"/>
            <c:spPr>
              <a:solidFill>
                <a:schemeClr val="accent5">
                  <a:tint val="100000"/>
                  <a:shade val="100000"/>
                  <a:hueMod val="100000"/>
                  <a:satMod val="100000"/>
                </a:schemeClr>
              </a:solidFill>
              <a:ln w="19050">
                <a:solidFill>
                  <a:schemeClr val="lt1"/>
                </a:solidFill>
              </a:ln>
              <a:effectLst/>
            </c:spPr>
          </c:dPt>
          <c:dPt>
            <c:idx val="5"/>
            <c:bubble3D val="0"/>
            <c:spPr>
              <a:solidFill>
                <a:schemeClr val="accent6">
                  <a:tint val="100000"/>
                  <a:shade val="100000"/>
                  <a:hueMod val="100000"/>
                  <a:satMod val="100000"/>
                </a:schemeClr>
              </a:solidFill>
              <a:ln w="19050">
                <a:solidFill>
                  <a:schemeClr val="lt1"/>
                </a:solidFill>
              </a:ln>
              <a:effectLst/>
            </c:spPr>
          </c:dPt>
          <c:dLbls>
            <c:dLbl>
              <c:idx val="0"/>
              <c:layout>
                <c:manualLayout>
                  <c:x val="-0.0268665251487938"/>
                  <c:y val="0.133201898515725"/>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一般公共服务支出</a:t>
                    </a:r>
                  </a:p>
                  <a:p>
                    <a:pPr defTabSz="914400">
                      <a:defRPr lang="zh-CN" sz="900" b="0" i="0" u="none" strike="noStrike" kern="1200" baseline="0">
                        <a:solidFill>
                          <a:schemeClr val="tx1">
                            <a:lumMod val="75000"/>
                            <a:lumOff val="25000"/>
                          </a:schemeClr>
                        </a:solidFill>
                        <a:latin typeface="+mn-lt"/>
                        <a:ea typeface="+mn-ea"/>
                        <a:cs typeface="+mn-cs"/>
                      </a:defRPr>
                    </a:pPr>
                    <a:r>
                      <a:t>8.05</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09825"/>
                      <c:h val="0.168833333333333"/>
                    </c:manualLayout>
                  </c15:layout>
                </c:ext>
              </c:extLst>
            </c:dLbl>
            <c:dLbl>
              <c:idx val="1"/>
              <c:layout>
                <c:manualLayout>
                  <c:x val="0.11031344518937"/>
                  <c:y val="-0.0416521294966269"/>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社会保障和就业支出0.34</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29425"/>
                      <c:h val="0.0466666666666667"/>
                    </c:manualLayout>
                  </c15:layout>
                </c:ext>
              </c:extLst>
            </c:dLbl>
            <c:dLbl>
              <c:idx val="2"/>
              <c:layout>
                <c:manualLayout>
                  <c:x val="-0.0929791153136017"/>
                  <c:y val="0.0932939571663317"/>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文化体育与传媒支出15.6</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2175"/>
                      <c:h val="0.0868333333333333"/>
                    </c:manualLayout>
                  </c15:layout>
                </c:ext>
              </c:extLst>
            </c:dLbl>
            <c:dLbl>
              <c:idx val="3"/>
              <c:layout>
                <c:manualLayout>
                  <c:x val="0.02963012397965"/>
                  <c:y val="0.0485603648558149"/>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医疗卫生与计划生育支出0.24</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204"/>
                      <c:h val="0.0896666666666667"/>
                    </c:manualLayout>
                  </c15:layout>
                </c:ext>
              </c:extLst>
            </c:dLbl>
            <c:dLbl>
              <c:idx val="4"/>
              <c:layout>
                <c:manualLayout>
                  <c:x val="0.18803885899866"/>
                  <c:y val="-0.133295567891743"/>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商业服务业等支出</a:t>
                    </a:r>
                  </a:p>
                  <a:p>
                    <a:pPr defTabSz="914400">
                      <a:defRPr lang="zh-CN" sz="900" b="0" i="0" u="none" strike="noStrike" kern="1200" baseline="0">
                        <a:solidFill>
                          <a:schemeClr val="tx1">
                            <a:lumMod val="75000"/>
                            <a:lumOff val="25000"/>
                          </a:schemeClr>
                        </a:solidFill>
                        <a:latin typeface="+mn-lt"/>
                        <a:ea typeface="+mn-ea"/>
                        <a:cs typeface="+mn-cs"/>
                      </a:defRPr>
                    </a:pPr>
                    <a:r>
                      <a:t>75.58</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282375"/>
                      <c:h val="0.132666666666667"/>
                    </c:manualLayout>
                  </c15:layout>
                </c:ext>
              </c:extLst>
            </c:dLbl>
            <c:dLbl>
              <c:idx val="5"/>
              <c:layout>
                <c:manualLayout>
                  <c:x val="-0.233447901296309"/>
                  <c:y val="0.00483026367840689"/>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住房保障支出0.2</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22325"/>
                      <c:h val="0.0628333333333333"/>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一般公共服务支出</c:v>
                </c:pt>
                <c:pt idx="1">
                  <c:v>社会保障和就业支出</c:v>
                </c:pt>
                <c:pt idx="2">
                  <c:v>文化体育与传媒支出</c:v>
                </c:pt>
                <c:pt idx="3">
                  <c:v>医疗卫生与计划生育支出</c:v>
                </c:pt>
                <c:pt idx="4">
                  <c:v>商业服务业等支出</c:v>
                </c:pt>
                <c:pt idx="5">
                  <c:v>住房保障支出</c:v>
                </c:pt>
              </c:strCache>
            </c:strRef>
          </c:cat>
          <c:val>
            <c:numRef>
              <c:f>Sheet1!$B$2:$B$7</c:f>
              <c:numCache>
                <c:formatCode>General</c:formatCode>
                <c:ptCount val="6"/>
                <c:pt idx="0">
                  <c:v>8.05</c:v>
                </c:pt>
                <c:pt idx="1">
                  <c:v>0.34</c:v>
                </c:pt>
                <c:pt idx="2">
                  <c:v>15.6</c:v>
                </c:pt>
                <c:pt idx="3">
                  <c:v>0.24</c:v>
                </c:pt>
                <c:pt idx="4">
                  <c:v>75.58</c:v>
                </c:pt>
                <c:pt idx="5">
                  <c:v>0.2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A65E7BDE-DE8D-4B1F-9303-30D3BA4219C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7675</Words>
  <Characters>9980</Characters>
  <Lines>80</Lines>
  <Paragraphs>22</Paragraphs>
  <TotalTime>20</TotalTime>
  <ScaleCrop>false</ScaleCrop>
  <LinksUpToDate>false</LinksUpToDate>
  <CharactersWithSpaces>10221</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226</cp:lastModifiedBy>
  <cp:lastPrinted>2019-09-24T03:14:00Z</cp:lastPrinted>
  <dcterms:modified xsi:type="dcterms:W3CDTF">2023-05-29T06:59:32Z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